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巴中市中医熏洗医疗服务项目价格表（征求意见稿）</w:t>
      </w:r>
    </w:p>
    <w:tbl>
      <w:tblPr>
        <w:tblStyle w:val="2"/>
        <w:tblW w:w="143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82"/>
        <w:gridCol w:w="1529"/>
        <w:gridCol w:w="2550"/>
        <w:gridCol w:w="1215"/>
        <w:gridCol w:w="600"/>
        <w:gridCol w:w="1779"/>
        <w:gridCol w:w="910"/>
        <w:gridCol w:w="910"/>
        <w:gridCol w:w="910"/>
        <w:gridCol w:w="910"/>
        <w:gridCol w:w="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Header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tblHeader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、中医及民族医诊疗类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"/>
              </w:rPr>
              <w:t>“41”开头项目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410000015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中医熏洗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服务产出：由医务人员选用制备好的药 卷、药香或其他材料，点燃后直接用烟 熏烤或蒸汽的形式，作用在患者身体某 特定部位，以发挥疏通经络、促进药物 吸收等各类作用。价格构成：所定价格 涵盖局部清洁，药物调配，处理用物所 需的人力资源和基本物质资源消耗，含 设备投入及维护成本。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每日限收费 两次；0-6 周岁儿童加收20%。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410000015-1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中医熏洗（0-6 周岁儿童加收）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6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2024-01-09T06:02:35Z</dcterms:created>
  <dc:creator>Lenovo</dc:creator>
  <cp:lastModifiedBy>夏末花开1421138642</cp:lastModifiedBy>
  <dcterms:modified xsi:type="dcterms:W3CDTF">2024-01-09T06:02:52Z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