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tabs>
          <w:tab w:val="left" w:pos="728"/>
        </w:tabs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和修订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医疗服务价格项目成本测算表</w:t>
      </w:r>
    </w:p>
    <w:p>
      <w:pPr>
        <w:spacing w:line="360" w:lineRule="auto"/>
        <w:rPr>
          <w:rFonts w:ascii="楷体_GB2312" w:hAnsi="宋体" w:eastAsia="楷体_GB2312" w:cs="仿宋_GB2312"/>
          <w:color w:val="auto"/>
          <w:sz w:val="24"/>
        </w:rPr>
      </w:pPr>
      <w:r>
        <w:rPr>
          <w:rFonts w:hint="eastAsia" w:ascii="楷体_GB2312" w:hAnsi="宋体" w:eastAsia="楷体_GB2312" w:cs="仿宋_GB2312"/>
          <w:color w:val="auto"/>
          <w:sz w:val="24"/>
        </w:rPr>
        <w:t>填报单位：                   项目名称：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246"/>
        <w:gridCol w:w="1434"/>
        <w:gridCol w:w="2004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</w:rPr>
              <w:t>一、劳务支出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人员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工时（小时）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小时工资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医师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护师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技师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药师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其他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</w:rPr>
              <w:t>二、材料消耗支出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（一）卫生材料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品名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（二）低值易耗品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品名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（三）药品及试剂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（四）水电燃料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耗用量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单价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水费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电费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燃料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</w:rPr>
              <w:t>三、固定资产折旧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（一）医疗仪器设备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仪器设备名称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原值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使用年限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设备保修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（维修）费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（二）房屋及其他建筑物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房屋面积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原值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使用年限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（三）其他固定资产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固定资产名称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原值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使用年限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使用时间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应计金额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设备保修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（维修）费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</w:rPr>
              <w:t>四、其他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both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五、管理费分摊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643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仿宋_GB2312"/>
                <w:b/>
                <w:bCs/>
                <w:color w:val="auto"/>
                <w:kern w:val="0"/>
                <w:sz w:val="21"/>
                <w:szCs w:val="21"/>
              </w:rPr>
              <w:t>、项目成本合计</w:t>
            </w:r>
          </w:p>
        </w:tc>
      </w:tr>
    </w:tbl>
    <w:p>
      <w:pPr>
        <w:widowControl/>
        <w:spacing w:line="360" w:lineRule="auto"/>
        <w:ind w:firstLine="120" w:firstLineChars="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审核人:                                      填表人:</w:t>
      </w:r>
    </w:p>
    <w:p>
      <w:pPr>
        <w:spacing w:line="400" w:lineRule="exact"/>
        <w:jc w:val="left"/>
        <w:rPr>
          <w:rFonts w:hint="eastAsia" w:ascii="楷体_GB2312" w:hAnsi="黑体" w:eastAsia="楷体_GB2312" w:cs="仿宋_GB2312"/>
          <w:b/>
          <w:color w:val="auto"/>
          <w:sz w:val="24"/>
          <w:szCs w:val="24"/>
        </w:rPr>
      </w:pPr>
      <w:r>
        <w:rPr>
          <w:rFonts w:hint="eastAsia" w:ascii="楷体_GB2312" w:hAnsi="黑体" w:eastAsia="楷体_GB2312" w:cs="仿宋_GB2312"/>
          <w:b/>
          <w:color w:val="auto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仿宋_GB2312"/>
          <w:color w:val="auto"/>
          <w:sz w:val="24"/>
          <w:szCs w:val="24"/>
        </w:rPr>
      </w:pPr>
      <w:r>
        <w:rPr>
          <w:rFonts w:hint="eastAsia" w:ascii="黑体" w:hAnsi="黑体" w:eastAsia="黑体" w:cs="仿宋_GB2312"/>
          <w:color w:val="auto"/>
          <w:sz w:val="24"/>
          <w:szCs w:val="24"/>
        </w:rPr>
        <w:t>一、劳务支出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小时工资是指申报医院的平均小时工资（含福利、社保等），工时是指参与完成医疗服务项目人员的实际用时。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计算公式：小时工资（元/小时）=上年职工人均工资性收入÷（12个月×22天×8小时）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仿宋_GB2312"/>
          <w:color w:val="auto"/>
          <w:sz w:val="24"/>
          <w:szCs w:val="24"/>
        </w:rPr>
      </w:pPr>
      <w:r>
        <w:rPr>
          <w:rFonts w:hint="eastAsia" w:ascii="黑体" w:hAnsi="黑体" w:eastAsia="黑体" w:cs="仿宋_GB2312"/>
          <w:color w:val="auto"/>
          <w:sz w:val="24"/>
          <w:szCs w:val="24"/>
        </w:rPr>
        <w:t>二、材料消耗支出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一）卫生材料：指该医疗服务价格项目应当使用的、市场价格和使用数量相对稳定的一次性医用卫生材料，如：输液器、输血器、注射器、采血针、普通输液胶贴、普通采血管、连接管、吸引器、采血管、普通缝合线及一次性手术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计算公式：应摊金额=实际消耗数量×单价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二）低值易耗品：指医疗机构提供医疗服务过程中消耗的低值卫生材料。如：碘酒、酒精、棉球、棉花、棉签、纱布、普通敷料、帽子、口罩、鞋套、袜套、手套、手术衣、绷带、检查垫、压舌板、止血带、消毒液、弯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计算公式：应摊金额=实际消耗数量×单价（注：实际消耗数量为每人每次实际耗用量，如一瓶酒精，可用20人次，则消耗数量为1/20瓶。）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（三）药品及试剂：诊疗项目中供多人使用的药品（不含患者处方独立领取的药品）及其他消耗品等，如：眼科检查时用的阿托品等。包括检测试剂、散装局麻药品、染色剂、耦合剂、保存液等。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计算公式：应摊金额=实际消耗数量×单价（注：实际消耗数量为每人每次实际耗用量，如一个试剂盒可检测5人份，则消耗数量为1/5。）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（四）水电燃料：水电燃料消耗按实际消耗计算。计算公式：应摊金额=实际消耗数量×单价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仿宋_GB2312"/>
          <w:color w:val="auto"/>
          <w:sz w:val="24"/>
          <w:szCs w:val="24"/>
        </w:rPr>
      </w:pPr>
      <w:r>
        <w:rPr>
          <w:rFonts w:hint="eastAsia" w:ascii="黑体" w:hAnsi="黑体" w:eastAsia="黑体" w:cs="仿宋_GB2312"/>
          <w:color w:val="auto"/>
          <w:sz w:val="24"/>
          <w:szCs w:val="24"/>
        </w:rPr>
        <w:t>三、固定资产折旧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（一）医疗仪器设备折旧。计算公式：应摊金额=医疗仪器设备原值÷使用年限÷12个月÷22天÷8小时×设备使用时间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楷体_GB2312" w:hAnsi="仿宋_GB2312" w:eastAsia="楷体_GB2312" w:cs="仿宋_GB2312"/>
          <w:color w:val="auto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>（二）房屋及其他折旧。计算公式：应摊金额=房屋总造价÷房屋总面积（㎡）÷使用年限÷12个月÷22天÷8小时×实际使用面积×实际使用时间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楷体_GB2312" w:hAnsi="仿宋_GB2312" w:eastAsia="楷体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24"/>
          <w:szCs w:val="24"/>
          <w:lang w:val="en-US" w:eastAsia="zh-CN"/>
        </w:rPr>
        <w:t>四、其他：</w:t>
      </w:r>
      <w:r>
        <w:rPr>
          <w:rFonts w:hint="eastAsia" w:ascii="楷体_GB2312" w:hAnsi="仿宋_GB2312" w:eastAsia="楷体_GB2312" w:cs="仿宋_GB2312"/>
          <w:color w:val="auto"/>
          <w:sz w:val="24"/>
          <w:szCs w:val="24"/>
          <w:lang w:val="en-US" w:eastAsia="zh-CN"/>
        </w:rPr>
        <w:t>以上三类直接成本外，其他可能发生的成本消耗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仿宋_GB2312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仿宋_GB2312"/>
          <w:color w:val="auto"/>
          <w:sz w:val="24"/>
          <w:szCs w:val="24"/>
        </w:rPr>
        <w:t>、管理费</w:t>
      </w:r>
      <w:r>
        <w:rPr>
          <w:rFonts w:hint="eastAsia" w:ascii="黑体" w:hAnsi="黑体" w:eastAsia="黑体" w:cs="仿宋_GB2312"/>
          <w:color w:val="auto"/>
          <w:sz w:val="24"/>
          <w:szCs w:val="24"/>
          <w:lang w:val="en-US" w:eastAsia="zh-CN"/>
        </w:rPr>
        <w:t>分摊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color w:val="auto"/>
        </w:rPr>
      </w:pPr>
      <w:r>
        <w:rPr>
          <w:rFonts w:hint="eastAsia" w:ascii="楷体_GB2312" w:hAnsi="仿宋_GB2312" w:eastAsia="楷体_GB2312" w:cs="仿宋_GB2312"/>
          <w:color w:val="auto"/>
          <w:sz w:val="24"/>
          <w:szCs w:val="24"/>
        </w:rPr>
        <w:t xml:space="preserve">管理费分摊：根据上年度上报卫生系统统计报表的管理费用率计算项目的管理费。计算公式：管理费分摊=（劳务支出+材料消耗支出+固定资产折旧费用）×管理费用率。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65332DE0"/>
    <w:rsid w:val="653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2024-01-09T01:49:00Z</dcterms:created>
  <dc:creator>WPS_1695793672</dc:creator>
  <cp:lastModifiedBy>WPS_1695793672</cp:lastModifiedBy>
  <dcterms:modified xsi:type="dcterms:W3CDTF">2024-01-09T01:49:12Z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35E65D009DB1424F97D088CA9F816967_11</vt:lpwstr>
  </property>
</Properties>
</file>