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autoSpaceDE/>
        <w:autoSpaceDN/>
        <w:spacing w:line="560" w:lineRule="exact"/>
        <w:jc w:val="center"/>
        <w:textAlignment w:val="baseline"/>
        <w:rPr>
          <w:rStyle w:val="5"/>
          <w:rFonts w:ascii="方正小标宋简体" w:eastAsia="方正小标宋简体"/>
          <w:color w:val="000000"/>
          <w:sz w:val="44"/>
          <w:szCs w:val="20"/>
        </w:rPr>
      </w:pPr>
      <w:r>
        <w:rPr>
          <w:rStyle w:val="5"/>
          <w:rFonts w:ascii="方正小标宋简体" w:eastAsia="方正小标宋简体"/>
          <w:color w:val="000000"/>
          <w:sz w:val="44"/>
          <w:szCs w:val="20"/>
        </w:rPr>
        <w:t>起草说明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color w:val="000000"/>
          <w:szCs w:val="32"/>
        </w:rPr>
      </w:pPr>
    </w:p>
    <w:p>
      <w:pPr>
        <w:autoSpaceDE/>
        <w:autoSpaceDN/>
        <w:snapToGrid w:val="0"/>
        <w:spacing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color w:val="000000"/>
          <w:szCs w:val="32"/>
        </w:rPr>
      </w:pPr>
      <w:r>
        <w:rPr>
          <w:rStyle w:val="5"/>
          <w:rFonts w:ascii="黑体" w:hAnsi="黑体" w:eastAsia="黑体"/>
          <w:color w:val="000000"/>
          <w:szCs w:val="32"/>
        </w:rPr>
        <w:t>一、起草</w:t>
      </w:r>
      <w:r>
        <w:rPr>
          <w:rStyle w:val="5"/>
          <w:rFonts w:hint="eastAsia" w:ascii="黑体" w:hAnsi="黑体" w:eastAsia="黑体"/>
          <w:color w:val="000000"/>
          <w:szCs w:val="32"/>
        </w:rPr>
        <w:t>背景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2019年12月1日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我国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药物临床试验机构实施备案管理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以来，在一系列鼓励政策下，我省医疗机构备案热情高涨，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增了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许多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药物临床试验备案机构，更好地满足了药物研发期间的临床试验需求。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为贯彻落实属地监管责任，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保证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受试者安全及权益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，保证药物临床试验的质量，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我局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联合省卫生健康委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起草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了《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黑龙江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省药物临床机构监督管理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办法（试行）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（征求意见稿）》，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旨在进一步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规范我省药物临床试验机构监督管理，提升药物临床试验质量管理水平，服务医药产业高质量发展。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color w:val="000000"/>
          <w:szCs w:val="32"/>
        </w:rPr>
      </w:pPr>
      <w:r>
        <w:rPr>
          <w:rStyle w:val="5"/>
          <w:rFonts w:hint="eastAsia" w:ascii="黑体" w:hAnsi="黑体" w:eastAsia="黑体"/>
          <w:color w:val="000000"/>
          <w:szCs w:val="32"/>
        </w:rPr>
        <w:t>二、起草依据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《中华人民共和国药品管理法》《中华人民共和国疫苗管理法》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《药品注册管理办法》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《药物临床试验机构管理规定》《药物临床试验质量管理规范》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《药物临床试验机构监督检查办法》（试行）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等法律法规及规范性文件，结合我省药物临床试验机构基本情况及监管实际制定本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bidi="ar-SA"/>
        </w:rPr>
        <w:t>。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color w:val="000000"/>
          <w:szCs w:val="32"/>
        </w:rPr>
      </w:pPr>
      <w:r>
        <w:rPr>
          <w:rStyle w:val="5"/>
          <w:rFonts w:hint="eastAsia" w:ascii="黑体" w:hAnsi="黑体" w:eastAsia="黑体"/>
          <w:color w:val="000000"/>
          <w:szCs w:val="32"/>
        </w:rPr>
        <w:t>三、</w:t>
      </w:r>
      <w:r>
        <w:rPr>
          <w:rStyle w:val="5"/>
          <w:rFonts w:ascii="黑体" w:hAnsi="黑体" w:eastAsia="黑体"/>
          <w:color w:val="000000"/>
          <w:szCs w:val="32"/>
        </w:rPr>
        <w:t>起草过程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2023年11月初，省药监局多次组织相关人员就管理办法整体架构及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内容展开讨论，结合法律法规要求及工作实际进行政策研究，明确了文件起草思路和框架。12月初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起草组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完成了《黑龙江省药物临床试验机构监督管理办法（试行）》初稿。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其后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多次与业内专家、相关部门进一步对文件的合法性、规范性、必要性及适用性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等问题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进行研究探讨，现经汇总整理形成《黑龙江省药物临床试验机构监督管理办法（试行）（征求意见稿）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、主要内容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监督管理</w:t>
      </w:r>
      <w:r>
        <w:rPr>
          <w:rFonts w:eastAsia="仿宋_GB2312"/>
          <w:sz w:val="32"/>
          <w:szCs w:val="32"/>
        </w:rPr>
        <w:t>办法》共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章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eastAsia="仿宋_GB2312"/>
          <w:sz w:val="32"/>
          <w:szCs w:val="32"/>
        </w:rPr>
        <w:t>条，包括总则、</w:t>
      </w:r>
      <w:r>
        <w:rPr>
          <w:rFonts w:hint="eastAsia"/>
          <w:sz w:val="32"/>
          <w:szCs w:val="32"/>
          <w:lang w:eastAsia="zh-CN"/>
        </w:rPr>
        <w:t>备案管理、监督检查</w:t>
      </w:r>
      <w:r>
        <w:rPr>
          <w:rFonts w:eastAsia="仿宋_GB2312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档案及信息化管理</w:t>
      </w:r>
      <w:r>
        <w:rPr>
          <w:rFonts w:eastAsia="仿宋_GB2312"/>
          <w:sz w:val="32"/>
          <w:szCs w:val="32"/>
        </w:rPr>
        <w:t>、附则</w:t>
      </w:r>
      <w:r>
        <w:rPr>
          <w:rFonts w:hint="eastAsia"/>
          <w:sz w:val="32"/>
          <w:szCs w:val="32"/>
          <w:lang w:eastAsia="zh-CN"/>
        </w:rPr>
        <w:t>等部分</w:t>
      </w:r>
      <w:r>
        <w:rPr>
          <w:rFonts w:eastAsia="仿宋_GB2312"/>
          <w:sz w:val="32"/>
          <w:szCs w:val="32"/>
        </w:rPr>
        <w:t>，适用于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已在国家药</w:t>
      </w:r>
      <w:r>
        <w:rPr>
          <w:rFonts w:hint="eastAsia" w:eastAsia="仿宋_GB2312"/>
          <w:sz w:val="32"/>
          <w:szCs w:val="32"/>
          <w:lang w:val="en-US" w:eastAsia="zh-CN"/>
        </w:rPr>
        <w:t>品监督管理局网站“药物和医疗器械临床试验机构备案管理信息系统”备案的药物临床试验机构的监督管理。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（一）总则部分主要明确了</w:t>
      </w:r>
      <w:r>
        <w:rPr>
          <w:rFonts w:hint="eastAsia"/>
          <w:sz w:val="32"/>
          <w:szCs w:val="32"/>
          <w:lang w:val="en-US" w:eastAsia="zh-CN"/>
        </w:rPr>
        <w:t>制定此办法的</w:t>
      </w:r>
      <w:r>
        <w:rPr>
          <w:rFonts w:hint="eastAsia" w:eastAsia="仿宋_GB2312"/>
          <w:sz w:val="32"/>
          <w:szCs w:val="32"/>
          <w:lang w:val="en-US" w:eastAsia="zh-CN"/>
        </w:rPr>
        <w:t>目的依据、适用范围、监管内容、监管职责等内容。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（二）备案管理部分主要明确了机构备案资格、主要研究者资格、备案报告及机构运行管理要求等内容。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（三）监督检查部分主要明确了检查类别、检查内容、检查频次、检查员要求、检查程序、检查内容、沟通申诉机制、问题处理、违法行为查处等方面内容。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（四）档案及信息管理部分主要从档案管理、监管平台建立、信息化管理等方面提出了要求。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/>
        </w:rPr>
      </w:pPr>
    </w:p>
    <w:p>
      <w:pPr>
        <w:pStyle w:val="4"/>
        <w:rPr>
          <w:rFonts w:hint="eastAsia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WZiZDAwNjQ1NzE0MWJkNzhjYzA1NjBjMmM0NGUifQ=="/>
  </w:docVars>
  <w:rsids>
    <w:rsidRoot w:val="516C2B65"/>
    <w:rsid w:val="20522BE3"/>
    <w:rsid w:val="2CF43EB0"/>
    <w:rsid w:val="3B227EA4"/>
    <w:rsid w:val="3C0B1AEC"/>
    <w:rsid w:val="4A593B07"/>
    <w:rsid w:val="516C2B65"/>
    <w:rsid w:val="517D6D25"/>
    <w:rsid w:val="67D12223"/>
    <w:rsid w:val="73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rPr>
      <w:rFonts w:eastAsia="仿宋"/>
    </w:rPr>
  </w:style>
  <w:style w:type="character" w:customStyle="1" w:styleId="5">
    <w:name w:val="NormalCharacter"/>
    <w:autoRedefine/>
    <w:qFormat/>
    <w:uiPriority w:val="0"/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2024-01-05T06:17:00Z</dcterms:created>
  <dc:creator>刘丽</dc:creator>
  <cp:lastModifiedBy>刘丽</cp:lastModifiedBy>
  <dcterms:modified xsi:type="dcterms:W3CDTF">2024-01-05T08:11:41Z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8AF497299E99471E980C50441E67765E_11</vt:lpwstr>
  </property>
</Properties>
</file>