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spacing w:line="600" w:lineRule="exact"/>
        <w:ind w:firstLine="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附件7</w:t>
      </w:r>
    </w:p>
    <w:p>
      <w:pPr>
        <w:keepNext w:val="0"/>
        <w:keepLines w:val="0"/>
        <w:pageBreakBefore w:val="0"/>
        <w:widowControl/>
        <w:suppressLineNumbers w:val="0"/>
        <w:suppressAutoHyphens/>
        <w:kinsoku/>
        <w:wordWrap/>
        <w:overflowPunct/>
        <w:topLinePunct w:val="0"/>
        <w:autoSpaceDE/>
        <w:autoSpaceDN/>
        <w:bidi w:val="0"/>
        <w:adjustRightInd/>
        <w:snapToGrid/>
        <w:spacing w:line="600" w:lineRule="exact"/>
        <w:ind w:firstLine="440" w:firstLineChars="100"/>
        <w:jc w:val="left"/>
        <w:textAlignment w:val="auto"/>
        <w:rPr>
          <w:rFonts w:hint="eastAsia" w:ascii="方正小标宋简体" w:eastAsia="方正小标宋简体"/>
          <w:color w:val="auto"/>
          <w:sz w:val="44"/>
          <w:szCs w:val="44"/>
          <w:lang w:val="en-US" w:eastAsia="zh-CN"/>
        </w:rPr>
      </w:pPr>
    </w:p>
    <w:p>
      <w:pPr>
        <w:keepNext w:val="0"/>
        <w:keepLines w:val="0"/>
        <w:pageBreakBefore w:val="0"/>
        <w:widowControl/>
        <w:suppressLineNumbers w:val="0"/>
        <w:suppressAutoHyphens/>
        <w:kinsoku/>
        <w:wordWrap/>
        <w:overflowPunct/>
        <w:topLinePunct w:val="0"/>
        <w:autoSpaceDE/>
        <w:autoSpaceDN/>
        <w:bidi w:val="0"/>
        <w:adjustRightInd/>
        <w:snapToGrid/>
        <w:spacing w:line="600" w:lineRule="exact"/>
        <w:ind w:firstLine="440" w:firstLineChars="100"/>
        <w:jc w:val="left"/>
        <w:textAlignment w:val="auto"/>
        <w:rPr>
          <w:rFonts w:hint="eastAsia" w:ascii="方正小标宋简体" w:eastAsia="方正小标宋简体"/>
          <w:color w:val="auto"/>
          <w:sz w:val="44"/>
          <w:szCs w:val="44"/>
          <w:lang w:val="en-US" w:eastAsia="zh-CN"/>
        </w:rPr>
      </w:pPr>
      <w:r>
        <w:rPr>
          <w:rFonts w:hint="eastAsia" w:ascii="方正小标宋简体" w:eastAsia="方正小标宋简体"/>
          <w:color w:val="auto"/>
          <w:sz w:val="44"/>
          <w:szCs w:val="44"/>
          <w:lang w:val="en-US" w:eastAsia="zh-CN"/>
        </w:rPr>
        <w:t>湛江市按病种分值付费（DIP）特殊病例</w:t>
      </w:r>
    </w:p>
    <w:p>
      <w:pPr>
        <w:keepNext w:val="0"/>
        <w:keepLines w:val="0"/>
        <w:pageBreakBefore w:val="0"/>
        <w:widowControl/>
        <w:suppressLineNumbers w:val="0"/>
        <w:suppressAutoHyphens/>
        <w:kinsoku/>
        <w:wordWrap/>
        <w:overflowPunct/>
        <w:topLinePunct w:val="0"/>
        <w:autoSpaceDE/>
        <w:autoSpaceDN/>
        <w:bidi w:val="0"/>
        <w:adjustRightInd/>
        <w:snapToGrid/>
        <w:spacing w:line="600" w:lineRule="exact"/>
        <w:ind w:firstLine="3080" w:firstLineChars="700"/>
        <w:jc w:val="left"/>
        <w:textAlignment w:val="auto"/>
        <w:rPr>
          <w:rFonts w:hint="eastAsia" w:ascii="方正小标宋简体" w:eastAsia="方正小标宋简体"/>
          <w:color w:val="auto"/>
          <w:sz w:val="44"/>
          <w:szCs w:val="44"/>
          <w:lang w:val="en-US" w:eastAsia="zh-CN"/>
        </w:rPr>
      </w:pPr>
      <w:r>
        <w:rPr>
          <w:rFonts w:hint="eastAsia" w:ascii="方正小标宋简体" w:eastAsia="方正小标宋简体"/>
          <w:color w:val="auto"/>
          <w:sz w:val="44"/>
          <w:szCs w:val="44"/>
          <w:lang w:val="en-US" w:eastAsia="zh-CN"/>
        </w:rPr>
        <w:t>专家评议制度</w:t>
      </w:r>
    </w:p>
    <w:p>
      <w:pPr>
        <w:pStyle w:val="3"/>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仿宋"/>
          <w:sz w:val="32"/>
          <w:szCs w:val="32"/>
        </w:rPr>
      </w:pPr>
    </w:p>
    <w:p>
      <w:pPr>
        <w:keepNext w:val="0"/>
        <w:keepLines w:val="0"/>
        <w:pageBreakBefore w:val="0"/>
        <w:kinsoku/>
        <w:wordWrap/>
        <w:overflowPunct/>
        <w:topLinePunct w:val="0"/>
        <w:autoSpaceDE/>
        <w:autoSpaceDN/>
        <w:bidi w:val="0"/>
        <w:snapToGrid w:val="0"/>
        <w:spacing w:line="600" w:lineRule="exact"/>
        <w:ind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根据《广东省医疗保障局关于印发广东省医保支付制度评议组织议事规则的通知》（粤医保发〔2020〕20号）规定，结合我市实际，建立DIP特殊病例专家评议制度。</w:t>
      </w:r>
    </w:p>
    <w:p>
      <w:pPr>
        <w:pStyle w:val="3"/>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仿宋"/>
          <w:sz w:val="32"/>
          <w:szCs w:val="32"/>
        </w:rPr>
      </w:pPr>
      <w:r>
        <w:rPr>
          <w:rFonts w:ascii="Times New Roman" w:hAnsi="Times New Roman" w:eastAsia="黑体"/>
          <w:sz w:val="32"/>
          <w:szCs w:val="32"/>
        </w:rPr>
        <w:t>一、特殊病例的申报条件</w:t>
      </w:r>
    </w:p>
    <w:p>
      <w:pPr>
        <w:keepNext w:val="0"/>
        <w:keepLines w:val="0"/>
        <w:pageBreakBefore w:val="0"/>
        <w:kinsoku/>
        <w:wordWrap/>
        <w:overflowPunct/>
        <w:topLinePunct w:val="0"/>
        <w:autoSpaceDE/>
        <w:autoSpaceDN/>
        <w:bidi w:val="0"/>
        <w:snapToGrid w:val="0"/>
        <w:spacing w:line="60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DIP特殊病例专家评议是指定点医疗机构对符合以下条件1条的特殊病例进行申报，市医疗保障经办机构组织专家进行评议，对病例评议后的合理医疗费用进行校准病种分值：</w:t>
      </w:r>
    </w:p>
    <w:p>
      <w:pPr>
        <w:keepNext w:val="0"/>
        <w:keepLines w:val="0"/>
        <w:pageBreakBefore w:val="0"/>
        <w:kinsoku/>
        <w:wordWrap/>
        <w:overflowPunct/>
        <w:topLinePunct w:val="0"/>
        <w:autoSpaceDE/>
        <w:autoSpaceDN/>
        <w:bidi w:val="0"/>
        <w:snapToGrid w:val="0"/>
        <w:spacing w:line="60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1.病例住院天数大于该定点医疗机构平均住院天数的5倍;</w:t>
      </w:r>
    </w:p>
    <w:p>
      <w:pPr>
        <w:keepNext w:val="0"/>
        <w:keepLines w:val="0"/>
        <w:pageBreakBefore w:val="0"/>
        <w:kinsoku/>
        <w:wordWrap/>
        <w:overflowPunct/>
        <w:topLinePunct w:val="0"/>
        <w:autoSpaceDE/>
        <w:autoSpaceDN/>
        <w:bidi w:val="0"/>
        <w:snapToGrid w:val="0"/>
        <w:spacing w:line="600" w:lineRule="exact"/>
        <w:ind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2.病例总医疗费用超过上年度该病种标准分值所对应的基本医疗总费用的6倍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且未达到大病保险支付范围。</w:t>
      </w:r>
    </w:p>
    <w:p>
      <w:pPr>
        <w:keepNext w:val="0"/>
        <w:keepLines w:val="0"/>
        <w:pageBreakBefore w:val="0"/>
        <w:kinsoku/>
        <w:wordWrap/>
        <w:overflowPunct/>
        <w:topLinePunct w:val="0"/>
        <w:autoSpaceDE/>
        <w:autoSpaceDN/>
        <w:bidi w:val="0"/>
        <w:snapToGrid w:val="0"/>
        <w:spacing w:line="600" w:lineRule="exact"/>
        <w:ind w:firstLine="64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3.病例的监护病房床位使用天数不小于该病例住院床位使用总天数的80%</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napToGrid w:val="0"/>
        <w:spacing w:line="600" w:lineRule="exact"/>
        <w:ind w:firstLine="64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4.运用创新医疗技术(指3年内开展湛江首例或省内首例的新技术，获得国家、省自然科学奖、技术发明奖、科学技术进步奖的医疗技术或者治疗手段)的病例</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napToGrid w:val="0"/>
        <w:spacing w:line="60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5.运用经国家、省、市卫生健康行政部门评审认定并公布的临床高新技术、临床重大技术或者临床特色技术的病例。</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Times New Roman" w:hAnsi="Times New Roman" w:eastAsia="黑体"/>
          <w:sz w:val="32"/>
          <w:szCs w:val="32"/>
        </w:rPr>
      </w:pPr>
      <w:r>
        <w:rPr>
          <w:rFonts w:ascii="Times New Roman" w:hAnsi="Times New Roman" w:eastAsia="黑体"/>
          <w:sz w:val="32"/>
          <w:szCs w:val="32"/>
        </w:rPr>
        <w:t>二、特殊病例的数量规定</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在每年年度清算前，定点医疗机构向市医疗保障经办机构提出按特殊病例结算的申请,申请病例数不超过该定点医疗机构当年度按病种分值付费人次的1‰。申请病例数计算结果四舍五入至个位。</w:t>
      </w:r>
    </w:p>
    <w:p>
      <w:pPr>
        <w:keepNext w:val="0"/>
        <w:keepLines w:val="0"/>
        <w:pageBreakBefore w:val="0"/>
        <w:numPr>
          <w:ilvl w:val="0"/>
          <w:numId w:val="1"/>
        </w:numPr>
        <w:kinsoku/>
        <w:wordWrap/>
        <w:overflowPunct/>
        <w:topLinePunct w:val="0"/>
        <w:autoSpaceDE/>
        <w:autoSpaceDN/>
        <w:bidi w:val="0"/>
        <w:spacing w:line="600" w:lineRule="exact"/>
        <w:ind w:firstLine="640" w:firstLineChars="200"/>
        <w:jc w:val="left"/>
        <w:textAlignment w:val="auto"/>
        <w:rPr>
          <w:rFonts w:ascii="Times New Roman" w:hAnsi="Times New Roman" w:eastAsia="黑体"/>
          <w:sz w:val="32"/>
          <w:szCs w:val="32"/>
        </w:rPr>
      </w:pPr>
      <w:r>
        <w:rPr>
          <w:rFonts w:ascii="Times New Roman" w:hAnsi="Times New Roman" w:eastAsia="黑体"/>
          <w:sz w:val="32"/>
          <w:szCs w:val="32"/>
        </w:rPr>
        <w:t>专家评议流程</w:t>
      </w:r>
    </w:p>
    <w:p>
      <w:pPr>
        <w:keepNext w:val="0"/>
        <w:keepLines w:val="0"/>
        <w:pageBreakBefore w:val="0"/>
        <w:kinsoku/>
        <w:wordWrap/>
        <w:overflowPunct/>
        <w:topLinePunct w:val="0"/>
        <w:autoSpaceDE/>
        <w:autoSpaceDN/>
        <w:bidi w:val="0"/>
        <w:snapToGrid w:val="0"/>
        <w:spacing w:line="60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定点医疗机构每年在规定时间内对符合特殊病例评议条件的病例，按要求将住院病历、费用结算单、医保结算清单、创新医疗技术、临床高新技术、临床重大技术、者临床特色技术等相关佐证材料报送至市经办机构，提出特殊病例专家评议的申请。</w:t>
      </w:r>
    </w:p>
    <w:p>
      <w:pPr>
        <w:keepNext w:val="0"/>
        <w:keepLines w:val="0"/>
        <w:pageBreakBefore w:val="0"/>
        <w:kinsoku/>
        <w:wordWrap/>
        <w:overflowPunct/>
        <w:topLinePunct w:val="0"/>
        <w:autoSpaceDE/>
        <w:autoSpaceDN/>
        <w:bidi w:val="0"/>
        <w:snapToGrid w:val="0"/>
        <w:spacing w:line="60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2.初审：市经办机构对申请专家评议的特殊病例进行初审，重点审核申报材料是否齐全、病例是否达到申报条件等，对初审符合条件的病例进行汇总后进行专家评议。</w:t>
      </w:r>
    </w:p>
    <w:p>
      <w:pPr>
        <w:keepNext w:val="0"/>
        <w:keepLines w:val="0"/>
        <w:pageBreakBefore w:val="0"/>
        <w:kinsoku/>
        <w:wordWrap/>
        <w:overflowPunct/>
        <w:topLinePunct w:val="0"/>
        <w:autoSpaceDE/>
        <w:autoSpaceDN/>
        <w:bidi w:val="0"/>
        <w:snapToGrid w:val="0"/>
        <w:spacing w:line="60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3.专家评议：市经办机构根据省、市智能审核规则对符合申报的病例进行智能审核违规筛查，初步筛选出可疑违规数据。从DIP专家库抽取专家开展特殊病例评议工作，每一病例评议不少于3名专家。</w:t>
      </w:r>
    </w:p>
    <w:p>
      <w:pPr>
        <w:keepNext w:val="0"/>
        <w:keepLines w:val="0"/>
        <w:pageBreakBefore w:val="0"/>
        <w:kinsoku/>
        <w:wordWrap/>
        <w:overflowPunct/>
        <w:topLinePunct w:val="0"/>
        <w:autoSpaceDE/>
        <w:autoSpaceDN/>
        <w:bidi w:val="0"/>
        <w:snapToGrid w:val="0"/>
        <w:spacing w:line="60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家根据国家、省的医保、卫生健康或中医药管理等部门认可的诊疗指南及智能审核初筛结果，结合我市实际诊疗水平，分别从诊断是否准确、检查是否合理、用药是否合理、治疗是否合理、收费是否合理等五个方面进行评议。具体标准见附件。</w:t>
      </w:r>
    </w:p>
    <w:p>
      <w:pPr>
        <w:keepNext w:val="0"/>
        <w:keepLines w:val="0"/>
        <w:pageBreakBefore w:val="0"/>
        <w:kinsoku/>
        <w:wordWrap/>
        <w:overflowPunct/>
        <w:topLinePunct w:val="0"/>
        <w:autoSpaceDE/>
        <w:autoSpaceDN/>
        <w:bidi w:val="0"/>
        <w:snapToGrid w:val="0"/>
        <w:spacing w:line="600" w:lineRule="exact"/>
        <w:ind w:firstLine="645"/>
        <w:jc w:val="left"/>
        <w:textAlignment w:val="auto"/>
        <w:rPr>
          <w:rFonts w:ascii="Times New Roman" w:hAnsi="Times New Roman" w:eastAsia="楷体_GB2312"/>
          <w:sz w:val="32"/>
          <w:szCs w:val="32"/>
        </w:rPr>
      </w:pPr>
      <w:r>
        <w:rPr>
          <w:rFonts w:ascii="Times New Roman" w:hAnsi="Times New Roman" w:eastAsia="黑体"/>
          <w:sz w:val="32"/>
          <w:szCs w:val="32"/>
        </w:rPr>
        <w:t>四、特殊病例评议结果运用</w:t>
      </w:r>
    </w:p>
    <w:p>
      <w:pPr>
        <w:keepNext w:val="0"/>
        <w:keepLines w:val="0"/>
        <w:pageBreakBefore w:val="0"/>
        <w:kinsoku/>
        <w:wordWrap/>
        <w:overflowPunct/>
        <w:topLinePunct w:val="0"/>
        <w:autoSpaceDE/>
        <w:autoSpaceDN/>
        <w:bidi w:val="0"/>
        <w:snapToGrid w:val="0"/>
        <w:spacing w:line="60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经办机构根据专家评议结果，经审核后符合规定的特殊病例重新核定分值，不再纳入费用偏差病例计算，如有涉及违规的病例按照有关规定处理。专家评议得分率低于60%的，按普通DIP分值支付、可纳入费用偏差病例计算，不再按特殊病例重新核定分值。重新核定分值计算公式如下：</w:t>
      </w:r>
    </w:p>
    <w:p>
      <w:pPr>
        <w:keepNext w:val="0"/>
        <w:keepLines w:val="0"/>
        <w:pageBreakBefore w:val="0"/>
        <w:kinsoku/>
        <w:wordWrap/>
        <w:overflowPunct/>
        <w:topLinePunct w:val="0"/>
        <w:autoSpaceDE/>
        <w:autoSpaceDN/>
        <w:bidi w:val="0"/>
        <w:snapToGrid w:val="0"/>
        <w:spacing w:line="60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特殊病例分值=（该病例医疗总费用×特殊病例专家评议得分率）÷基准病种的上年度所有病例平均医疗费用×1000。</w:t>
      </w:r>
    </w:p>
    <w:p>
      <w:pPr>
        <w:keepNext w:val="0"/>
        <w:keepLines w:val="0"/>
        <w:pageBreakBefore w:val="0"/>
        <w:kinsoku/>
        <w:wordWrap/>
        <w:overflowPunct/>
        <w:topLinePunct w:val="0"/>
        <w:autoSpaceDE/>
        <w:autoSpaceDN/>
        <w:bidi w:val="0"/>
        <w:snapToGrid w:val="0"/>
        <w:spacing w:line="600" w:lineRule="exact"/>
        <w:ind w:firstLine="645"/>
        <w:jc w:val="left"/>
        <w:textAlignment w:val="auto"/>
        <w:rPr>
          <w:rFonts w:ascii="Times New Roman" w:hAnsi="Times New Roman" w:eastAsia="黑体"/>
          <w:sz w:val="32"/>
          <w:szCs w:val="32"/>
        </w:rPr>
      </w:pPr>
      <w:r>
        <w:rPr>
          <w:rFonts w:ascii="Times New Roman" w:hAnsi="Times New Roman" w:eastAsia="黑体"/>
          <w:sz w:val="32"/>
          <w:szCs w:val="32"/>
        </w:rPr>
        <w:t>五、其他规定</w:t>
      </w:r>
    </w:p>
    <w:p>
      <w:pPr>
        <w:keepNext w:val="0"/>
        <w:keepLines w:val="0"/>
        <w:pageBreakBefore w:val="0"/>
        <w:kinsoku/>
        <w:wordWrap/>
        <w:overflowPunct/>
        <w:topLinePunct w:val="0"/>
        <w:autoSpaceDE/>
        <w:autoSpaceDN/>
        <w:bidi w:val="0"/>
        <w:snapToGrid w:val="0"/>
        <w:spacing w:line="60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1.各定点医疗机构要对本单位申请专家评议的病例进行认真审核，保证相关材料符合条件、真实完整。</w:t>
      </w:r>
    </w:p>
    <w:p>
      <w:pPr>
        <w:keepNext w:val="0"/>
        <w:keepLines w:val="0"/>
        <w:pageBreakBefore w:val="0"/>
        <w:kinsoku/>
        <w:wordWrap/>
        <w:overflowPunct/>
        <w:topLinePunct w:val="0"/>
        <w:autoSpaceDE/>
        <w:autoSpaceDN/>
        <w:bidi w:val="0"/>
        <w:snapToGrid w:val="0"/>
        <w:spacing w:line="60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2.实行回避制度，专家及相关人员不能对本单位及合作关系单位的病例进行评议评审工作。各专家在评议评审工作中必须做到客观、公正，不得向他人泄露工作中涉及的相关数据、资料。</w:t>
      </w:r>
    </w:p>
    <w:p>
      <w:pPr>
        <w:snapToGrid w:val="0"/>
        <w:spacing w:line="610" w:lineRule="exact"/>
        <w:ind w:left="420" w:leftChars="200"/>
        <w:rPr>
          <w:rFonts w:ascii="Times New Roman" w:hAnsi="Times New Roman" w:eastAsia="仿宋_GB2312"/>
          <w:sz w:val="32"/>
          <w:szCs w:val="32"/>
        </w:rPr>
      </w:pPr>
    </w:p>
    <w:p>
      <w:pPr>
        <w:rPr>
          <w:rFonts w:ascii="Times New Roman" w:hAnsi="Times New Roman"/>
        </w:rPr>
      </w:pPr>
    </w:p>
    <w:p>
      <w:pPr>
        <w:rPr>
          <w:rFonts w:ascii="Times New Roman" w:hAnsi="Times New Roman"/>
        </w:rPr>
      </w:pPr>
    </w:p>
    <w:p>
      <w:pPr>
        <w:rPr>
          <w:rFonts w:ascii="Times New Roman" w:hAnsi="Times New Roman"/>
        </w:rPr>
      </w:pPr>
      <w:bookmarkStart w:id="0" w:name="_GoBack"/>
      <w:bookmarkEnd w:id="0"/>
    </w:p>
    <w:p>
      <w:pPr>
        <w:rPr>
          <w:rFonts w:ascii="Times New Roman" w:hAnsi="Times New Roman"/>
        </w:rPr>
      </w:pPr>
    </w:p>
    <w:p>
      <w:pPr>
        <w:rPr>
          <w:rFonts w:ascii="Times New Roman" w:hAnsi="Times New Roman"/>
        </w:rPr>
      </w:pPr>
    </w:p>
    <w:p>
      <w:pPr>
        <w:spacing w:line="600" w:lineRule="exact"/>
        <w:jc w:val="center"/>
        <w:rPr>
          <w:rFonts w:ascii="Times New Roman" w:hAnsi="Times New Roman" w:eastAsia="黑体"/>
          <w:sz w:val="44"/>
          <w:szCs w:val="44"/>
        </w:rPr>
      </w:pPr>
    </w:p>
    <w:p>
      <w:pPr>
        <w:spacing w:line="600" w:lineRule="exact"/>
        <w:jc w:val="center"/>
        <w:rPr>
          <w:rFonts w:ascii="Times New Roman" w:hAnsi="Times New Roman" w:eastAsia="黑体"/>
          <w:sz w:val="44"/>
          <w:szCs w:val="44"/>
        </w:rPr>
      </w:pPr>
    </w:p>
    <w:p>
      <w:pPr>
        <w:spacing w:line="600" w:lineRule="exact"/>
        <w:jc w:val="center"/>
        <w:rPr>
          <w:rFonts w:ascii="Times New Roman" w:hAnsi="Times New Roman" w:eastAsia="黑体"/>
          <w:sz w:val="44"/>
          <w:szCs w:val="44"/>
        </w:rPr>
      </w:pPr>
    </w:p>
    <w:p>
      <w:pPr>
        <w:spacing w:line="600" w:lineRule="exact"/>
        <w:jc w:val="center"/>
        <w:rPr>
          <w:rFonts w:ascii="Times New Roman" w:hAnsi="Times New Roman" w:eastAsia="黑体"/>
          <w:sz w:val="44"/>
          <w:szCs w:val="44"/>
        </w:rPr>
      </w:pPr>
    </w:p>
    <w:p>
      <w:pPr>
        <w:spacing w:line="600" w:lineRule="exact"/>
        <w:jc w:val="center"/>
        <w:rPr>
          <w:rFonts w:ascii="Times New Roman" w:hAnsi="Times New Roman" w:eastAsia="黑体"/>
          <w:sz w:val="44"/>
          <w:szCs w:val="44"/>
        </w:rPr>
      </w:pPr>
      <w:r>
        <w:rPr>
          <w:rFonts w:ascii="Times New Roman" w:hAnsi="Times New Roman" w:eastAsia="黑体"/>
          <w:sz w:val="44"/>
          <w:szCs w:val="44"/>
        </w:rPr>
        <w:t>特殊病例专家评议标准</w:t>
      </w:r>
    </w:p>
    <w:p>
      <w:pPr>
        <w:spacing w:line="600" w:lineRule="exact"/>
        <w:rPr>
          <w:rFonts w:ascii="Times New Roman" w:hAnsi="Times New Roman" w:eastAsia="方正小标宋简体"/>
          <w:sz w:val="32"/>
          <w:szCs w:val="32"/>
        </w:rPr>
      </w:pPr>
    </w:p>
    <w:tbl>
      <w:tblPr>
        <w:tblStyle w:val="7"/>
        <w:tblW w:w="9242" w:type="dxa"/>
        <w:tblInd w:w="0" w:type="dxa"/>
        <w:tblLayout w:type="autofit"/>
        <w:tblCellMar>
          <w:top w:w="0" w:type="dxa"/>
          <w:left w:w="108" w:type="dxa"/>
          <w:bottom w:w="0" w:type="dxa"/>
          <w:right w:w="108" w:type="dxa"/>
        </w:tblCellMar>
      </w:tblPr>
      <w:tblGrid>
        <w:gridCol w:w="1304"/>
        <w:gridCol w:w="850"/>
        <w:gridCol w:w="850"/>
        <w:gridCol w:w="850"/>
        <w:gridCol w:w="850"/>
        <w:gridCol w:w="850"/>
        <w:gridCol w:w="852"/>
        <w:gridCol w:w="2836"/>
      </w:tblGrid>
      <w:tr>
        <w:tblPrEx>
          <w:tblCellMar>
            <w:top w:w="0" w:type="dxa"/>
            <w:left w:w="108" w:type="dxa"/>
            <w:bottom w:w="0" w:type="dxa"/>
            <w:right w:w="108" w:type="dxa"/>
          </w:tblCellMar>
        </w:tblPrEx>
        <w:trPr>
          <w:trHeight w:val="567" w:hRule="atLeast"/>
        </w:trPr>
        <w:tc>
          <w:tcPr>
            <w:tcW w:w="1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评议内容</w:t>
            </w:r>
          </w:p>
        </w:tc>
        <w:tc>
          <w:tcPr>
            <w:tcW w:w="510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标准说明</w:t>
            </w:r>
          </w:p>
        </w:tc>
        <w:tc>
          <w:tcPr>
            <w:tcW w:w="283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佐证材料</w:t>
            </w:r>
          </w:p>
        </w:tc>
      </w:tr>
      <w:tr>
        <w:tblPrEx>
          <w:tblCellMar>
            <w:top w:w="0" w:type="dxa"/>
            <w:left w:w="108" w:type="dxa"/>
            <w:bottom w:w="0" w:type="dxa"/>
            <w:right w:w="108" w:type="dxa"/>
          </w:tblCellMar>
        </w:tblPrEx>
        <w:trPr>
          <w:trHeight w:val="850" w:hRule="atLeast"/>
        </w:trPr>
        <w:tc>
          <w:tcPr>
            <w:tcW w:w="1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准确合理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轻度偏差</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中度偏差</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较大偏差</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极大偏差</w:t>
            </w:r>
          </w:p>
        </w:tc>
        <w:tc>
          <w:tcPr>
            <w:tcW w:w="85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明显错误</w:t>
            </w:r>
          </w:p>
        </w:tc>
        <w:tc>
          <w:tcPr>
            <w:tcW w:w="2836"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kern w:val="0"/>
                <w:sz w:val="24"/>
                <w:szCs w:val="24"/>
              </w:rPr>
            </w:pPr>
          </w:p>
        </w:tc>
      </w:tr>
      <w:tr>
        <w:tblPrEx>
          <w:tblCellMar>
            <w:top w:w="0" w:type="dxa"/>
            <w:left w:w="108" w:type="dxa"/>
            <w:bottom w:w="0" w:type="dxa"/>
            <w:right w:w="108" w:type="dxa"/>
          </w:tblCellMar>
        </w:tblPrEx>
        <w:trPr>
          <w:trHeight w:val="567" w:hRule="atLeast"/>
        </w:trPr>
        <w:tc>
          <w:tcPr>
            <w:tcW w:w="13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诊断准确</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4分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3分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1分</w:t>
            </w:r>
          </w:p>
        </w:tc>
        <w:tc>
          <w:tcPr>
            <w:tcW w:w="85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0分</w:t>
            </w:r>
          </w:p>
        </w:tc>
        <w:tc>
          <w:tcPr>
            <w:tcW w:w="28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4"/>
                <w:szCs w:val="24"/>
              </w:rPr>
            </w:pPr>
            <w:r>
              <w:rPr>
                <w:rFonts w:ascii="Times New Roman" w:hAnsi="Times New Roman"/>
                <w:color w:val="000000"/>
                <w:kern w:val="0"/>
                <w:sz w:val="24"/>
                <w:szCs w:val="24"/>
              </w:rPr>
              <w:t>提供相应病种的诊疗指南（指国家、省级的医保、卫生健康或中医药管理等部门认可的诊疗指南）</w:t>
            </w:r>
          </w:p>
        </w:tc>
      </w:tr>
      <w:tr>
        <w:tblPrEx>
          <w:tblCellMar>
            <w:top w:w="0" w:type="dxa"/>
            <w:left w:w="108" w:type="dxa"/>
            <w:bottom w:w="0" w:type="dxa"/>
            <w:right w:w="108" w:type="dxa"/>
          </w:tblCellMar>
        </w:tblPrEx>
        <w:trPr>
          <w:trHeight w:val="567" w:hRule="atLeast"/>
        </w:trPr>
        <w:tc>
          <w:tcPr>
            <w:tcW w:w="13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合理检查</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4分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3分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1分</w:t>
            </w:r>
          </w:p>
        </w:tc>
        <w:tc>
          <w:tcPr>
            <w:tcW w:w="85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0分</w:t>
            </w:r>
          </w:p>
        </w:tc>
        <w:tc>
          <w:tcPr>
            <w:tcW w:w="283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567" w:hRule="atLeast"/>
        </w:trPr>
        <w:tc>
          <w:tcPr>
            <w:tcW w:w="13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合理用药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4分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3分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1分</w:t>
            </w:r>
          </w:p>
        </w:tc>
        <w:tc>
          <w:tcPr>
            <w:tcW w:w="85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0分</w:t>
            </w:r>
          </w:p>
        </w:tc>
        <w:tc>
          <w:tcPr>
            <w:tcW w:w="283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567" w:hRule="atLeast"/>
        </w:trPr>
        <w:tc>
          <w:tcPr>
            <w:tcW w:w="13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合理治疗</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4分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3分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1分</w:t>
            </w:r>
          </w:p>
        </w:tc>
        <w:tc>
          <w:tcPr>
            <w:tcW w:w="85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0分</w:t>
            </w:r>
          </w:p>
        </w:tc>
        <w:tc>
          <w:tcPr>
            <w:tcW w:w="283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567" w:hRule="atLeast"/>
        </w:trPr>
        <w:tc>
          <w:tcPr>
            <w:tcW w:w="13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合理收费</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4分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3分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1分</w:t>
            </w:r>
          </w:p>
        </w:tc>
        <w:tc>
          <w:tcPr>
            <w:tcW w:w="85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0分</w:t>
            </w:r>
          </w:p>
        </w:tc>
        <w:tc>
          <w:tcPr>
            <w:tcW w:w="283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1134" w:hRule="atLeast"/>
        </w:trPr>
        <w:tc>
          <w:tcPr>
            <w:tcW w:w="13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运用新医疗技术</w:t>
            </w:r>
          </w:p>
        </w:tc>
        <w:tc>
          <w:tcPr>
            <w:tcW w:w="5102"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国家级奖项加3分，省级奖项加2分</w:t>
            </w:r>
          </w:p>
        </w:tc>
        <w:tc>
          <w:tcPr>
            <w:tcW w:w="283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4"/>
                <w:szCs w:val="24"/>
              </w:rPr>
            </w:pPr>
            <w:r>
              <w:rPr>
                <w:rFonts w:ascii="Times New Roman" w:hAnsi="Times New Roman"/>
                <w:color w:val="000000"/>
                <w:kern w:val="0"/>
                <w:sz w:val="24"/>
                <w:szCs w:val="24"/>
              </w:rPr>
              <w:t>获得国家、省自然科学奖、技术发明奖、科学技术进步奖等证明材料</w:t>
            </w:r>
          </w:p>
        </w:tc>
      </w:tr>
    </w:tbl>
    <w:p>
      <w:pPr>
        <w:spacing w:line="600" w:lineRule="exact"/>
        <w:rPr>
          <w:rFonts w:ascii="Times New Roman" w:hAnsi="Times New Roman"/>
          <w:sz w:val="24"/>
          <w:szCs w:val="24"/>
        </w:rPr>
      </w:pPr>
      <w:r>
        <w:rPr>
          <w:rFonts w:ascii="Times New Roman" w:hAnsi="Times New Roman"/>
          <w:sz w:val="24"/>
          <w:szCs w:val="24"/>
        </w:rPr>
        <w:t>说明：特殊病例评议总分25分，运用新医疗技术加分后总分不超过25分。</w:t>
      </w:r>
    </w:p>
    <w:p>
      <w:pPr>
        <w:snapToGrid w:val="0"/>
        <w:spacing w:line="610" w:lineRule="exact"/>
        <w:rPr>
          <w:rFonts w:ascii="Times New Roman" w:hAnsi="Times New Roman" w:eastAsia="仿宋_GB2312"/>
          <w:sz w:val="32"/>
          <w:szCs w:val="32"/>
        </w:rPr>
      </w:pPr>
    </w:p>
    <w:p>
      <w:pPr>
        <w:snapToGrid w:val="0"/>
        <w:spacing w:line="610" w:lineRule="exact"/>
        <w:rPr>
          <w:rFonts w:ascii="Times New Roman" w:hAnsi="Times New Roman" w:eastAsia="仿宋_GB2312"/>
          <w:sz w:val="32"/>
          <w:szCs w:val="32"/>
        </w:rPr>
      </w:pPr>
    </w:p>
    <w:p>
      <w:pPr>
        <w:snapToGrid w:val="0"/>
        <w:spacing w:line="610" w:lineRule="exact"/>
        <w:rPr>
          <w:rFonts w:ascii="Times New Roman" w:hAnsi="Times New Roman" w:eastAsia="仿宋_GB2312"/>
          <w:sz w:val="32"/>
          <w:szCs w:val="32"/>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fldChar w:fldCharType="begin"/>
                          </w:r>
                          <w:r>
                            <w:rPr>
                              <w:rFonts w:hint="eastAsia" w:ascii="CESI仿宋-GB2312" w:hAnsi="CESI仿宋-GB2312" w:eastAsia="CESI仿宋-GB2312" w:cs="CESI仿宋-GB2312"/>
                              <w:sz w:val="32"/>
                              <w:szCs w:val="32"/>
                            </w:rPr>
                            <w:instrText xml:space="preserve"> PAGE  \* MERGEFORMAT </w:instrText>
                          </w:r>
                          <w:r>
                            <w:rPr>
                              <w:rFonts w:hint="eastAsia" w:ascii="CESI仿宋-GB2312" w:hAnsi="CESI仿宋-GB2312" w:eastAsia="CESI仿宋-GB2312" w:cs="CESI仿宋-GB2312"/>
                              <w:sz w:val="32"/>
                              <w:szCs w:val="32"/>
                            </w:rPr>
                            <w:fldChar w:fldCharType="separate"/>
                          </w:r>
                          <w:r>
                            <w:rPr>
                              <w:rFonts w:hint="eastAsia" w:ascii="CESI仿宋-GB2312" w:hAnsi="CESI仿宋-GB2312" w:eastAsia="CESI仿宋-GB2312" w:cs="CESI仿宋-GB2312"/>
                              <w:sz w:val="32"/>
                              <w:szCs w:val="32"/>
                            </w:rPr>
                            <w:t>1</w:t>
                          </w:r>
                          <w:r>
                            <w:rPr>
                              <w:rFonts w:hint="eastAsia" w:ascii="CESI仿宋-GB2312" w:hAnsi="CESI仿宋-GB2312" w:eastAsia="CESI仿宋-GB2312" w:cs="CESI仿宋-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fldChar w:fldCharType="begin"/>
                    </w:r>
                    <w:r>
                      <w:rPr>
                        <w:rFonts w:hint="eastAsia" w:ascii="CESI仿宋-GB2312" w:hAnsi="CESI仿宋-GB2312" w:eastAsia="CESI仿宋-GB2312" w:cs="CESI仿宋-GB2312"/>
                        <w:sz w:val="32"/>
                        <w:szCs w:val="32"/>
                      </w:rPr>
                      <w:instrText xml:space="preserve"> PAGE  \* MERGEFORMAT </w:instrText>
                    </w:r>
                    <w:r>
                      <w:rPr>
                        <w:rFonts w:hint="eastAsia" w:ascii="CESI仿宋-GB2312" w:hAnsi="CESI仿宋-GB2312" w:eastAsia="CESI仿宋-GB2312" w:cs="CESI仿宋-GB2312"/>
                        <w:sz w:val="32"/>
                        <w:szCs w:val="32"/>
                      </w:rPr>
                      <w:fldChar w:fldCharType="separate"/>
                    </w:r>
                    <w:r>
                      <w:rPr>
                        <w:rFonts w:hint="eastAsia" w:ascii="CESI仿宋-GB2312" w:hAnsi="CESI仿宋-GB2312" w:eastAsia="CESI仿宋-GB2312" w:cs="CESI仿宋-GB2312"/>
                        <w:sz w:val="32"/>
                        <w:szCs w:val="32"/>
                      </w:rPr>
                      <w:t>1</w:t>
                    </w:r>
                    <w:r>
                      <w:rPr>
                        <w:rFonts w:hint="eastAsia" w:ascii="CESI仿宋-GB2312" w:hAnsi="CESI仿宋-GB2312" w:eastAsia="CESI仿宋-GB2312" w:cs="CESI仿宋-GB2312"/>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6F77C"/>
    <w:multiLevelType w:val="singleLevel"/>
    <w:tmpl w:val="9296F77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hMTIzNjRmMjViY2ZiZjQ4OTMxZTI3OTMzNDMzYWIifQ=="/>
  </w:docVars>
  <w:rsids>
    <w:rsidRoot w:val="002856FF"/>
    <w:rsid w:val="00076ECA"/>
    <w:rsid w:val="002856FF"/>
    <w:rsid w:val="002D17DE"/>
    <w:rsid w:val="005005F7"/>
    <w:rsid w:val="006C5EE3"/>
    <w:rsid w:val="02D93301"/>
    <w:rsid w:val="12C36725"/>
    <w:rsid w:val="1BEA1C19"/>
    <w:rsid w:val="27E948B1"/>
    <w:rsid w:val="2B961A45"/>
    <w:rsid w:val="343F1AB8"/>
    <w:rsid w:val="51E927FF"/>
    <w:rsid w:val="5A600933"/>
    <w:rsid w:val="636FA051"/>
    <w:rsid w:val="6C13058A"/>
    <w:rsid w:val="6CFF50EF"/>
    <w:rsid w:val="71E32B8C"/>
    <w:rsid w:val="77D672BB"/>
    <w:rsid w:val="7AB87AC7"/>
    <w:rsid w:val="7FBFE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pPr>
    <w:rPr>
      <w:rFonts w:ascii="仿宋_GB2312" w:hAnsi="仿宋_GB2312" w:cs="仿宋_GB2312"/>
      <w:sz w:val="22"/>
      <w:szCs w:val="32"/>
      <w:lang w:eastAsia="en-US"/>
    </w:rPr>
  </w:style>
  <w:style w:type="paragraph" w:styleId="3">
    <w:name w:val="Body Text Indent"/>
    <w:basedOn w:val="1"/>
    <w:qFormat/>
    <w:uiPriority w:val="0"/>
    <w:pPr>
      <w:adjustRightInd w:val="0"/>
      <w:spacing w:line="360" w:lineRule="auto"/>
      <w:ind w:firstLine="490"/>
      <w:jc w:val="left"/>
    </w:pPr>
    <w:rPr>
      <w:rFonts w:ascii="宋体" w:hAnsi="宋体"/>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10"/>
    <w:pPr>
      <w:spacing w:before="240" w:after="60"/>
      <w:jc w:val="center"/>
      <w:outlineLvl w:val="0"/>
    </w:pPr>
    <w:rPr>
      <w:rFonts w:ascii="Cambria" w:hAnsi="Cambria"/>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238</Words>
  <Characters>1361</Characters>
  <Lines>11</Lines>
  <Paragraphs>3</Paragraphs>
  <TotalTime>57</TotalTime>
  <ScaleCrop>false</ScaleCrop>
  <LinksUpToDate>false</LinksUpToDate>
  <CharactersWithSpaces>1596</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2023-11-03T01:14:00Z</dcterms:created>
  <dc:creator>15816</dc:creator>
  <cp:lastModifiedBy>Admin</cp:lastModifiedBy>
  <cp:lastPrinted>2023-11-14T00:58:00Z</cp:lastPrinted>
  <dcterms:modified xsi:type="dcterms:W3CDTF">2023-12-29T11:08:02Z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ADF4D79B30AB4D418C21922159B5B2E1_13</vt:lpwstr>
  </property>
</Properties>
</file>