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青海省医疗保障领域轻微违法行为免罚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事项清单（试行）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为加强医疗保障领域法治政府建设，推动医疗保障行政执法规范化建设，探索实施包容审慎监管，加快打造医疗保障领域法治化营商环境，依据《中华人民共和国行政处罚法》《国务院关于进一步贯彻实施〈中华人民共和国行政处罚法〉的通知》等法律法规，结合医疗保障工作实际，制定《青海省医疗保障领域轻微违法行为免罚事项清单（试行）》（以下简称《免罚清单》）。现印发你们，请认真遵照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楷体" w:hAnsi="楷体" w:eastAsia="楷体" w:cs="楷体"/>
          <w:bCs/>
          <w:kern w:val="0"/>
          <w:sz w:val="32"/>
          <w:szCs w:val="32"/>
          <w:lang w:val="en-US" w:eastAsia="zh-CN"/>
        </w:rPr>
        <w:t>（一）指导思想。</w:t>
      </w:r>
      <w:r>
        <w:rPr>
          <w:rFonts w:hint="eastAsia" w:ascii="仿宋_GB2312" w:hAnsi="仿宋_GB2312" w:eastAsia="仿宋_GB2312" w:cs="仿宋_GB2312"/>
          <w:bCs/>
          <w:kern w:val="0"/>
          <w:sz w:val="32"/>
          <w:szCs w:val="32"/>
          <w:lang w:val="en-US" w:eastAsia="zh-CN"/>
        </w:rPr>
        <w:t>以习近平新时代中国特色社会主义思想为指导，全面贯彻党的二十大精神，深入贯彻落实习近平法治思想，认真落实党中央、国务院和省委、省政府关于优化营商环境的决策部署，牢固树立执法为民理念，坚持严格规范公正文明执法，依法制定、严格实施轻微违法行为免罚事项清单（以下简称《免罚清单》），不断增强人民群众和市场主体的法治获得感、满意度，建设更加包容、更具活力、更有温度的营商环境，促进我省经济社会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楷体" w:hAnsi="楷体" w:eastAsia="楷体" w:cs="楷体"/>
          <w:bCs/>
          <w:kern w:val="0"/>
          <w:sz w:val="32"/>
          <w:szCs w:val="32"/>
          <w:lang w:val="en-US" w:eastAsia="zh-CN"/>
        </w:rPr>
        <w:t>（二）基本原则。</w:t>
      </w:r>
      <w:r>
        <w:rPr>
          <w:rFonts w:hint="eastAsia" w:ascii="仿宋_GB2312" w:hAnsi="仿宋_GB2312" w:eastAsia="仿宋_GB2312" w:cs="仿宋_GB2312"/>
          <w:bCs/>
          <w:kern w:val="0"/>
          <w:sz w:val="32"/>
          <w:szCs w:val="32"/>
          <w:lang w:val="en-US" w:eastAsia="zh-CN"/>
        </w:rPr>
        <w:t>严格遵循行政处罚法定、公正、公开、过罚相当、处罚与教育相结合的基本原则，守好执法底线，确保执法有据、程序合法，处理结果符合法律规定；坚持严格执法与包容审慎并重的监管方式，坚持宽严相济的法治精神。实施轻微违法不予处罚，必须以事实为依据，与违法行为的事实、性质、情节以及社会危害程度相当，防止和避免过度执法；深化精细化执法，创新执法方式，大力推行柔性执法，让行政执法既有力度又有温度；强化执法过程中的行政指导，实现法律效果和社会效果的统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二、准确把握《免罚清单》的适用条件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一）根据《中华人民共和国行政处罚法》第三十三条关于“初次违法且危害后果轻微并及时改正的，可以不予行政处罚”的规定，医疗保障部门在日常监督检查、飞行检查以及通过投诉举报、部门移送、上级交办等掌握案件线索后开展的执法检查过程中，对属于《免罚清单》所列行为范围且符合免罚适用条件的，告知当事人存在的轻微违法行为，经批评教育，当事人自愿签署承诺书（承诺书一式两份，执法机构和当事人各持一份），并即时整改或在约定时间内整改到位的，医疗保障部门依法不予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（二）对《免罚清单》所列轻微违法行为，要严格按照清单中规定的适用情形，结合违法行为事实、性质、情节和社会危害程度综合判断，不得擅自放宽或者变更适用情形。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对触及安全底线、危害人民群众生命财产安全、严重危害市场公平竞争秩序等违法行为，不得免予处罚。在发生自然灾害、事故灾难、公共卫生或者社会安全等突发事件之机实施的违法行为，不适用免罚清单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kern w:val="0"/>
          <w:sz w:val="32"/>
          <w:szCs w:val="32"/>
          <w:lang w:val="en-US" w:eastAsia="zh-CN"/>
        </w:rPr>
        <w:t>（三）</w:t>
      </w:r>
      <w:r>
        <w:rPr>
          <w:rFonts w:hint="eastAsia" w:ascii="仿宋_GB2312" w:hAnsi="仿宋_GB2312" w:eastAsia="仿宋_GB2312" w:cs="仿宋_GB2312"/>
          <w:bCs/>
          <w:color w:val="auto"/>
          <w:kern w:val="0"/>
          <w:sz w:val="32"/>
          <w:szCs w:val="32"/>
          <w:lang w:val="en-US" w:eastAsia="zh-CN"/>
        </w:rPr>
        <w:t>《免罚清单》所称“首次实施违法行为”，是指同一医疗保障行政执法机关在其所辖区域两年内首次发现实施该违法行为。“首次发现”是指当事人的该项违法行为自《免罚清单》正式实施之日起第一次被各级医疗保障行政执法人员发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（四）当事人的行为属于《免罚清单》所列轻微违法行为，不予或者减轻行政处罚后两年期限内再次实施该违法行为的，不再适用《免罚清单》。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当事人的行为属于《免罚清单》所列轻微违法行为，同时又存在从重处罚情节的，不适用《免罚清单》。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（五）对未列入本清单，但其违法行为的性质、情节、社会危害程度等符合《中华人民共和国行政处罚法》等法律、法规、规章规定的不予处罚情形的其他轻微违法行为，可不予行政处罚。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黑体" w:hAnsi="黑体" w:eastAsia="黑体" w:cs="黑体"/>
          <w:bCs/>
          <w:kern w:val="0"/>
          <w:sz w:val="32"/>
          <w:szCs w:val="32"/>
          <w:lang w:val="en-US" w:eastAsia="zh-CN"/>
        </w:rPr>
        <w:t>三、严格履行适用程序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楷体" w:hAnsi="楷体" w:eastAsia="楷体" w:cs="楷体"/>
          <w:bCs/>
          <w:kern w:val="0"/>
          <w:sz w:val="32"/>
          <w:szCs w:val="32"/>
          <w:lang w:val="en-US" w:eastAsia="zh-CN"/>
        </w:rPr>
        <w:t>（一）主动告知当事人适用《免罚清单》要求。</w:t>
      </w:r>
      <w:r>
        <w:rPr>
          <w:rFonts w:hint="eastAsia" w:ascii="仿宋_GB2312" w:hAnsi="仿宋_GB2312" w:eastAsia="仿宋_GB2312" w:cs="仿宋_GB2312"/>
          <w:bCs/>
          <w:kern w:val="0"/>
          <w:sz w:val="32"/>
          <w:szCs w:val="32"/>
          <w:lang w:val="en-US" w:eastAsia="zh-CN"/>
        </w:rPr>
        <w:t>医疗保障部门在行政执法过程中，认为违法行为属于《免罚清单》所列事项且具备适用条件的，应当给予当事人必要的指导，主动告知当事人可以适用《免罚清单》的具体要求，引导当事人及时改正，自觉守法。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楷体" w:hAnsi="楷体" w:eastAsia="楷体" w:cs="楷体"/>
          <w:bCs/>
          <w:kern w:val="0"/>
          <w:sz w:val="32"/>
          <w:szCs w:val="32"/>
          <w:lang w:val="en-US" w:eastAsia="zh-CN"/>
        </w:rPr>
        <w:t>（二）适用《免罚清单》不予立案。</w:t>
      </w:r>
      <w:r>
        <w:rPr>
          <w:rFonts w:hint="eastAsia" w:ascii="仿宋_GB2312" w:hAnsi="仿宋_GB2312" w:eastAsia="仿宋_GB2312" w:cs="仿宋_GB2312"/>
          <w:bCs/>
          <w:kern w:val="0"/>
          <w:sz w:val="32"/>
          <w:szCs w:val="32"/>
          <w:lang w:val="en-US" w:eastAsia="zh-CN"/>
        </w:rPr>
        <w:t>医疗保障部门在立案前经核查，认为适用《免罚清单》达不到立案标准的，应当按照要求填写案件来源登记表、不予立案审批表、不予立案告知书等执法文书，确保有据可查，并做好不予行政处罚的过程记录、资料整理及归档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楷体" w:hAnsi="楷体" w:eastAsia="楷体" w:cs="楷体"/>
          <w:bCs/>
          <w:kern w:val="0"/>
          <w:sz w:val="32"/>
          <w:szCs w:val="32"/>
          <w:lang w:val="en-US" w:eastAsia="zh-CN"/>
        </w:rPr>
        <w:t>（三）立案后适用《免罚清单》不予行政处罚。</w:t>
      </w:r>
      <w:r>
        <w:rPr>
          <w:rFonts w:hint="eastAsia" w:ascii="仿宋_GB2312" w:hAnsi="仿宋_GB2312" w:eastAsia="仿宋_GB2312" w:cs="仿宋_GB2312"/>
          <w:bCs/>
          <w:kern w:val="0"/>
          <w:sz w:val="32"/>
          <w:szCs w:val="32"/>
          <w:lang w:val="en-US" w:eastAsia="zh-CN"/>
        </w:rPr>
        <w:t>医疗保障部门在立案后，发现当事人违法行为符合适用《免罚清单》情形的，应当按照医疗保障行政处罚程序等有关规定履行审核程序，作出不予行政处罚决定并依法送达。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楷体" w:hAnsi="楷体" w:eastAsia="楷体" w:cs="楷体"/>
          <w:bCs/>
          <w:kern w:val="0"/>
          <w:sz w:val="32"/>
          <w:szCs w:val="32"/>
          <w:lang w:val="en-US" w:eastAsia="zh-CN"/>
        </w:rPr>
        <w:t>（四）督促当事人及时改正。</w:t>
      </w:r>
      <w:r>
        <w:rPr>
          <w:rFonts w:hint="eastAsia" w:ascii="仿宋_GB2312" w:hAnsi="仿宋_GB2312" w:eastAsia="仿宋_GB2312" w:cs="仿宋_GB2312"/>
          <w:bCs/>
          <w:kern w:val="0"/>
          <w:sz w:val="32"/>
          <w:szCs w:val="32"/>
          <w:lang w:val="en-US" w:eastAsia="zh-CN"/>
        </w:rPr>
        <w:t>对于要求当事人改正违法行为的不予行政处罚事项，除当场立即改正的以外，医疗保障部门应当依法及时下达责令改正违法行为通知书，明确整改要求，并对当事人的整改情况进行核查。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楷体" w:hAnsi="楷体" w:eastAsia="楷体" w:cs="楷体"/>
          <w:bCs/>
          <w:kern w:val="0"/>
          <w:sz w:val="32"/>
          <w:szCs w:val="32"/>
          <w:lang w:val="en-US" w:eastAsia="zh-CN"/>
        </w:rPr>
        <w:t>（五）积极探索教育方式。</w:t>
      </w:r>
      <w:r>
        <w:rPr>
          <w:rFonts w:hint="eastAsia" w:ascii="仿宋_GB2312" w:hAnsi="仿宋_GB2312" w:eastAsia="仿宋_GB2312" w:cs="仿宋_GB2312"/>
          <w:bCs/>
          <w:kern w:val="0"/>
          <w:sz w:val="32"/>
          <w:szCs w:val="32"/>
          <w:lang w:val="en-US" w:eastAsia="zh-CN"/>
        </w:rPr>
        <w:t>医疗保障部门适用《免罚清单》依法不予行政处罚的，应当对当事人进行教育，灵活采取说服教育、劝导示范、警示告诫、指导约谈、法律学习考试等方式，教育引导当事人增强法律意识、自觉学法守法，依法合规开展经营活动。对当事人进行教育应当做好相关资料留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黑体" w:hAnsi="黑体" w:eastAsia="黑体" w:cs="黑体"/>
          <w:bCs/>
          <w:kern w:val="0"/>
          <w:sz w:val="32"/>
          <w:szCs w:val="32"/>
          <w:lang w:val="en-US" w:eastAsia="zh-CN"/>
        </w:rPr>
        <w:t>四、组织保障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楷体" w:hAnsi="楷体" w:eastAsia="楷体" w:cs="楷体"/>
          <w:bCs/>
          <w:kern w:val="0"/>
          <w:sz w:val="32"/>
          <w:szCs w:val="32"/>
          <w:lang w:val="en-US" w:eastAsia="zh-CN"/>
        </w:rPr>
        <w:t>（一）加强组织领导。</w:t>
      </w:r>
      <w:r>
        <w:rPr>
          <w:rFonts w:hint="eastAsia" w:ascii="仿宋_GB2312" w:hAnsi="仿宋_GB2312" w:eastAsia="仿宋_GB2312" w:cs="仿宋_GB2312"/>
          <w:bCs/>
          <w:kern w:val="0"/>
          <w:sz w:val="32"/>
          <w:szCs w:val="32"/>
          <w:lang w:val="en-US" w:eastAsia="zh-CN"/>
        </w:rPr>
        <w:t>各级医疗保障部门要提高政治站位，加强组织领导和统筹协调，全面推行轻微违法行为依法不予行政处罚清单制度。省级执法部门要加强对医疗保障系统轻微违法不予处罚工作的指导，及时研究解决不予处罚清单实施中的重要问题，有力推动工作落地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楷体" w:hAnsi="楷体" w:eastAsia="楷体" w:cs="楷体"/>
          <w:bCs/>
          <w:kern w:val="0"/>
          <w:sz w:val="32"/>
          <w:szCs w:val="32"/>
          <w:lang w:val="en-US" w:eastAsia="zh-CN"/>
        </w:rPr>
        <w:t>（二）加强宣传培训。</w:t>
      </w:r>
      <w:r>
        <w:rPr>
          <w:rFonts w:hint="eastAsia" w:ascii="仿宋_GB2312" w:hAnsi="仿宋_GB2312" w:eastAsia="仿宋_GB2312" w:cs="仿宋_GB2312"/>
          <w:bCs/>
          <w:kern w:val="0"/>
          <w:sz w:val="32"/>
          <w:szCs w:val="32"/>
          <w:lang w:val="en-US" w:eastAsia="zh-CN"/>
        </w:rPr>
        <w:t>各级医疗保障部门要加大宣传力度，开展形式多样的宣传活动，使广大人民群众和市场主体充分了解轻微违法行为依法不予行政处罚清单制度，营造良好的社会氛围。要加强医疗保障执法人员培训，及时发布典型案例，总结工作经验，不断提升执法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楷体" w:hAnsi="楷体" w:eastAsia="楷体" w:cs="楷体"/>
          <w:bCs/>
          <w:kern w:val="0"/>
          <w:sz w:val="32"/>
          <w:szCs w:val="32"/>
          <w:lang w:val="en-US" w:eastAsia="zh-CN"/>
        </w:rPr>
        <w:t>（三）加强监督检查。</w:t>
      </w:r>
      <w:r>
        <w:rPr>
          <w:rFonts w:hint="eastAsia" w:ascii="仿宋_GB2312" w:hAnsi="仿宋_GB2312" w:eastAsia="仿宋_GB2312" w:cs="仿宋_GB2312"/>
          <w:bCs/>
          <w:kern w:val="0"/>
          <w:sz w:val="32"/>
          <w:szCs w:val="32"/>
          <w:lang w:val="en-US" w:eastAsia="zh-CN"/>
        </w:rPr>
        <w:t>各级医疗保障部门要高度重视，加强对适用不予行政处罚情形的监管，全面正确把握自由裁量标准，加强对轻微违法行为免予行政处罚案件的法制审核和监督管理。要完善内部监督检查机制，坚决纠正拒不执行《免罚清单》或者滥用《免罚清单》规定的情况，对不严格、不依法落实《免罚清单》规定的，及时督促整改，依法追究有关责任人的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五、其他注意事项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（一）《免罚清单》实施动态管理。依据现行法律、法规、规章制定，省医疗保障局根据制定依据变动情况适时发布修订版本。《免罚清单》与法律、法规、规章的规定不一致的，以法律、法规、规章规定为准。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（二）</w:t>
      </w:r>
      <w:r>
        <w:rPr>
          <w:rFonts w:hint="default" w:ascii="仿宋_GB2312" w:hAnsi="仿宋_GB2312" w:eastAsia="仿宋_GB2312" w:cs="仿宋_GB2312"/>
          <w:bCs/>
          <w:kern w:val="0"/>
          <w:sz w:val="32"/>
          <w:szCs w:val="32"/>
          <w:lang w:val="en-US" w:eastAsia="zh-CN"/>
        </w:rPr>
        <w:t>《免罚清单》可以作为行政处罚裁量说理的内容，不得作为行政处罚的法律依据。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三）对轻微违法行为依法不予行政处罚，并未改变违法行为的违法属性，轻微违法当事人仍负有停止、改正违法行为、消除社会危害性的义务。当事人拒不改正、逾期不改正或者改正后仍不符合要求的，应当依法予以相应行政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（四）各地医疗保障部门可以根据所辖地区实际情况制定免罚清单。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附件：1.青海省医疗保障领域轻微违法行为免予处罚清单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916" w:leftChars="760" w:hanging="320" w:hangingChars="1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2.青海省医疗保障领域轻微违法行为免予处罚告知承诺书</w:t>
      </w:r>
      <w:r>
        <w:rPr>
          <w:rFonts w:hint="eastAsia" w:ascii="仿宋_GB2312" w:hAnsi="仿宋_GB2312" w:eastAsia="仿宋_GB2312" w:cs="仿宋_GB2312"/>
          <w:bCs/>
          <w:kern w:val="0"/>
          <w:sz w:val="32"/>
          <w:szCs w:val="32"/>
          <w:lang w:val="en-US" w:eastAsia="zh-CN" w:bidi="ar-SA"/>
        </w:rPr>
        <w:t>（样表）</w:t>
      </w:r>
    </w:p>
    <w:p>
      <w:pPr>
        <w:pStyle w:val="2"/>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3.青海省医疗保障局责令改正通知书（样表）</w:t>
      </w:r>
    </w:p>
    <w:p>
      <w:pPr>
        <w:pStyle w:val="2"/>
        <w:rPr>
          <w:rFonts w:hint="eastAsia"/>
          <w:lang w:val="en-US" w:eastAsia="zh-CN"/>
        </w:rPr>
      </w:pPr>
    </w:p>
    <w:p>
      <w:pPr>
        <w:pStyle w:val="3"/>
        <w:rPr>
          <w:rFonts w:hint="eastAsia"/>
          <w:lang w:val="en-US" w:eastAsia="zh-CN"/>
        </w:rPr>
      </w:pPr>
    </w:p>
    <w:p>
      <w:pPr>
        <w:pStyle w:val="4"/>
        <w:rPr>
          <w:rFonts w:hint="default"/>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kern w:val="0"/>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青海</w:t>
      </w:r>
      <w:r>
        <w:rPr>
          <w:rFonts w:hint="eastAsia" w:ascii="方正小标宋简体" w:hAnsi="方正小标宋简体" w:eastAsia="方正小标宋简体" w:cs="方正小标宋简体"/>
          <w:sz w:val="44"/>
          <w:szCs w:val="44"/>
        </w:rPr>
        <w:t>省医疗保障领域轻微违法行为免予处罚清单</w:t>
      </w:r>
    </w:p>
    <w:tbl>
      <w:tblPr>
        <w:tblStyle w:val="8"/>
        <w:tblW w:w="13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
        <w:gridCol w:w="2689"/>
        <w:gridCol w:w="5805"/>
        <w:gridCol w:w="244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26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处罚事项名称</w:t>
            </w:r>
          </w:p>
        </w:tc>
        <w:tc>
          <w:tcPr>
            <w:tcW w:w="58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设定依据</w:t>
            </w:r>
          </w:p>
        </w:tc>
        <w:tc>
          <w:tcPr>
            <w:tcW w:w="46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适用情形（必须同时具备）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p>
        </w:tc>
        <w:tc>
          <w:tcPr>
            <w:tcW w:w="26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p>
        </w:tc>
        <w:tc>
          <w:tcPr>
            <w:tcW w:w="58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应当免予处罚情形</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可以免予处罚情形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2" w:hRule="atLeast"/>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kern w:val="0"/>
                <w:sz w:val="18"/>
                <w:szCs w:val="18"/>
                <w:highlight w:val="none"/>
                <w:lang w:eastAsia="zh-CN"/>
              </w:rPr>
              <w:t>对用人单位不办理医疗保险和生育保险登记的处罚</w:t>
            </w:r>
          </w:p>
        </w:tc>
        <w:tc>
          <w:tcPr>
            <w:tcW w:w="58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kern w:val="0"/>
                <w:sz w:val="18"/>
                <w:szCs w:val="18"/>
                <w:highlight w:val="none"/>
                <w:lang w:eastAsia="zh-CN"/>
              </w:rPr>
              <w:t>《中华人民共和国社会保险法》第八十</w:t>
            </w:r>
            <w:r>
              <w:rPr>
                <w:rFonts w:hint="eastAsia" w:ascii="仿宋_GB2312" w:hAnsi="仿宋_GB2312" w:eastAsia="仿宋_GB2312" w:cs="仿宋_GB2312"/>
                <w:kern w:val="0"/>
                <w:sz w:val="18"/>
                <w:szCs w:val="18"/>
                <w:highlight w:val="none"/>
                <w:lang w:val="en-US" w:eastAsia="zh-CN"/>
              </w:rPr>
              <w:t>四</w:t>
            </w:r>
            <w:r>
              <w:rPr>
                <w:rFonts w:hint="eastAsia" w:ascii="仿宋_GB2312" w:hAnsi="仿宋_GB2312" w:eastAsia="仿宋_GB2312" w:cs="仿宋_GB2312"/>
                <w:kern w:val="0"/>
                <w:sz w:val="18"/>
                <w:szCs w:val="18"/>
                <w:highlight w:val="none"/>
                <w:lang w:eastAsia="zh-CN"/>
              </w:rPr>
              <w:t>条：</w:t>
            </w:r>
            <w:r>
              <w:rPr>
                <w:rFonts w:hint="eastAsia" w:ascii="仿宋_GB2312" w:hAnsi="仿宋_GB2312" w:eastAsia="仿宋_GB2312" w:cs="仿宋_GB2312"/>
                <w:kern w:val="0"/>
                <w:sz w:val="18"/>
                <w:szCs w:val="18"/>
                <w:highlight w:val="none"/>
              </w:rPr>
              <w:t>责令限期改正</w:t>
            </w:r>
            <w:r>
              <w:rPr>
                <w:rFonts w:hint="eastAsia" w:ascii="仿宋_GB2312" w:hAnsi="仿宋_GB2312" w:eastAsia="仿宋_GB2312" w:cs="仿宋_GB2312"/>
                <w:kern w:val="0"/>
                <w:sz w:val="18"/>
                <w:szCs w:val="18"/>
                <w:highlight w:val="none"/>
                <w:lang w:eastAsia="zh-CN"/>
              </w:rPr>
              <w:t>，</w:t>
            </w:r>
            <w:r>
              <w:rPr>
                <w:rFonts w:hint="eastAsia" w:ascii="仿宋_GB2312" w:hAnsi="仿宋_GB2312" w:eastAsia="仿宋_GB2312" w:cs="仿宋_GB2312"/>
                <w:kern w:val="0"/>
                <w:sz w:val="18"/>
                <w:szCs w:val="18"/>
                <w:highlight w:val="none"/>
              </w:rPr>
              <w:t>逾期不改正的，</w:t>
            </w:r>
            <w:r>
              <w:rPr>
                <w:rFonts w:hint="eastAsia" w:ascii="仿宋_GB2312" w:hAnsi="仿宋_GB2312" w:eastAsia="仿宋_GB2312" w:cs="仿宋_GB2312"/>
                <w:kern w:val="0"/>
                <w:sz w:val="18"/>
                <w:szCs w:val="18"/>
                <w:highlight w:val="none"/>
                <w:lang w:val="en-US" w:eastAsia="zh-CN"/>
              </w:rPr>
              <w:t>对用人单位处应缴社会保险费数额一倍以上三倍以下的罚款，对其直接负责的主管人员和其他直接责任人员处五百元以上三千元以下的罚款。</w:t>
            </w: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1.初次违法；</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kern w:val="0"/>
                <w:sz w:val="18"/>
                <w:szCs w:val="18"/>
                <w:highlight w:val="none"/>
                <w:lang w:val="en-US" w:eastAsia="zh-CN"/>
              </w:rPr>
              <w:t>2.自行纠正或者在限期内改正，不予处罚。</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lang w:eastAsia="zh-CN"/>
              </w:rPr>
              <w:t>对用人单位未按时足额缴纳社会保险费的行为的行政处罚</w:t>
            </w:r>
          </w:p>
        </w:tc>
        <w:tc>
          <w:tcPr>
            <w:tcW w:w="58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lang w:eastAsia="zh-CN"/>
              </w:rPr>
              <w:t>《中华人民共和国社会保险法》第八十六条：由社会保险费征收机构责令限期缴纳或者补足，并自欠缴之日起，按日加收万分之五的滞纳金；逾期仍不缴纳的，由有关行政部门处欠缴数额一倍以上三倍以下的罚款</w:t>
            </w: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1.初次违法；</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2.在责令期限内足额缴纳或补足医疗保险费，并按期缴纳滞纳金，不予处罚。</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6" w:hRule="atLeast"/>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lang w:eastAsia="zh-CN"/>
              </w:rPr>
              <w:t>对定点医药机构基金使用一般违法行为的处罚</w:t>
            </w:r>
          </w:p>
        </w:tc>
        <w:tc>
          <w:tcPr>
            <w:tcW w:w="58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医疗保障基金使用监督管理条例》第三十八条：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（一）分解住院、挂床住院； 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（二）违反诊疗规范过度诊疗、过度检查、分解处方、超量开药、重复开药或者提供其他不必要的医药服务；</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（三）重复收费、超标准收费、分解项目收费；</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 xml:space="preserve">（四）串换药品、医用耗材、诊疗项目和服务设施；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（五）为参保人员利用其享受医疗保障待遇的机会转卖药品。接受返还现金、实物或者获得其他非法利益提供便利； 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（六）将不属于医疗保障基金支付范围的医药费用纳入医疗保障基金结算；</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lang w:val="en-US" w:eastAsia="zh-CN"/>
              </w:rPr>
              <w:t>（七）造成医疗保隆基金损失的其他违法行为。</w:t>
            </w: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1.初次违法；</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2.不以骗取医保基金为目的；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3.违法行为轻微，没有造成医疗保障基金损失，并自行纠正或者在约定期限内完成整改的，不予处罚</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1.初次违法；</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r>
              <w:rPr>
                <w:rFonts w:hint="eastAsia" w:ascii="仿宋_GB2312" w:hAnsi="仿宋_GB2312" w:eastAsia="仿宋_GB2312" w:cs="仿宋_GB2312"/>
                <w:kern w:val="0"/>
                <w:sz w:val="18"/>
                <w:szCs w:val="18"/>
                <w:highlight w:val="none"/>
                <w:lang w:val="en-US" w:eastAsia="zh-CN"/>
              </w:rPr>
              <w:t>不以骗取医保基金为目的；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3.危害后果轻微（造成医疗保障基金损失2000元以下、主动退回损失基金且造成社会不良影响较小），并及时改正的，可以不予处罚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1" w:hRule="atLeast"/>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lang w:eastAsia="zh-CN"/>
              </w:rPr>
              <w:t>对定点医药机构违反管理规定、拒绝监督检查或者提供虚假情况的处罚</w:t>
            </w:r>
          </w:p>
        </w:tc>
        <w:tc>
          <w:tcPr>
            <w:tcW w:w="5805" w:type="dxa"/>
            <w:noWrap w:val="0"/>
            <w:vAlign w:val="center"/>
          </w:tcPr>
          <w:p>
            <w:pPr>
              <w:keepNext w:val="0"/>
              <w:keepLines w:val="0"/>
              <w:pageBreakBefore w:val="0"/>
              <w:widowControl/>
              <w:kinsoku/>
              <w:wordWrap/>
              <w:overflowPunct/>
              <w:topLinePunct w:val="0"/>
              <w:bidi w:val="0"/>
              <w:adjustRightInd/>
              <w:snapToGrid/>
              <w:spacing w:line="260" w:lineRule="exact"/>
              <w:ind w:firstLine="3" w:firstLineChars="2"/>
              <w:jc w:val="both"/>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lang w:eastAsia="zh-CN"/>
              </w:rPr>
              <w:t>《医疗保障基金使用监督管理条例》第三十九条：定点医药机构有下列情形之一的，由医疗保障行政部门责令改正。并可以约谈有关负责人；拒不改正的，处1万元以上5万元以下的罚款；违反其他法律、行政法规的，由有关主管部门依法处理： </w:t>
            </w:r>
          </w:p>
          <w:p>
            <w:pPr>
              <w:keepNext w:val="0"/>
              <w:keepLines w:val="0"/>
              <w:pageBreakBefore w:val="0"/>
              <w:widowControl/>
              <w:kinsoku/>
              <w:wordWrap/>
              <w:overflowPunct/>
              <w:topLinePunct w:val="0"/>
              <w:bidi w:val="0"/>
              <w:adjustRightInd/>
              <w:snapToGrid/>
              <w:spacing w:line="260" w:lineRule="exact"/>
              <w:ind w:firstLine="3" w:firstLineChars="2"/>
              <w:jc w:val="both"/>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lang w:eastAsia="zh-CN"/>
              </w:rPr>
              <w:t>（一）未建立医疗保障基金使用内部管理制度，或者没有专门机构或者人员负责医疗保障基金使用管理工作；</w:t>
            </w:r>
          </w:p>
          <w:p>
            <w:pPr>
              <w:keepNext w:val="0"/>
              <w:keepLines w:val="0"/>
              <w:pageBreakBefore w:val="0"/>
              <w:widowControl/>
              <w:kinsoku/>
              <w:wordWrap/>
              <w:overflowPunct/>
              <w:topLinePunct w:val="0"/>
              <w:bidi w:val="0"/>
              <w:adjustRightInd/>
              <w:snapToGrid/>
              <w:spacing w:line="260" w:lineRule="exact"/>
              <w:ind w:firstLine="3" w:firstLineChars="2"/>
              <w:jc w:val="both"/>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lang w:eastAsia="zh-CN"/>
              </w:rPr>
              <w:t>（二）未按照规定保管财务账目、会计凭证、处方、病历、治疗检查记录、费用明细、药品和医用耗材出入库记录等资料；</w:t>
            </w:r>
          </w:p>
          <w:p>
            <w:pPr>
              <w:keepNext w:val="0"/>
              <w:keepLines w:val="0"/>
              <w:pageBreakBefore w:val="0"/>
              <w:widowControl/>
              <w:kinsoku/>
              <w:wordWrap/>
              <w:overflowPunct/>
              <w:topLinePunct w:val="0"/>
              <w:bidi w:val="0"/>
              <w:adjustRightInd/>
              <w:snapToGrid/>
              <w:spacing w:line="260" w:lineRule="exact"/>
              <w:ind w:firstLine="3" w:firstLineChars="2"/>
              <w:jc w:val="both"/>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lang w:eastAsia="zh-CN"/>
              </w:rPr>
              <w:t>（三）未按照规定通过医疗保障信息系统传送医疗保障基金使用有关数据； </w:t>
            </w:r>
          </w:p>
          <w:p>
            <w:pPr>
              <w:keepNext w:val="0"/>
              <w:keepLines w:val="0"/>
              <w:pageBreakBefore w:val="0"/>
              <w:widowControl/>
              <w:kinsoku/>
              <w:wordWrap/>
              <w:overflowPunct/>
              <w:topLinePunct w:val="0"/>
              <w:bidi w:val="0"/>
              <w:adjustRightInd/>
              <w:snapToGrid/>
              <w:spacing w:line="260" w:lineRule="exact"/>
              <w:ind w:firstLine="3" w:firstLineChars="2"/>
              <w:jc w:val="both"/>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lang w:eastAsia="zh-CN"/>
              </w:rPr>
              <w:t>（四）未按照规定向医疗保障行政部门报告医疗保障基金使用监督管理所需信息；</w:t>
            </w:r>
          </w:p>
          <w:p>
            <w:pPr>
              <w:keepNext w:val="0"/>
              <w:keepLines w:val="0"/>
              <w:pageBreakBefore w:val="0"/>
              <w:widowControl/>
              <w:kinsoku/>
              <w:wordWrap/>
              <w:overflowPunct/>
              <w:topLinePunct w:val="0"/>
              <w:bidi w:val="0"/>
              <w:adjustRightInd/>
              <w:snapToGrid/>
              <w:spacing w:line="260" w:lineRule="exact"/>
              <w:ind w:firstLine="3" w:firstLineChars="2"/>
              <w:jc w:val="both"/>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lang w:eastAsia="zh-CN"/>
              </w:rPr>
              <w:t>（五）未按照规定向社会公开医药费用、费用结构等信息； </w:t>
            </w:r>
          </w:p>
          <w:p>
            <w:pPr>
              <w:keepNext w:val="0"/>
              <w:keepLines w:val="0"/>
              <w:pageBreakBefore w:val="0"/>
              <w:widowControl/>
              <w:kinsoku/>
              <w:wordWrap/>
              <w:overflowPunct/>
              <w:topLinePunct w:val="0"/>
              <w:bidi w:val="0"/>
              <w:adjustRightInd/>
              <w:snapToGrid/>
              <w:spacing w:line="260" w:lineRule="exact"/>
              <w:ind w:firstLine="3" w:firstLineChars="2"/>
              <w:jc w:val="both"/>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lang w:eastAsia="zh-CN"/>
              </w:rPr>
              <w:t>（六）除急诊、抢救等特殊情形外，未经参保人员或者其近亲属、监护人同意提供医疗保障基金支付范围以外的医药服务；</w:t>
            </w:r>
          </w:p>
          <w:p>
            <w:pPr>
              <w:keepNext w:val="0"/>
              <w:keepLines w:val="0"/>
              <w:pageBreakBefore w:val="0"/>
              <w:widowControl/>
              <w:kinsoku/>
              <w:wordWrap/>
              <w:overflowPunct/>
              <w:topLinePunct w:val="0"/>
              <w:bidi w:val="0"/>
              <w:adjustRightInd/>
              <w:snapToGrid/>
              <w:spacing w:line="260" w:lineRule="exact"/>
              <w:ind w:firstLine="3" w:firstLineChars="2"/>
              <w:jc w:val="both"/>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lang w:eastAsia="zh-CN"/>
              </w:rPr>
              <w:t>（七）拒绝医疗保障等行政部门监督检查或者提供虚假情况。</w:t>
            </w: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1.初次违法；</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2.自行纠正或者在约定期限内完成整改的，不予处罚。</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对个人造成医疗保障基金损失行为的处罚</w:t>
            </w:r>
          </w:p>
        </w:tc>
        <w:tc>
          <w:tcPr>
            <w:tcW w:w="58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《医疗保障基金使用监督管理条例》第四十一条第一款：个人有下列情形之一的，由医疗保障行政部门责令改正；造成医疗保障基金损失的、责令退回；属于参保人员的，暂停其医疗费用联网结算3个月至12个月：</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left="180" w:hanging="180" w:hangingChars="100"/>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 xml:space="preserve">将本人的医疗保障凭证交由他人冒名使用；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100" w:firstLine="180" w:firstLineChars="100"/>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（二）重复享受医疗保障待遇； </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18"/>
                <w:szCs w:val="18"/>
                <w:highlight w:val="none"/>
                <w:lang w:eastAsia="zh-CN"/>
              </w:rPr>
            </w:pPr>
            <w:r>
              <w:rPr>
                <w:rFonts w:hint="eastAsia" w:ascii="仿宋_GB2312" w:hAnsi="仿宋_GB2312" w:eastAsia="仿宋_GB2312" w:cs="仿宋_GB2312"/>
                <w:kern w:val="0"/>
                <w:sz w:val="18"/>
                <w:szCs w:val="18"/>
                <w:highlight w:val="none"/>
                <w:lang w:val="en-US" w:eastAsia="zh-CN"/>
              </w:rPr>
              <w:t>（三）利用享受医疗保障待遇的机会转卖药品，接受返还现金、实物或者获得其他非法利益。  </w:t>
            </w: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1.初次违法；</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2.不以骗取医保基金为目的；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3.违法行为轻微，没有造成医疗保障基金损失，并自行纠正或者在约定期限内完成整改的，不予处罚。</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1.初次违法；</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w:t>
            </w:r>
            <w:r>
              <w:rPr>
                <w:rFonts w:hint="eastAsia" w:ascii="仿宋_GB2312" w:hAnsi="仿宋_GB2312" w:eastAsia="仿宋_GB2312" w:cs="仿宋_GB2312"/>
                <w:kern w:val="0"/>
                <w:sz w:val="18"/>
                <w:szCs w:val="18"/>
                <w:highlight w:val="none"/>
                <w:lang w:val="en-US" w:eastAsia="zh-CN"/>
              </w:rPr>
              <w:t>不以骗取医保基金为目的；</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3.危害后果轻微（造成医疗保障基金损失 1000元以下、主动退回损失基金且造成社会不良影响较小），可以不予处罚。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对个人骗取医保基金支出违法行为的行政处罚</w:t>
            </w:r>
          </w:p>
        </w:tc>
        <w:tc>
          <w:tcPr>
            <w:tcW w:w="58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医疗保障基金使用监督管理条例》第四十一条第二款：个人以骗取医疗保障基金为目的，实施了《医疗保障基金使用监督管理条例》第四十一条第一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w:t>
            </w: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1.初次违法；</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sz w:val="18"/>
                <w:szCs w:val="18"/>
                <w:vertAlign w:val="baseline"/>
                <w:lang w:val="en-US" w:eastAsia="zh-CN"/>
              </w:rPr>
              <w:t>2.</w:t>
            </w:r>
            <w:r>
              <w:rPr>
                <w:rFonts w:hint="eastAsia" w:ascii="仿宋_GB2312" w:hAnsi="仿宋_GB2312" w:eastAsia="仿宋_GB2312" w:cs="仿宋_GB2312"/>
                <w:kern w:val="0"/>
                <w:sz w:val="18"/>
                <w:szCs w:val="18"/>
                <w:highlight w:val="none"/>
                <w:lang w:val="en-US" w:eastAsia="zh-CN"/>
              </w:rPr>
              <w:t>违法行为轻微，没有造成医疗保障基金损失，并自行纠正，不予处罚。</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1.初次违法；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2.危害后果轻微（造成医疗保障基金损失 1000元以下、主动退回损失基金且造成社会不良影响较小），可以不予处罚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对个人采取虚报、隐瞒、伪造等手段，骗取医疗救助基金行为的行政处罚</w:t>
            </w:r>
          </w:p>
        </w:tc>
        <w:tc>
          <w:tcPr>
            <w:tcW w:w="5805" w:type="dxa"/>
            <w:noWrap w:val="0"/>
            <w:vAlign w:val="center"/>
          </w:tcPr>
          <w:p>
            <w:pPr>
              <w:keepNext w:val="0"/>
              <w:keepLines w:val="0"/>
              <w:pageBreakBefore w:val="0"/>
              <w:widowControl w:val="0"/>
              <w:tabs>
                <w:tab w:val="left" w:pos="1167"/>
              </w:tabs>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kern w:val="0"/>
                <w:sz w:val="18"/>
                <w:szCs w:val="18"/>
                <w:highlight w:val="none"/>
                <w:lang w:val="en-US" w:eastAsia="zh-CN"/>
              </w:rPr>
              <w:t>《社会救助暂行办法》第六十八条：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tc>
        <w:tc>
          <w:tcPr>
            <w:tcW w:w="24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1.初次违法；</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18"/>
                <w:szCs w:val="18"/>
                <w:highlight w:val="none"/>
                <w:lang w:val="en-US" w:eastAsia="zh-CN"/>
              </w:rPr>
            </w:pPr>
            <w:r>
              <w:rPr>
                <w:rFonts w:hint="eastAsia" w:ascii="仿宋_GB2312" w:hAnsi="仿宋_GB2312" w:eastAsia="仿宋_GB2312" w:cs="仿宋_GB2312"/>
                <w:sz w:val="18"/>
                <w:szCs w:val="18"/>
                <w:vertAlign w:val="baseline"/>
                <w:lang w:val="en-US" w:eastAsia="zh-CN"/>
              </w:rPr>
              <w:t>2.</w:t>
            </w:r>
            <w:r>
              <w:rPr>
                <w:rFonts w:hint="eastAsia" w:ascii="仿宋_GB2312" w:hAnsi="仿宋_GB2312" w:eastAsia="仿宋_GB2312" w:cs="仿宋_GB2312"/>
                <w:kern w:val="0"/>
                <w:sz w:val="18"/>
                <w:szCs w:val="18"/>
                <w:highlight w:val="none"/>
                <w:lang w:val="en-US" w:eastAsia="zh-CN"/>
              </w:rPr>
              <w:t>违法行为轻微，没有造成医疗救助基金损失，并自行纠正，不予处罚。</w:t>
            </w: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1.初次违法；</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2.危害后果轻微（造成医疗救助基金损失 1000元以下、主动退回损失基金且造成社会不良影响较小），可以不予处罚</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kern w:val="0"/>
          <w:sz w:val="32"/>
          <w:szCs w:val="32"/>
          <w:lang w:val="en-US" w:eastAsia="zh-CN"/>
        </w:rPr>
      </w:pPr>
    </w:p>
    <w:p>
      <w:pPr>
        <w:pStyle w:val="2"/>
        <w:rPr>
          <w:rFonts w:hint="eastAsia" w:ascii="黑体" w:hAnsi="黑体" w:eastAsia="黑体" w:cs="黑体"/>
          <w:bCs/>
          <w:kern w:val="0"/>
          <w:sz w:val="32"/>
          <w:szCs w:val="32"/>
          <w:lang w:val="en-US" w:eastAsia="zh-CN"/>
        </w:rPr>
      </w:pPr>
    </w:p>
    <w:p>
      <w:pPr>
        <w:pStyle w:val="2"/>
        <w:rPr>
          <w:rFonts w:hint="eastAsia" w:ascii="黑体" w:hAnsi="黑体" w:eastAsia="黑体" w:cs="黑体"/>
          <w:bCs/>
          <w:kern w:val="0"/>
          <w:sz w:val="32"/>
          <w:szCs w:val="32"/>
          <w:lang w:val="en-US" w:eastAsia="zh-CN"/>
        </w:rPr>
      </w:pPr>
    </w:p>
    <w:p>
      <w:pPr>
        <w:pStyle w:val="2"/>
        <w:rPr>
          <w:rFonts w:hint="eastAsia" w:ascii="黑体" w:hAnsi="黑体" w:eastAsia="黑体" w:cs="黑体"/>
          <w:bCs/>
          <w:kern w:val="0"/>
          <w:sz w:val="32"/>
          <w:szCs w:val="32"/>
          <w:lang w:val="en-US" w:eastAsia="zh-CN"/>
        </w:rPr>
      </w:pPr>
    </w:p>
    <w:p>
      <w:pPr>
        <w:pStyle w:val="2"/>
        <w:rPr>
          <w:rFonts w:hint="eastAsia" w:ascii="黑体" w:hAnsi="黑体" w:eastAsia="黑体" w:cs="黑体"/>
          <w:bCs/>
          <w:kern w:val="0"/>
          <w:sz w:val="32"/>
          <w:szCs w:val="32"/>
          <w:lang w:val="en-US" w:eastAsia="zh-CN"/>
        </w:rPr>
        <w:sectPr>
          <w:pgSz w:w="16838" w:h="11906" w:orient="landscape"/>
          <w:pgMar w:top="1587" w:right="1474" w:bottom="1474" w:left="1587" w:header="851" w:footer="992" w:gutter="0"/>
          <w:pgNumType w:fmt="decimal"/>
          <w:cols w:space="0" w:num="1"/>
          <w:rtlGutter w:val="0"/>
          <w:docGrid w:type="lines" w:linePitch="315" w:charSpace="0"/>
        </w:sectPr>
      </w:pPr>
    </w:p>
    <w:p>
      <w:pPr>
        <w:pStyle w:val="2"/>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36"/>
          <w:szCs w:val="36"/>
        </w:rPr>
      </w:pPr>
      <w:r>
        <w:rPr>
          <w:rFonts w:hint="eastAsia" w:ascii="方正小标宋简体" w:hAnsi="方正小标宋简体" w:eastAsia="方正小标宋简体"/>
          <w:sz w:val="36"/>
          <w:szCs w:val="36"/>
          <w:lang w:val="en-US" w:eastAsia="zh-CN"/>
        </w:rPr>
        <w:t>青海省</w:t>
      </w:r>
      <w:r>
        <w:rPr>
          <w:rFonts w:hint="eastAsia" w:ascii="方正小标宋简体" w:hAnsi="方正小标宋简体" w:eastAsia="方正小标宋简体"/>
          <w:sz w:val="36"/>
          <w:szCs w:val="36"/>
          <w:lang w:eastAsia="zh-CN"/>
        </w:rPr>
        <w:t>医疗保障</w:t>
      </w:r>
      <w:r>
        <w:rPr>
          <w:rFonts w:hint="eastAsia" w:ascii="方正小标宋简体" w:hAnsi="方正小标宋简体" w:eastAsia="方正小标宋简体"/>
          <w:sz w:val="36"/>
          <w:szCs w:val="36"/>
        </w:rPr>
        <w:t>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lang w:eastAsia="zh-CN"/>
        </w:rPr>
      </w:pPr>
      <w:r>
        <w:rPr>
          <w:rFonts w:hint="eastAsia" w:ascii="方正小标宋简体" w:hAnsi="方正小标宋简体" w:eastAsia="方正小标宋简体"/>
          <w:sz w:val="36"/>
          <w:szCs w:val="36"/>
        </w:rPr>
        <w:t>轻微违法行为免予处罚告知承诺书</w:t>
      </w:r>
      <w:r>
        <w:rPr>
          <w:rFonts w:hint="eastAsia" w:ascii="方正小标宋简体" w:hAnsi="方正小标宋简体" w:eastAsia="方正小标宋简体"/>
          <w:sz w:val="36"/>
          <w:szCs w:val="36"/>
          <w:lang w:eastAsia="zh-CN"/>
        </w:rPr>
        <w:t>（</w:t>
      </w:r>
      <w:r>
        <w:rPr>
          <w:rFonts w:hint="eastAsia" w:ascii="方正小标宋简体" w:hAnsi="方正小标宋简体" w:eastAsia="方正小标宋简体"/>
          <w:sz w:val="36"/>
          <w:szCs w:val="36"/>
          <w:lang w:val="en-US" w:eastAsia="zh-CN"/>
        </w:rPr>
        <w:t>样表</w:t>
      </w:r>
      <w:r>
        <w:rPr>
          <w:rFonts w:hint="eastAsia" w:ascii="方正小标宋简体" w:hAnsi="方正小标宋简体" w:eastAsia="方正小标宋简体"/>
          <w:sz w:val="36"/>
          <w:szCs w:val="36"/>
          <w:lang w:eastAsia="zh-CN"/>
        </w:rPr>
        <w:t>）</w:t>
      </w:r>
    </w:p>
    <w:tbl>
      <w:tblPr>
        <w:tblStyle w:val="7"/>
        <w:tblpPr w:leftFromText="180" w:rightFromText="180" w:vertAnchor="text" w:horzAnchor="page" w:tblpX="1177" w:tblpY="348"/>
        <w:tblOverlap w:val="never"/>
        <w:tblW w:w="98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852"/>
        <w:gridCol w:w="1501"/>
        <w:gridCol w:w="2043"/>
        <w:gridCol w:w="1499"/>
        <w:gridCol w:w="3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50" w:hRule="exact"/>
        </w:trPr>
        <w:tc>
          <w:tcPr>
            <w:tcW w:w="852" w:type="dxa"/>
            <w:vMerge w:val="restart"/>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当事人情况</w:t>
            </w:r>
          </w:p>
        </w:tc>
        <w:tc>
          <w:tcPr>
            <w:tcW w:w="1501"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姓名（单位名称）</w:t>
            </w:r>
          </w:p>
        </w:tc>
        <w:tc>
          <w:tcPr>
            <w:tcW w:w="2043"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sz w:val="21"/>
                <w:szCs w:val="21"/>
              </w:rPr>
            </w:pPr>
          </w:p>
        </w:tc>
        <w:tc>
          <w:tcPr>
            <w:tcW w:w="1499"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宋体" w:hAnsi="宋体" w:eastAsia="宋体"/>
                <w:sz w:val="21"/>
                <w:szCs w:val="21"/>
              </w:rPr>
            </w:pPr>
            <w:r>
              <w:rPr>
                <w:rFonts w:hint="eastAsia" w:ascii="宋体" w:hAnsi="宋体" w:eastAsia="宋体"/>
                <w:sz w:val="21"/>
                <w:szCs w:val="21"/>
                <w:lang w:val="en-US" w:eastAsia="zh-CN"/>
              </w:rPr>
              <w:t>身份证号码（信用代码）</w:t>
            </w:r>
          </w:p>
        </w:tc>
        <w:tc>
          <w:tcPr>
            <w:tcW w:w="394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18" w:hRule="exact"/>
        </w:trPr>
        <w:tc>
          <w:tcPr>
            <w:tcW w:w="852"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sz w:val="21"/>
                <w:szCs w:val="21"/>
              </w:rPr>
            </w:pPr>
          </w:p>
        </w:tc>
        <w:tc>
          <w:tcPr>
            <w:tcW w:w="1501"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sz w:val="21"/>
                <w:szCs w:val="21"/>
              </w:rPr>
            </w:pPr>
            <w:r>
              <w:rPr>
                <w:rFonts w:hint="eastAsia" w:ascii="宋体" w:hAnsi="宋体" w:eastAsia="宋体"/>
                <w:sz w:val="21"/>
                <w:szCs w:val="21"/>
                <w:lang w:val="en-US" w:eastAsia="zh-CN"/>
              </w:rPr>
              <w:t>联系电话</w:t>
            </w:r>
          </w:p>
        </w:tc>
        <w:tc>
          <w:tcPr>
            <w:tcW w:w="2043"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sz w:val="21"/>
                <w:szCs w:val="21"/>
              </w:rPr>
            </w:pPr>
          </w:p>
        </w:tc>
        <w:tc>
          <w:tcPr>
            <w:tcW w:w="1499"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sz w:val="21"/>
                <w:szCs w:val="21"/>
              </w:rPr>
            </w:pPr>
            <w:r>
              <w:rPr>
                <w:rFonts w:hint="eastAsia" w:ascii="宋体" w:hAnsi="宋体" w:eastAsia="宋体"/>
                <w:sz w:val="21"/>
                <w:szCs w:val="21"/>
                <w:lang w:val="en-US" w:eastAsia="zh-CN"/>
              </w:rPr>
              <w:t>地址</w:t>
            </w:r>
          </w:p>
        </w:tc>
        <w:tc>
          <w:tcPr>
            <w:tcW w:w="394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049" w:hRule="exact"/>
        </w:trPr>
        <w:tc>
          <w:tcPr>
            <w:tcW w:w="852" w:type="dxa"/>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sz w:val="21"/>
                <w:szCs w:val="21"/>
                <w:lang w:val="en-US"/>
              </w:rPr>
            </w:pPr>
            <w:r>
              <w:rPr>
                <w:rFonts w:hint="eastAsia" w:ascii="宋体" w:hAnsi="宋体" w:eastAsia="宋体"/>
                <w:sz w:val="21"/>
                <w:szCs w:val="21"/>
                <w:lang w:val="en-US" w:eastAsia="zh-CN"/>
              </w:rPr>
              <w:t>违法行为告知</w:t>
            </w:r>
          </w:p>
        </w:tc>
        <w:tc>
          <w:tcPr>
            <w:tcW w:w="8986" w:type="dxa"/>
            <w:gridSpan w:val="4"/>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年</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月</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日，执法人员</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u w:val="none" w:color="auto"/>
                <w:lang w:val="en-US" w:eastAsia="zh-CN"/>
              </w:rPr>
              <w:t>、</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，在</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（检查的地点或其他案件线索来源），发现当事人存在</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的违法行为，根据《</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》第</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条</w:t>
            </w:r>
            <w:r>
              <w:rPr>
                <w:rFonts w:hint="eastAsia" w:ascii="宋体" w:hAnsi="宋体" w:eastAsia="宋体"/>
                <w:sz w:val="21"/>
                <w:szCs w:val="21"/>
                <w:lang w:val="zh-CN" w:eastAsia="zh-CN"/>
              </w:rPr>
              <w:t>第</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zh-CN" w:eastAsia="zh-CN"/>
              </w:rPr>
              <w:t>款</w:t>
            </w:r>
            <w:r>
              <w:rPr>
                <w:rFonts w:hint="eastAsia" w:ascii="宋体" w:hAnsi="宋体" w:eastAsia="宋体"/>
                <w:sz w:val="21"/>
                <w:szCs w:val="21"/>
                <w:lang w:val="en-US" w:eastAsia="zh-CN"/>
              </w:rPr>
              <w:t>第</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项的规定，应当处以</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处罚（处罚内容）。经查，当事人的违法行为符合免罚的适用条件。执法人员已向当事人宣传了相关法律法规规章的规定，现责令当事人立即（限期）改正，于</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年</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月</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日前整改完毕。</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left"/>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改正要求：</w:t>
            </w:r>
            <w:r>
              <w:rPr>
                <w:rFonts w:hint="eastAsia" w:ascii="宋体" w:hAnsi="宋体" w:eastAsia="宋体"/>
                <w:sz w:val="21"/>
                <w:szCs w:val="21"/>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100" w:firstLineChars="1000"/>
              <w:jc w:val="lef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100" w:firstLineChars="1000"/>
              <w:jc w:val="lef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520" w:firstLineChars="1200"/>
              <w:jc w:val="lef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执法人员签名：</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执法证号：</w:t>
            </w:r>
            <w:r>
              <w:rPr>
                <w:rFonts w:hint="eastAsia" w:ascii="宋体" w:hAnsi="宋体" w:eastAsia="宋体"/>
                <w:sz w:val="21"/>
                <w:szCs w:val="21"/>
                <w:u w:val="single" w:color="auto"/>
                <w:lang w:val="en-US" w:eastAsia="zh-CN"/>
              </w:rPr>
              <w:tab/>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100" w:firstLineChars="1000"/>
              <w:jc w:val="left"/>
              <w:textAlignment w:val="auto"/>
              <w:rPr>
                <w:rFonts w:hint="eastAsia" w:ascii="宋体" w:hAnsi="宋体" w:eastAsia="宋体"/>
                <w:sz w:val="21"/>
                <w:szCs w:val="21"/>
                <w:u w:val="single" w:color="auto"/>
                <w:lang w:val="en-US" w:eastAsia="zh-CN"/>
              </w:rPr>
            </w:pPr>
            <w:r>
              <w:rPr>
                <w:rFonts w:hint="eastAsia" w:ascii="宋体" w:hAnsi="宋体" w:eastAsia="宋体"/>
                <w:sz w:val="21"/>
                <w:szCs w:val="21"/>
                <w:lang w:val="en-US" w:eastAsia="zh-CN"/>
              </w:rPr>
              <w:t xml:space="preserve">      执法人员签名：</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执法证号：</w:t>
            </w:r>
            <w:r>
              <w:rPr>
                <w:rFonts w:hint="eastAsia" w:ascii="宋体" w:hAnsi="宋体" w:eastAsia="宋体"/>
                <w:sz w:val="21"/>
                <w:szCs w:val="21"/>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100" w:firstLineChars="1000"/>
              <w:jc w:val="left"/>
              <w:textAlignment w:val="auto"/>
              <w:rPr>
                <w:rFonts w:hint="eastAsia" w:ascii="宋体" w:hAnsi="宋体" w:eastAsia="宋体"/>
                <w:sz w:val="21"/>
                <w:szCs w:val="21"/>
              </w:rPr>
            </w:pPr>
            <w:r>
              <w:rPr>
                <w:rFonts w:hint="eastAsia" w:ascii="宋体" w:hAnsi="宋体" w:eastAsia="宋体"/>
                <w:sz w:val="21"/>
                <w:szCs w:val="21"/>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24" w:hRule="exact"/>
        </w:trPr>
        <w:tc>
          <w:tcPr>
            <w:tcW w:w="85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当事人承诺</w:t>
            </w:r>
          </w:p>
        </w:tc>
        <w:tc>
          <w:tcPr>
            <w:tcW w:w="898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（执法单位全称）：</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执法人员已向本人（单位）进行了相关告知和法制宣传教育，并要求予以改正。</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sz w:val="21"/>
                <w:szCs w:val="21"/>
                <w:u w:val="single" w:color="auto"/>
                <w:lang w:val="en-US" w:eastAsia="zh-CN"/>
              </w:rPr>
            </w:pPr>
            <w:r>
              <w:rPr>
                <w:rFonts w:hint="eastAsia" w:ascii="宋体" w:hAnsi="宋体" w:eastAsia="宋体"/>
                <w:sz w:val="21"/>
                <w:szCs w:val="21"/>
                <w:lang w:val="en-US" w:eastAsia="zh-CN"/>
              </w:rPr>
              <w:t>本人（单位）对以上情况确认无误，并自愿承诺</w:t>
            </w:r>
            <w:r>
              <w:rPr>
                <w:rFonts w:hint="eastAsia" w:ascii="宋体" w:hAnsi="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r>
              <w:rPr>
                <w:rFonts w:hint="eastAsia" w:ascii="宋体" w:hAnsi="宋体" w:eastAsia="宋体"/>
                <w:sz w:val="21"/>
                <w:szCs w:val="21"/>
                <w:lang w:val="en-US" w:eastAsia="en-US"/>
              </w:rPr>
              <w:t>1</w:t>
            </w:r>
            <w:r>
              <w:rPr>
                <w:rFonts w:hint="eastAsia" w:ascii="宋体" w:hAnsi="宋体" w:eastAsia="宋体"/>
                <w:sz w:val="21"/>
                <w:szCs w:val="21"/>
                <w:lang w:val="en-US" w:eastAsia="zh-CN"/>
              </w:rPr>
              <w:t>.在</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年</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月</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日前整改完毕；</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r>
              <w:rPr>
                <w:rFonts w:hint="eastAsia" w:ascii="宋体" w:hAnsi="宋体" w:eastAsia="宋体"/>
                <w:sz w:val="21"/>
                <w:szCs w:val="21"/>
                <w:lang w:val="en-US" w:eastAsia="en-US"/>
              </w:rPr>
              <w:t>2</w:t>
            </w:r>
            <w:r>
              <w:rPr>
                <w:rFonts w:hint="eastAsia" w:ascii="宋体" w:hAnsi="宋体" w:eastAsia="宋体"/>
                <w:sz w:val="21"/>
                <w:szCs w:val="21"/>
                <w:lang w:val="en-US" w:eastAsia="zh-CN"/>
              </w:rPr>
              <w:t>.遵守</w:t>
            </w:r>
            <w:r>
              <w:rPr>
                <w:rFonts w:hint="eastAsia" w:ascii="宋体" w:hAnsi="宋体" w:eastAsia="宋体"/>
                <w:sz w:val="21"/>
                <w:szCs w:val="21"/>
                <w:u w:val="single" w:color="auto"/>
                <w:lang w:val="en-US" w:eastAsia="zh-CN"/>
              </w:rPr>
              <w:t xml:space="preserve">                              </w:t>
            </w:r>
            <w:r>
              <w:rPr>
                <w:rFonts w:hint="eastAsia" w:ascii="宋体" w:hAnsi="宋体" w:eastAsia="宋体"/>
                <w:sz w:val="21"/>
                <w:szCs w:val="21"/>
                <w:lang w:val="en-US" w:eastAsia="zh-CN"/>
              </w:rPr>
              <w:t>法律法规规章的规定。</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3.</w:t>
            </w:r>
            <w:r>
              <w:rPr>
                <w:rFonts w:hint="eastAsia" w:ascii="宋体" w:hAnsi="宋体" w:eastAsia="宋体"/>
                <w:sz w:val="21"/>
                <w:szCs w:val="21"/>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若本人（单位）未履行上述承诺的，愿依法承担相应的法律责任。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1680" w:firstLineChars="800"/>
              <w:jc w:val="center"/>
              <w:textAlignment w:val="auto"/>
              <w:outlineLvl w:val="9"/>
              <w:rPr>
                <w:rFonts w:hint="eastAsia" w:ascii="宋体" w:hAnsi="宋体" w:eastAsia="宋体"/>
                <w:sz w:val="21"/>
                <w:szCs w:val="21"/>
                <w:lang w:val="en-US" w:eastAsia="zh-CN"/>
              </w:rPr>
            </w:pPr>
            <w:r>
              <w:rPr>
                <w:rFonts w:hint="eastAsia" w:ascii="宋体" w:hAnsi="宋体" w:eastAsia="宋体"/>
                <w:sz w:val="21"/>
                <w:szCs w:val="21"/>
                <w:lang w:val="en-US" w:eastAsia="zh-CN"/>
              </w:rPr>
              <w:t>签名或盖章：</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2940" w:firstLineChars="1400"/>
              <w:jc w:val="center"/>
              <w:textAlignment w:val="auto"/>
              <w:outlineLvl w:val="9"/>
              <w:rPr>
                <w:rFonts w:hint="eastAsia" w:ascii="宋体" w:hAnsi="宋体" w:eastAsia="宋体"/>
                <w:sz w:val="21"/>
                <w:szCs w:val="21"/>
              </w:rPr>
            </w:pPr>
            <w:r>
              <w:rPr>
                <w:rFonts w:hint="eastAsia" w:ascii="宋体" w:hAnsi="宋体" w:eastAsia="宋体"/>
                <w:sz w:val="21"/>
                <w:szCs w:val="21"/>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39" w:hRule="exact"/>
        </w:trPr>
        <w:tc>
          <w:tcPr>
            <w:tcW w:w="852"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备注</w:t>
            </w:r>
          </w:p>
        </w:tc>
        <w:tc>
          <w:tcPr>
            <w:tcW w:w="8986" w:type="dxa"/>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（注</w:t>
            </w:r>
            <w:r>
              <w:rPr>
                <w:rFonts w:hint="eastAsia" w:ascii="宋体" w:hAnsi="宋体" w:eastAsia="宋体"/>
                <w:sz w:val="21"/>
                <w:szCs w:val="21"/>
                <w:lang w:val="zh-CN" w:eastAsia="zh-CN"/>
              </w:rPr>
              <w:t>明当</w:t>
            </w:r>
            <w:r>
              <w:rPr>
                <w:rFonts w:hint="eastAsia" w:ascii="宋体" w:hAnsi="宋体" w:eastAsia="宋体"/>
                <w:sz w:val="21"/>
                <w:szCs w:val="21"/>
                <w:lang w:val="en-US" w:eastAsia="zh-CN"/>
              </w:rPr>
              <w:t>事人的改正情况并核查后，执法人员签名）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730" w:firstLineChars="1300"/>
              <w:jc w:val="center"/>
              <w:textAlignment w:val="auto"/>
              <w:rPr>
                <w:rFonts w:hint="eastAsia" w:ascii="宋体" w:hAnsi="宋体" w:eastAsia="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730" w:firstLineChars="1300"/>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执法人员签名：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730" w:firstLineChars="1300"/>
              <w:jc w:val="center"/>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年     月     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黑体" w:hAnsi="黑体" w:eastAsia="黑体" w:cs="黑体"/>
          <w:i w:val="0"/>
          <w:caps w:val="0"/>
          <w:color w:val="auto"/>
          <w:spacing w:val="0"/>
          <w:kern w:val="0"/>
          <w:sz w:val="32"/>
          <w:szCs w:val="32"/>
          <w:lang w:val="en-US" w:eastAsia="zh-CN" w:bidi="ar"/>
        </w:rPr>
        <w:sectPr>
          <w:pgSz w:w="11906" w:h="16838"/>
          <w:pgMar w:top="1134" w:right="1020" w:bottom="850" w:left="1020" w:header="851" w:footer="992" w:gutter="0"/>
          <w:pgNumType w:fmt="decimal"/>
          <w:cols w:space="0" w:num="1"/>
          <w:rtlGutter w:val="0"/>
          <w:docGrid w:type="lines" w:linePitch="315"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黑体" w:hAnsi="黑体" w:eastAsia="黑体" w:cs="黑体"/>
          <w:i w:val="0"/>
          <w:caps w:val="0"/>
          <w:color w:val="auto"/>
          <w:spacing w:val="0"/>
          <w:kern w:val="0"/>
          <w:sz w:val="32"/>
          <w:szCs w:val="32"/>
          <w:lang w:val="en-US" w:eastAsia="zh-CN" w:bidi="ar"/>
        </w:rPr>
      </w:pPr>
      <w:r>
        <w:rPr>
          <w:rFonts w:hint="eastAsia" w:ascii="黑体" w:hAnsi="黑体" w:eastAsia="黑体" w:cs="黑体"/>
          <w:i w:val="0"/>
          <w:caps w:val="0"/>
          <w:color w:val="auto"/>
          <w:spacing w:val="0"/>
          <w:kern w:val="0"/>
          <w:sz w:val="32"/>
          <w:szCs w:val="32"/>
          <w:lang w:val="en-US" w:eastAsia="zh-CN" w:bidi="ar"/>
        </w:rPr>
        <w:t>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简体" w:hAnsi="方正小标宋简体" w:eastAsia="方正小标宋简体" w:cs="方正小标宋简体"/>
          <w:i w:val="0"/>
          <w:caps w:val="0"/>
          <w:color w:val="auto"/>
          <w:spacing w:val="0"/>
          <w:kern w:val="0"/>
          <w:sz w:val="36"/>
          <w:szCs w:val="36"/>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方正小标宋简体" w:hAnsi="方正小标宋简体" w:eastAsia="方正小标宋简体" w:cs="方正小标宋简体"/>
          <w:i w:val="0"/>
          <w:caps w:val="0"/>
          <w:color w:val="auto"/>
          <w:spacing w:val="0"/>
          <w:sz w:val="36"/>
          <w:szCs w:val="36"/>
        </w:rPr>
      </w:pPr>
      <w:r>
        <w:rPr>
          <w:rFonts w:hint="eastAsia" w:ascii="方正小标宋简体" w:hAnsi="方正小标宋简体" w:eastAsia="方正小标宋简体" w:cs="方正小标宋简体"/>
          <w:i w:val="0"/>
          <w:caps w:val="0"/>
          <w:color w:val="auto"/>
          <w:spacing w:val="0"/>
          <w:kern w:val="0"/>
          <w:sz w:val="36"/>
          <w:szCs w:val="36"/>
          <w:lang w:val="en-US" w:eastAsia="zh-CN" w:bidi="ar"/>
        </w:rPr>
        <w:t>青海省医疗保障局责令改正通知书（样表）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eastAsia" w:ascii="微软雅黑" w:hAnsi="微软雅黑" w:eastAsia="微软雅黑" w:cs="微软雅黑"/>
          <w:i w:val="0"/>
          <w:caps w:val="0"/>
          <w:color w:val="auto"/>
          <w:spacing w:val="0"/>
          <w:sz w:val="27"/>
          <w:szCs w:val="27"/>
        </w:rPr>
      </w:pPr>
      <w:r>
        <w:rPr>
          <w:rFonts w:hint="eastAsia" w:ascii="楷体_GB2312" w:hAnsi="微软雅黑" w:eastAsia="楷体_GB2312" w:cs="楷体_GB2312"/>
          <w:b/>
          <w:i w:val="0"/>
          <w:caps w:val="0"/>
          <w:color w:val="auto"/>
          <w:spacing w:val="0"/>
          <w:sz w:val="25"/>
          <w:szCs w:val="25"/>
          <w:lang w:val="en-US" w:eastAsia="zh-CN"/>
        </w:rPr>
        <w:t>青</w:t>
      </w:r>
      <w:r>
        <w:rPr>
          <w:rFonts w:hint="eastAsia" w:ascii="楷体_GB2312" w:hAnsi="微软雅黑" w:eastAsia="楷体_GB2312" w:cs="楷体_GB2312"/>
          <w:b/>
          <w:i w:val="0"/>
          <w:caps w:val="0"/>
          <w:color w:val="auto"/>
          <w:spacing w:val="0"/>
          <w:sz w:val="25"/>
          <w:szCs w:val="25"/>
        </w:rPr>
        <w:t>医保责改通字〔</w:t>
      </w:r>
      <w:r>
        <w:rPr>
          <w:rStyle w:val="10"/>
          <w:rFonts w:hint="eastAsia" w:ascii="楷体_GB2312" w:hAnsi="微软雅黑" w:eastAsia="楷体_GB2312" w:cs="楷体_GB2312"/>
          <w:b/>
          <w:i w:val="0"/>
          <w:caps w:val="0"/>
          <w:color w:val="auto"/>
          <w:spacing w:val="0"/>
          <w:sz w:val="31"/>
          <w:szCs w:val="31"/>
        </w:rPr>
        <w:t>   </w:t>
      </w:r>
      <w:r>
        <w:rPr>
          <w:rFonts w:hint="eastAsia" w:ascii="楷体_GB2312" w:hAnsi="微软雅黑" w:eastAsia="楷体_GB2312" w:cs="楷体_GB2312"/>
          <w:b/>
          <w:i w:val="0"/>
          <w:caps w:val="0"/>
          <w:color w:val="auto"/>
          <w:spacing w:val="0"/>
          <w:sz w:val="25"/>
          <w:szCs w:val="25"/>
        </w:rPr>
        <w:t>〕第</w:t>
      </w:r>
      <w:r>
        <w:rPr>
          <w:rStyle w:val="10"/>
          <w:rFonts w:hint="eastAsia" w:ascii="楷体_GB2312" w:hAnsi="微软雅黑" w:eastAsia="楷体_GB2312" w:cs="楷体_GB2312"/>
          <w:b/>
          <w:i w:val="0"/>
          <w:caps w:val="0"/>
          <w:color w:val="auto"/>
          <w:spacing w:val="0"/>
          <w:sz w:val="31"/>
          <w:szCs w:val="31"/>
        </w:rPr>
        <w:t>   </w:t>
      </w:r>
      <w:r>
        <w:rPr>
          <w:rFonts w:hint="eastAsia" w:ascii="楷体_GB2312" w:hAnsi="微软雅黑" w:eastAsia="楷体_GB2312" w:cs="楷体_GB2312"/>
          <w:b/>
          <w:i w:val="0"/>
          <w:caps w:val="0"/>
          <w:color w:val="auto"/>
          <w:spacing w:val="0"/>
          <w:sz w:val="25"/>
          <w:szCs w:val="25"/>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kern w:val="0"/>
          <w:sz w:val="28"/>
          <w:szCs w:val="28"/>
          <w:u w:val="single"/>
          <w:lang w:val="en-US" w:eastAsia="zh-CN" w:bidi="ar"/>
        </w:rPr>
        <w:t>                       </w:t>
      </w:r>
      <w:r>
        <w:rPr>
          <w:rFonts w:hint="eastAsia" w:ascii="仿宋_GB2312" w:hAnsi="仿宋_GB2312" w:eastAsia="仿宋_GB2312" w:cs="仿宋_GB2312"/>
          <w:i w:val="0"/>
          <w:caps w:val="0"/>
          <w:color w:val="auto"/>
          <w:spacing w:val="0"/>
          <w:kern w:val="0"/>
          <w:sz w:val="28"/>
          <w:szCs w:val="28"/>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left"/>
        <w:textAlignment w:val="auto"/>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kern w:val="0"/>
          <w:sz w:val="28"/>
          <w:szCs w:val="28"/>
          <w:lang w:val="en-US" w:eastAsia="zh-CN" w:bidi="ar"/>
        </w:rPr>
        <w:t>经查，你（单位）</w:t>
      </w:r>
      <w:r>
        <w:rPr>
          <w:rFonts w:hint="eastAsia" w:ascii="仿宋_GB2312" w:hAnsi="仿宋_GB2312" w:eastAsia="仿宋_GB2312" w:cs="仿宋_GB2312"/>
          <w:i w:val="0"/>
          <w:caps w:val="0"/>
          <w:color w:val="auto"/>
          <w:spacing w:val="0"/>
          <w:kern w:val="0"/>
          <w:sz w:val="28"/>
          <w:szCs w:val="28"/>
          <w:u w:val="single"/>
          <w:lang w:val="en-US" w:eastAsia="zh-CN" w:bidi="ar"/>
        </w:rPr>
        <w:t>                                                              </w:t>
      </w:r>
      <w:r>
        <w:rPr>
          <w:rFonts w:hint="eastAsia" w:ascii="仿宋_GB2312" w:hAnsi="仿宋_GB2312" w:eastAsia="仿宋_GB2312" w:cs="仿宋_GB2312"/>
          <w:i w:val="0"/>
          <w:caps w:val="0"/>
          <w:color w:val="auto"/>
          <w:spacing w:val="0"/>
          <w:kern w:val="0"/>
          <w:sz w:val="28"/>
          <w:szCs w:val="28"/>
          <w:lang w:val="en-US" w:eastAsia="zh-CN" w:bidi="ar"/>
        </w:rPr>
        <w:t>的行为，违反了</w:t>
      </w:r>
      <w:r>
        <w:rPr>
          <w:rFonts w:hint="eastAsia" w:ascii="仿宋_GB2312" w:hAnsi="仿宋_GB2312" w:eastAsia="仿宋_GB2312" w:cs="仿宋_GB2312"/>
          <w:i w:val="0"/>
          <w:caps w:val="0"/>
          <w:color w:val="auto"/>
          <w:spacing w:val="0"/>
          <w:kern w:val="0"/>
          <w:sz w:val="28"/>
          <w:szCs w:val="28"/>
          <w:u w:val="single"/>
          <w:lang w:val="en-US" w:eastAsia="zh-CN" w:bidi="ar"/>
        </w:rPr>
        <w:t>                                                             </w:t>
      </w:r>
      <w:r>
        <w:rPr>
          <w:rFonts w:hint="eastAsia" w:ascii="仿宋_GB2312" w:hAnsi="仿宋_GB2312" w:eastAsia="仿宋_GB2312" w:cs="仿宋_GB2312"/>
          <w:i w:val="0"/>
          <w:caps w:val="0"/>
          <w:color w:val="auto"/>
          <w:spacing w:val="0"/>
          <w:kern w:val="0"/>
          <w:sz w:val="28"/>
          <w:szCs w:val="28"/>
          <w:lang w:val="en-US" w:eastAsia="zh-CN" w:bidi="ar"/>
        </w:rPr>
        <w:t>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left"/>
        <w:textAlignment w:val="auto"/>
        <w:rPr>
          <w:rFonts w:hint="eastAsia" w:ascii="仿宋_GB2312" w:hAnsi="仿宋_GB2312" w:eastAsia="仿宋_GB2312" w:cs="仿宋_GB2312"/>
          <w:i w:val="0"/>
          <w:caps w:val="0"/>
          <w:color w:val="auto"/>
          <w:spacing w:val="0"/>
          <w:kern w:val="0"/>
          <w:sz w:val="28"/>
          <w:szCs w:val="28"/>
          <w:lang w:val="en-US" w:eastAsia="zh-CN" w:bidi="ar"/>
        </w:rPr>
      </w:pPr>
      <w:r>
        <w:rPr>
          <w:rFonts w:hint="eastAsia" w:ascii="仿宋_GB2312" w:hAnsi="仿宋_GB2312" w:eastAsia="仿宋_GB2312" w:cs="仿宋_GB2312"/>
          <w:i w:val="0"/>
          <w:caps w:val="0"/>
          <w:color w:val="auto"/>
          <w:spacing w:val="0"/>
          <w:kern w:val="0"/>
          <w:sz w:val="28"/>
          <w:szCs w:val="28"/>
          <w:lang w:val="en-US" w:eastAsia="zh-CN" w:bidi="ar"/>
        </w:rPr>
        <w:t>依据</w:t>
      </w:r>
      <w:r>
        <w:rPr>
          <w:rFonts w:hint="eastAsia" w:ascii="仿宋_GB2312" w:hAnsi="仿宋_GB2312" w:eastAsia="仿宋_GB2312" w:cs="仿宋_GB2312"/>
          <w:i w:val="0"/>
          <w:caps w:val="0"/>
          <w:color w:val="auto"/>
          <w:spacing w:val="0"/>
          <w:kern w:val="0"/>
          <w:sz w:val="28"/>
          <w:szCs w:val="28"/>
          <w:u w:val="single"/>
          <w:lang w:val="en-US" w:eastAsia="zh-CN" w:bidi="ar"/>
        </w:rPr>
        <w:t>                                        </w:t>
      </w:r>
      <w:r>
        <w:rPr>
          <w:rFonts w:hint="eastAsia" w:ascii="仿宋_GB2312" w:hAnsi="仿宋_GB2312" w:eastAsia="仿宋_GB2312" w:cs="仿宋_GB2312"/>
          <w:i w:val="0"/>
          <w:caps w:val="0"/>
          <w:color w:val="auto"/>
          <w:spacing w:val="0"/>
          <w:kern w:val="0"/>
          <w:sz w:val="28"/>
          <w:szCs w:val="28"/>
          <w:lang w:val="en-US" w:eastAsia="zh-CN" w:bidi="ar"/>
        </w:rPr>
        <w:t>的规定，现责令你（单位）</w:t>
      </w:r>
      <w:r>
        <w:rPr>
          <w:rFonts w:hint="eastAsia" w:ascii="仿宋_GB2312" w:hAnsi="仿宋_GB2312" w:eastAsia="仿宋_GB2312" w:cs="仿宋_GB2312"/>
          <w:i w:val="0"/>
          <w:caps w:val="0"/>
          <w:color w:val="auto"/>
          <w:spacing w:val="0"/>
          <w:kern w:val="0"/>
          <w:sz w:val="28"/>
          <w:szCs w:val="28"/>
          <w:u w:val="single"/>
          <w:lang w:val="en-US" w:eastAsia="zh-CN" w:bidi="ar"/>
        </w:rPr>
        <w:t>立即予以改正/在    年   月   日前改正</w:t>
      </w:r>
      <w:r>
        <w:rPr>
          <w:rFonts w:hint="eastAsia" w:ascii="仿宋_GB2312" w:hAnsi="仿宋_GB2312" w:eastAsia="仿宋_GB2312" w:cs="仿宋_GB2312"/>
          <w:i w:val="0"/>
          <w:caps w:val="0"/>
          <w:color w:val="auto"/>
          <w:spacing w:val="0"/>
          <w:kern w:val="0"/>
          <w:sz w:val="28"/>
          <w:szCs w:val="28"/>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left"/>
        <w:textAlignment w:val="auto"/>
        <w:rPr>
          <w:rFonts w:hint="eastAsia" w:ascii="仿宋_GB2312" w:hAnsi="仿宋_GB2312" w:eastAsia="仿宋_GB2312" w:cs="仿宋_GB2312"/>
          <w:i w:val="0"/>
          <w:caps w:val="0"/>
          <w:color w:val="auto"/>
          <w:spacing w:val="0"/>
          <w:kern w:val="0"/>
          <w:sz w:val="28"/>
          <w:szCs w:val="28"/>
          <w:u w:val="single"/>
          <w:lang w:val="en-US" w:eastAsia="zh-CN" w:bidi="ar"/>
        </w:rPr>
      </w:pPr>
      <w:r>
        <w:rPr>
          <w:rFonts w:hint="eastAsia" w:ascii="仿宋_GB2312" w:hAnsi="仿宋_GB2312" w:eastAsia="仿宋_GB2312" w:cs="仿宋_GB2312"/>
          <w:i w:val="0"/>
          <w:caps w:val="0"/>
          <w:color w:val="auto"/>
          <w:spacing w:val="0"/>
          <w:kern w:val="0"/>
          <w:sz w:val="28"/>
          <w:szCs w:val="28"/>
          <w:lang w:val="en-US" w:eastAsia="zh-CN" w:bidi="ar"/>
        </w:rPr>
        <w:t>改正内容及要求：</w:t>
      </w:r>
      <w:r>
        <w:rPr>
          <w:rFonts w:hint="eastAsia" w:ascii="仿宋_GB2312" w:hAnsi="仿宋_GB2312" w:eastAsia="仿宋_GB2312" w:cs="仿宋_GB2312"/>
          <w:i w:val="0"/>
          <w:caps w:val="0"/>
          <w:color w:val="auto"/>
          <w:spacing w:val="0"/>
          <w:kern w:val="0"/>
          <w:sz w:val="28"/>
          <w:szCs w:val="28"/>
          <w:u w:val="single"/>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仿宋_GB2312" w:hAnsi="仿宋_GB2312" w:eastAsia="仿宋_GB2312" w:cs="仿宋_GB2312"/>
          <w:i w:val="0"/>
          <w:caps w:val="0"/>
          <w:color w:val="auto"/>
          <w:spacing w:val="0"/>
          <w:kern w:val="0"/>
          <w:sz w:val="28"/>
          <w:szCs w:val="28"/>
          <w:lang w:val="en-US" w:eastAsia="zh-CN" w:bidi="ar"/>
        </w:rPr>
      </w:pPr>
      <w:r>
        <w:rPr>
          <w:rFonts w:hint="eastAsia" w:ascii="仿宋_GB2312" w:hAnsi="仿宋_GB2312" w:eastAsia="仿宋_GB2312" w:cs="仿宋_GB2312"/>
          <w:i w:val="0"/>
          <w:caps w:val="0"/>
          <w:color w:val="auto"/>
          <w:spacing w:val="0"/>
          <w:kern w:val="0"/>
          <w:sz w:val="28"/>
          <w:szCs w:val="28"/>
          <w:u w:val="single"/>
          <w:lang w:val="en-US" w:eastAsia="zh-CN" w:bidi="ar"/>
        </w:rPr>
        <w:t xml:space="preserve">                                                                                                          </w:t>
      </w:r>
      <w:r>
        <w:rPr>
          <w:rFonts w:hint="eastAsia" w:ascii="仿宋_GB2312" w:hAnsi="仿宋_GB2312" w:eastAsia="仿宋_GB2312" w:cs="仿宋_GB2312"/>
          <w:i w:val="0"/>
          <w:caps w:val="0"/>
          <w:color w:val="auto"/>
          <w:spacing w:val="0"/>
          <w:kern w:val="0"/>
          <w:sz w:val="28"/>
          <w:szCs w:val="28"/>
          <w:lang w:val="en-US" w:eastAsia="zh-CN" w:bidi="ar"/>
        </w:rPr>
        <w:t>  ，逾期不改的，本局将依据</w:t>
      </w:r>
      <w:r>
        <w:rPr>
          <w:rFonts w:hint="eastAsia" w:ascii="仿宋_GB2312" w:hAnsi="仿宋_GB2312" w:eastAsia="仿宋_GB2312" w:cs="仿宋_GB2312"/>
          <w:i w:val="0"/>
          <w:caps w:val="0"/>
          <w:color w:val="auto"/>
          <w:spacing w:val="0"/>
          <w:kern w:val="0"/>
          <w:sz w:val="28"/>
          <w:szCs w:val="28"/>
          <w:u w:val="single"/>
          <w:lang w:val="en-US" w:eastAsia="zh-CN" w:bidi="ar"/>
        </w:rPr>
        <w:t> （《××法》第×条第×款第×项的规定，依法给予行政处罚）。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left"/>
        <w:textAlignment w:val="auto"/>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kern w:val="0"/>
          <w:sz w:val="28"/>
          <w:szCs w:val="28"/>
          <w:lang w:val="en-US" w:eastAsia="zh-CN" w:bidi="ar"/>
        </w:rPr>
        <w:t>如对本责令改正决定不服，可以自收到本通知书之日起六十日内向</w:t>
      </w:r>
      <w:r>
        <w:rPr>
          <w:rFonts w:hint="eastAsia" w:ascii="仿宋_GB2312" w:hAnsi="仿宋_GB2312" w:eastAsia="仿宋_GB2312" w:cs="仿宋_GB2312"/>
          <w:i w:val="0"/>
          <w:caps w:val="0"/>
          <w:color w:val="auto"/>
          <w:spacing w:val="0"/>
          <w:kern w:val="0"/>
          <w:sz w:val="28"/>
          <w:szCs w:val="28"/>
          <w:u w:val="single"/>
          <w:lang w:val="en-US" w:eastAsia="zh-CN" w:bidi="ar"/>
        </w:rPr>
        <w:t>            </w:t>
      </w:r>
      <w:r>
        <w:rPr>
          <w:rFonts w:hint="eastAsia" w:ascii="仿宋_GB2312" w:hAnsi="仿宋_GB2312" w:eastAsia="仿宋_GB2312" w:cs="仿宋_GB2312"/>
          <w:i w:val="0"/>
          <w:caps w:val="0"/>
          <w:color w:val="auto"/>
          <w:spacing w:val="0"/>
          <w:kern w:val="0"/>
          <w:sz w:val="28"/>
          <w:szCs w:val="28"/>
          <w:lang w:val="en-US" w:eastAsia="zh-CN" w:bidi="ar"/>
        </w:rPr>
        <w:t>人民政府申请行政复议；也可以在六个月内依法向</w:t>
      </w:r>
      <w:r>
        <w:rPr>
          <w:rFonts w:hint="eastAsia" w:ascii="仿宋_GB2312" w:hAnsi="仿宋_GB2312" w:eastAsia="仿宋_GB2312" w:cs="仿宋_GB2312"/>
          <w:i w:val="0"/>
          <w:caps w:val="0"/>
          <w:color w:val="auto"/>
          <w:spacing w:val="0"/>
          <w:kern w:val="0"/>
          <w:sz w:val="28"/>
          <w:szCs w:val="28"/>
          <w:u w:val="single"/>
          <w:lang w:val="en-US" w:eastAsia="zh-CN" w:bidi="ar"/>
        </w:rPr>
        <w:t>           </w:t>
      </w:r>
      <w:r>
        <w:rPr>
          <w:rFonts w:hint="eastAsia" w:ascii="仿宋_GB2312" w:hAnsi="仿宋_GB2312" w:eastAsia="仿宋_GB2312" w:cs="仿宋_GB2312"/>
          <w:i w:val="0"/>
          <w:caps w:val="0"/>
          <w:color w:val="auto"/>
          <w:spacing w:val="0"/>
          <w:kern w:val="0"/>
          <w:sz w:val="28"/>
          <w:szCs w:val="28"/>
          <w:lang w:val="en-US" w:eastAsia="zh-CN" w:bidi="ar"/>
        </w:rPr>
        <w:t>法院提起行政诉讼。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5"/>
        <w:jc w:val="left"/>
        <w:textAlignment w:val="auto"/>
        <w:rPr>
          <w:rFonts w:hint="eastAsia" w:ascii="仿宋_GB2312" w:hAnsi="仿宋_GB2312" w:eastAsia="仿宋_GB2312" w:cs="仿宋_GB2312"/>
          <w:i w:val="0"/>
          <w:caps w:val="0"/>
          <w:color w:val="auto"/>
          <w:spacing w:val="0"/>
          <w:sz w:val="28"/>
          <w:szCs w:val="28"/>
        </w:rPr>
      </w:pPr>
      <w:r>
        <w:rPr>
          <w:rFonts w:hint="eastAsia" w:ascii="仿宋_GB2312" w:hAnsi="仿宋_GB2312" w:eastAsia="仿宋_GB2312" w:cs="仿宋_GB2312"/>
          <w:i w:val="0"/>
          <w:caps w:val="0"/>
          <w:color w:val="auto"/>
          <w:spacing w:val="0"/>
          <w:kern w:val="0"/>
          <w:sz w:val="28"/>
          <w:szCs w:val="28"/>
          <w:lang w:val="en-US" w:eastAsia="zh-CN" w:bidi="ar"/>
        </w:rPr>
        <w:t>联系人：</w:t>
      </w:r>
      <w:r>
        <w:rPr>
          <w:rFonts w:hint="eastAsia" w:ascii="仿宋_GB2312" w:hAnsi="仿宋_GB2312" w:eastAsia="仿宋_GB2312" w:cs="仿宋_GB2312"/>
          <w:i w:val="0"/>
          <w:caps w:val="0"/>
          <w:color w:val="auto"/>
          <w:spacing w:val="0"/>
          <w:kern w:val="0"/>
          <w:sz w:val="28"/>
          <w:szCs w:val="28"/>
          <w:u w:val="single"/>
          <w:lang w:val="en-US" w:eastAsia="zh-CN" w:bidi="ar"/>
        </w:rPr>
        <w:t>              </w:t>
      </w:r>
      <w:r>
        <w:rPr>
          <w:rFonts w:hint="eastAsia" w:ascii="仿宋_GB2312" w:hAnsi="仿宋_GB2312" w:eastAsia="仿宋_GB2312" w:cs="仿宋_GB2312"/>
          <w:i w:val="0"/>
          <w:caps w:val="0"/>
          <w:color w:val="auto"/>
          <w:spacing w:val="0"/>
          <w:kern w:val="0"/>
          <w:sz w:val="28"/>
          <w:szCs w:val="28"/>
          <w:lang w:val="en-US" w:eastAsia="zh-CN" w:bidi="ar"/>
        </w:rPr>
        <w:t>  联系电话：</w:t>
      </w:r>
      <w:r>
        <w:rPr>
          <w:rFonts w:hint="eastAsia" w:ascii="仿宋_GB2312" w:hAnsi="仿宋_GB2312" w:eastAsia="仿宋_GB2312" w:cs="仿宋_GB2312"/>
          <w:i w:val="0"/>
          <w:caps w:val="0"/>
          <w:color w:val="auto"/>
          <w:spacing w:val="0"/>
          <w:kern w:val="0"/>
          <w:sz w:val="28"/>
          <w:szCs w:val="28"/>
          <w:u w:val="single"/>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645" w:firstLine="420"/>
        <w:jc w:val="left"/>
        <w:textAlignment w:val="auto"/>
        <w:rPr>
          <w:rFonts w:hint="eastAsia" w:ascii="仿宋_GB2312" w:hAnsi="仿宋_GB2312" w:eastAsia="仿宋_GB2312" w:cs="仿宋_GB2312"/>
          <w:i w:val="0"/>
          <w:caps w:val="0"/>
          <w:color w:val="auto"/>
          <w:spacing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645" w:firstLine="4760" w:firstLineChars="1700"/>
        <w:jc w:val="left"/>
        <w:textAlignment w:val="auto"/>
        <w:rPr>
          <w:rFonts w:hint="eastAsia" w:ascii="仿宋_GB2312" w:hAnsi="仿宋_GB2312" w:eastAsia="仿宋_GB2312" w:cs="仿宋_GB2312"/>
          <w:i w:val="0"/>
          <w:caps w:val="0"/>
          <w:color w:val="auto"/>
          <w:spacing w:val="0"/>
          <w:kern w:val="0"/>
          <w:sz w:val="28"/>
          <w:szCs w:val="28"/>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645" w:firstLine="4760" w:firstLineChars="1700"/>
        <w:jc w:val="left"/>
        <w:textAlignment w:val="auto"/>
        <w:rPr>
          <w:rFonts w:hint="eastAsia" w:ascii="微软雅黑" w:hAnsi="微软雅黑" w:eastAsia="微软雅黑" w:cs="微软雅黑"/>
          <w:i w:val="0"/>
          <w:caps w:val="0"/>
          <w:color w:val="auto"/>
          <w:spacing w:val="0"/>
          <w:sz w:val="27"/>
          <w:szCs w:val="27"/>
        </w:rPr>
      </w:pPr>
      <w:r>
        <w:rPr>
          <w:rFonts w:hint="eastAsia" w:ascii="仿宋_GB2312" w:hAnsi="仿宋_GB2312" w:eastAsia="仿宋_GB2312" w:cs="仿宋_GB2312"/>
          <w:i w:val="0"/>
          <w:caps w:val="0"/>
          <w:color w:val="auto"/>
          <w:spacing w:val="0"/>
          <w:kern w:val="0"/>
          <w:sz w:val="28"/>
          <w:szCs w:val="28"/>
          <w:lang w:val="en-US" w:eastAsia="zh-CN" w:bidi="ar"/>
        </w:rPr>
        <w:t>青海省医疗保障局</w:t>
      </w:r>
      <w:r>
        <w:rPr>
          <w:rFonts w:hint="eastAsia" w:ascii="仿宋_GB2312" w:hAnsi="微软雅黑" w:eastAsia="仿宋_GB2312" w:cs="仿宋_GB2312"/>
          <w:i w:val="0"/>
          <w:caps w:val="0"/>
          <w:color w:val="auto"/>
          <w:spacing w:val="0"/>
          <w:kern w:val="0"/>
          <w:sz w:val="25"/>
          <w:szCs w:val="25"/>
          <w:lang w:val="en-US" w:eastAsia="zh-CN" w:bidi="ar"/>
        </w:rPr>
        <w:t>（印</w:t>
      </w:r>
      <w:r>
        <w:rPr>
          <w:rFonts w:hint="eastAsia" w:ascii="仿宋_GB2312" w:hAnsi="微软雅黑" w:eastAsia="仿宋_GB2312" w:cs="仿宋_GB2312"/>
          <w:i w:val="0"/>
          <w:caps w:val="0"/>
          <w:color w:val="auto"/>
          <w:spacing w:val="0"/>
          <w:kern w:val="0"/>
          <w:sz w:val="31"/>
          <w:szCs w:val="31"/>
          <w:lang w:val="en-US" w:eastAsia="zh-CN" w:bidi="ar"/>
        </w:rPr>
        <w:t> </w:t>
      </w:r>
      <w:r>
        <w:rPr>
          <w:rFonts w:hint="eastAsia" w:ascii="仿宋_GB2312" w:hAnsi="微软雅黑" w:eastAsia="仿宋_GB2312" w:cs="仿宋_GB2312"/>
          <w:i w:val="0"/>
          <w:caps w:val="0"/>
          <w:color w:val="auto"/>
          <w:spacing w:val="0"/>
          <w:kern w:val="0"/>
          <w:sz w:val="25"/>
          <w:szCs w:val="25"/>
          <w:lang w:val="en-US" w:eastAsia="zh-CN" w:bidi="ar"/>
        </w:rPr>
        <w:t>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000" w:firstLineChars="2400"/>
        <w:jc w:val="left"/>
        <w:textAlignment w:val="auto"/>
        <w:rPr>
          <w:rFonts w:hint="eastAsia" w:ascii="微软雅黑" w:hAnsi="微软雅黑" w:eastAsia="微软雅黑" w:cs="微软雅黑"/>
          <w:i w:val="0"/>
          <w:caps w:val="0"/>
          <w:color w:val="auto"/>
          <w:spacing w:val="0"/>
          <w:kern w:val="0"/>
          <w:sz w:val="25"/>
          <w:szCs w:val="25"/>
          <w:lang w:val="en-US" w:eastAsia="zh-CN" w:bidi="ar"/>
        </w:rPr>
      </w:pPr>
      <w:r>
        <w:rPr>
          <w:rFonts w:hint="eastAsia" w:ascii="仿宋_GB2312" w:hAnsi="微软雅黑" w:eastAsia="仿宋_GB2312" w:cs="仿宋_GB2312"/>
          <w:i w:val="0"/>
          <w:caps w:val="0"/>
          <w:color w:val="auto"/>
          <w:spacing w:val="0"/>
          <w:kern w:val="0"/>
          <w:sz w:val="25"/>
          <w:szCs w:val="25"/>
          <w:lang w:val="en-US" w:eastAsia="zh-CN" w:bidi="ar"/>
        </w:rPr>
        <w:t>年</w:t>
      </w:r>
      <w:r>
        <w:rPr>
          <w:rFonts w:hint="eastAsia" w:ascii="仿宋_GB2312" w:hAnsi="微软雅黑" w:eastAsia="仿宋_GB2312" w:cs="仿宋_GB2312"/>
          <w:i w:val="0"/>
          <w:caps w:val="0"/>
          <w:color w:val="auto"/>
          <w:spacing w:val="0"/>
          <w:kern w:val="0"/>
          <w:sz w:val="31"/>
          <w:szCs w:val="31"/>
          <w:lang w:val="en-US" w:eastAsia="zh-CN" w:bidi="ar"/>
        </w:rPr>
        <w:t>   </w:t>
      </w:r>
      <w:r>
        <w:rPr>
          <w:rFonts w:hint="eastAsia" w:ascii="仿宋_GB2312" w:hAnsi="微软雅黑" w:eastAsia="仿宋_GB2312" w:cs="仿宋_GB2312"/>
          <w:i w:val="0"/>
          <w:caps w:val="0"/>
          <w:color w:val="auto"/>
          <w:spacing w:val="0"/>
          <w:kern w:val="0"/>
          <w:sz w:val="25"/>
          <w:szCs w:val="25"/>
          <w:lang w:val="en-US" w:eastAsia="zh-CN" w:bidi="ar"/>
        </w:rPr>
        <w:t>月</w:t>
      </w:r>
      <w:r>
        <w:rPr>
          <w:rFonts w:hint="eastAsia" w:ascii="仿宋_GB2312" w:hAnsi="微软雅黑" w:eastAsia="仿宋_GB2312" w:cs="仿宋_GB2312"/>
          <w:i w:val="0"/>
          <w:caps w:val="0"/>
          <w:color w:val="auto"/>
          <w:spacing w:val="0"/>
          <w:kern w:val="0"/>
          <w:sz w:val="31"/>
          <w:szCs w:val="31"/>
          <w:lang w:val="en-US" w:eastAsia="zh-CN" w:bidi="ar"/>
        </w:rPr>
        <w:t>   </w:t>
      </w:r>
      <w:r>
        <w:rPr>
          <w:rFonts w:hint="eastAsia" w:ascii="仿宋_GB2312" w:hAnsi="微软雅黑" w:eastAsia="仿宋_GB2312" w:cs="仿宋_GB2312"/>
          <w:i w:val="0"/>
          <w:caps w:val="0"/>
          <w:color w:val="auto"/>
          <w:spacing w:val="0"/>
          <w:kern w:val="0"/>
          <w:sz w:val="25"/>
          <w:szCs w:val="25"/>
          <w:lang w:val="en-US" w:eastAsia="zh-CN" w:bidi="ar"/>
        </w:rPr>
        <w:t>日</w:t>
      </w:r>
      <w:r>
        <w:rPr>
          <w:rFonts w:hint="eastAsia" w:ascii="仿宋_GB2312" w:hAnsi="微软雅黑" w:eastAsia="仿宋_GB2312" w:cs="仿宋_GB2312"/>
          <w:i w:val="0"/>
          <w:caps w:val="0"/>
          <w:color w:val="auto"/>
          <w:spacing w:val="0"/>
          <w:kern w:val="0"/>
          <w:sz w:val="31"/>
          <w:szCs w:val="31"/>
          <w:lang w:val="en-US" w:eastAsia="zh-CN" w:bidi="ar"/>
        </w:rPr>
        <w:t>  </w:t>
      </w:r>
      <w:r>
        <w:rPr>
          <w:rFonts w:hint="eastAsia" w:ascii="微软雅黑" w:hAnsi="微软雅黑" w:eastAsia="微软雅黑" w:cs="微软雅黑"/>
          <w:i w:val="0"/>
          <w:caps w:val="0"/>
          <w:color w:val="auto"/>
          <w:spacing w:val="0"/>
          <w:kern w:val="0"/>
          <w:sz w:val="27"/>
          <w:szCs w:val="27"/>
          <w:lang w:val="en-US" w:eastAsia="zh-CN" w:bidi="ar"/>
        </w:rPr>
        <w:t> </w:t>
      </w:r>
      <w:r>
        <w:rPr>
          <w:rFonts w:hint="eastAsia" w:ascii="仿宋_GB2312" w:hAnsi="微软雅黑" w:eastAsia="仿宋_GB2312" w:cs="仿宋_GB2312"/>
          <w:i w:val="0"/>
          <w:caps w:val="0"/>
          <w:color w:val="auto"/>
          <w:spacing w:val="0"/>
          <w:kern w:val="0"/>
          <w:sz w:val="31"/>
          <w:szCs w:val="31"/>
          <w:lang w:val="en-US" w:eastAsia="zh-CN" w:bidi="ar"/>
        </w:rPr>
        <w:t>  </w:t>
      </w:r>
      <w:r>
        <w:rPr>
          <w:rFonts w:hint="eastAsia" w:ascii="微软雅黑" w:hAnsi="微软雅黑" w:eastAsia="微软雅黑" w:cs="微软雅黑"/>
          <w:i w:val="0"/>
          <w:caps w:val="0"/>
          <w:color w:val="auto"/>
          <w:spacing w:val="0"/>
          <w:kern w:val="0"/>
          <w:sz w:val="25"/>
          <w:szCs w:val="25"/>
          <w:lang w:val="en-US" w:eastAsia="zh-CN" w:bidi="ar"/>
        </w:rPr>
        <w:drawing>
          <wp:inline distT="0" distB="0" distL="114300" distR="114300">
            <wp:extent cx="5772150" cy="190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772150" cy="1905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000" w:firstLineChars="2400"/>
        <w:jc w:val="left"/>
        <w:textAlignment w:val="auto"/>
        <w:rPr>
          <w:rFonts w:hint="eastAsia" w:ascii="微软雅黑" w:hAnsi="微软雅黑" w:eastAsia="微软雅黑" w:cs="微软雅黑"/>
          <w:i w:val="0"/>
          <w:caps w:val="0"/>
          <w:color w:val="auto"/>
          <w:spacing w:val="0"/>
          <w:kern w:val="0"/>
          <w:sz w:val="25"/>
          <w:szCs w:val="25"/>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rPr>
          <w:rFonts w:hint="default"/>
          <w:lang w:val="en-US" w:eastAsia="zh-CN"/>
        </w:rPr>
      </w:pPr>
      <w:r>
        <w:rPr>
          <w:rFonts w:hint="eastAsia" w:ascii="仿宋_GB2312" w:hAnsi="微软雅黑" w:eastAsia="仿宋_GB2312" w:cs="仿宋_GB2312"/>
          <w:i w:val="0"/>
          <w:caps w:val="0"/>
          <w:color w:val="auto"/>
          <w:spacing w:val="0"/>
          <w:kern w:val="0"/>
          <w:sz w:val="25"/>
          <w:szCs w:val="25"/>
          <w:lang w:val="en-US" w:eastAsia="zh-CN" w:bidi="ar"/>
        </w:rPr>
        <w:t>本文书一式</w:t>
      </w:r>
      <w:r>
        <w:rPr>
          <w:rFonts w:hint="eastAsia" w:ascii="仿宋_GB2312" w:hAnsi="微软雅黑" w:eastAsia="仿宋_GB2312" w:cs="仿宋_GB2312"/>
          <w:i w:val="0"/>
          <w:caps w:val="0"/>
          <w:color w:val="auto"/>
          <w:spacing w:val="0"/>
          <w:kern w:val="0"/>
          <w:sz w:val="31"/>
          <w:szCs w:val="31"/>
          <w:u w:val="single"/>
          <w:lang w:val="en-US" w:eastAsia="zh-CN" w:bidi="ar"/>
        </w:rPr>
        <w:t>    </w:t>
      </w:r>
      <w:r>
        <w:rPr>
          <w:rFonts w:hint="eastAsia" w:ascii="仿宋_GB2312" w:hAnsi="微软雅黑" w:eastAsia="仿宋_GB2312" w:cs="仿宋_GB2312"/>
          <w:i w:val="0"/>
          <w:caps w:val="0"/>
          <w:color w:val="auto"/>
          <w:spacing w:val="0"/>
          <w:kern w:val="0"/>
          <w:sz w:val="25"/>
          <w:szCs w:val="25"/>
          <w:lang w:val="en-US" w:eastAsia="zh-CN" w:bidi="ar"/>
        </w:rPr>
        <w:t>份，</w:t>
      </w:r>
      <w:r>
        <w:rPr>
          <w:rFonts w:hint="eastAsia" w:ascii="仿宋_GB2312" w:hAnsi="微软雅黑" w:eastAsia="仿宋_GB2312" w:cs="仿宋_GB2312"/>
          <w:i w:val="0"/>
          <w:caps w:val="0"/>
          <w:color w:val="auto"/>
          <w:spacing w:val="0"/>
          <w:kern w:val="0"/>
          <w:sz w:val="31"/>
          <w:szCs w:val="31"/>
          <w:u w:val="single"/>
          <w:lang w:val="en-US" w:eastAsia="zh-CN" w:bidi="ar"/>
        </w:rPr>
        <w:t>    </w:t>
      </w:r>
      <w:r>
        <w:rPr>
          <w:rFonts w:hint="eastAsia" w:ascii="仿宋_GB2312" w:hAnsi="微软雅黑" w:eastAsia="仿宋_GB2312" w:cs="仿宋_GB2312"/>
          <w:i w:val="0"/>
          <w:caps w:val="0"/>
          <w:color w:val="auto"/>
          <w:spacing w:val="0"/>
          <w:kern w:val="0"/>
          <w:sz w:val="25"/>
          <w:szCs w:val="25"/>
          <w:lang w:val="en-US" w:eastAsia="zh-CN" w:bidi="ar"/>
        </w:rPr>
        <w:t>份送达，一份归档，</w:t>
      </w:r>
      <w:r>
        <w:rPr>
          <w:rFonts w:hint="eastAsia" w:ascii="仿宋_GB2312" w:hAnsi="微软雅黑" w:eastAsia="仿宋_GB2312" w:cs="仿宋_GB2312"/>
          <w:i w:val="0"/>
          <w:caps w:val="0"/>
          <w:color w:val="auto"/>
          <w:spacing w:val="0"/>
          <w:kern w:val="0"/>
          <w:sz w:val="31"/>
          <w:szCs w:val="31"/>
          <w:u w:val="single"/>
          <w:lang w:val="en-US" w:eastAsia="zh-CN" w:bidi="ar"/>
        </w:rPr>
        <w:t>            </w:t>
      </w:r>
      <w:r>
        <w:rPr>
          <w:rFonts w:hint="eastAsia" w:ascii="仿宋_GB2312" w:hAnsi="微软雅黑" w:eastAsia="仿宋_GB2312" w:cs="仿宋_GB2312"/>
          <w:i w:val="0"/>
          <w:caps w:val="0"/>
          <w:color w:val="auto"/>
          <w:spacing w:val="0"/>
          <w:kern w:val="0"/>
          <w:sz w:val="25"/>
          <w:szCs w:val="25"/>
          <w:lang w:val="en-US" w:eastAsia="zh-CN" w:bidi="ar"/>
        </w:rPr>
        <w:t>。</w:t>
      </w:r>
    </w:p>
    <w:sectPr>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3E3287"/>
    <w:multiLevelType w:val="singleLevel"/>
    <w:tmpl w:val="D33E32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ZjUyZjRmMjVkNWQwNTQwYTAyNmMxY2Y3MjY0NWUifQ=="/>
  </w:docVars>
  <w:rsids>
    <w:rsidRoot w:val="01E313E1"/>
    <w:rsid w:val="01E313E1"/>
    <w:rsid w:val="133B169F"/>
    <w:rsid w:val="18623C16"/>
    <w:rsid w:val="18C232C6"/>
    <w:rsid w:val="1B017991"/>
    <w:rsid w:val="1D1833A7"/>
    <w:rsid w:val="245944FD"/>
    <w:rsid w:val="2E0F57E5"/>
    <w:rsid w:val="306D39D7"/>
    <w:rsid w:val="31E72F9D"/>
    <w:rsid w:val="40E37C15"/>
    <w:rsid w:val="5F5D2412"/>
    <w:rsid w:val="6E9A7FBE"/>
    <w:rsid w:val="7DDB2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sz w:val="30"/>
      <w:szCs w:val="30"/>
    </w:r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snapToGrid w:val="0"/>
    </w:pPr>
    <w:rPr>
      <w:rFonts w:ascii="Times New Roman" w:hAnsi="Times New Roman" w:eastAsia="宋体" w:cs="Times New Roman"/>
      <w:sz w:val="18"/>
    </w:rPr>
  </w:style>
  <w:style w:type="paragraph" w:customStyle="1" w:styleId="4">
    <w:name w:val="引用1"/>
    <w:basedOn w:val="1"/>
    <w:next w:val="1"/>
    <w:qFormat/>
    <w:uiPriority w:val="0"/>
    <w:pPr>
      <w:ind w:left="864" w:right="864"/>
      <w:jc w:val="center"/>
    </w:pPr>
    <w:rPr>
      <w:rFonts w:hint="eastAsia"/>
      <w:i/>
      <w:color w:val="000000"/>
      <w:sz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2023-12-08T13:56:00Z</dcterms:created>
  <dc:creator>Administrator</dc:creator>
  <cp:lastModifiedBy> 魏海玲</cp:lastModifiedBy>
  <cp:lastPrinted>2023-12-14T08:21:00Z</cp:lastPrinted>
  <dcterms:modified xsi:type="dcterms:W3CDTF">2023-12-28T02:07:34Z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ACA72CCA29A04D65A7BDE68CF9A42402_11</vt:lpwstr>
  </property>
</Properties>
</file>