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spacing w:line="500" w:lineRule="exact"/>
        <w:ind w:left="-561" w:leftChars="-193" w:firstLine="565" w:firstLineChars="161"/>
        <w:jc w:val="center"/>
        <w:rPr>
          <w:rFonts w:hint="eastAsia" w:ascii="方正小标宋简体" w:hAnsi="方正小标宋简体" w:eastAsia="方正小标宋简体" w:cs="方正小标宋简体"/>
          <w:sz w:val="36"/>
          <w:szCs w:val="36"/>
          <w:lang w:val="zh-TW" w:eastAsia="zh-CN"/>
        </w:rPr>
      </w:pPr>
    </w:p>
    <w:p>
      <w:pPr>
        <w:pStyle w:val="13"/>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zh-TW" w:eastAsia="zh-TW"/>
        </w:rPr>
      </w:pPr>
      <w:r>
        <w:rPr>
          <w:rFonts w:hint="eastAsia" w:ascii="方正小标宋简体" w:hAnsi="方正小标宋简体" w:eastAsia="方正小标宋简体" w:cs="方正小标宋简体"/>
          <w:sz w:val="44"/>
          <w:szCs w:val="44"/>
          <w:lang w:val="zh-TW" w:eastAsia="zh-CN"/>
        </w:rPr>
        <w:t>三明采购联盟</w:t>
      </w:r>
      <w:r>
        <w:rPr>
          <w:rFonts w:hint="eastAsia" w:ascii="方正小标宋简体" w:hAnsi="方正小标宋简体" w:eastAsia="方正小标宋简体" w:cs="方正小标宋简体"/>
          <w:sz w:val="44"/>
          <w:szCs w:val="44"/>
          <w:lang w:val="en-US" w:eastAsia="zh-CN"/>
        </w:rPr>
        <w:t>第八批</w:t>
      </w:r>
      <w:r>
        <w:rPr>
          <w:rFonts w:hint="eastAsia" w:ascii="方正小标宋简体" w:hAnsi="方正小标宋简体" w:eastAsia="方正小标宋简体" w:cs="方正小标宋简体"/>
          <w:sz w:val="44"/>
          <w:szCs w:val="44"/>
          <w:lang w:val="zh-TW" w:eastAsia="zh-CN"/>
        </w:rPr>
        <w:t>医用耗材</w:t>
      </w:r>
      <w:r>
        <w:rPr>
          <w:rFonts w:hint="eastAsia" w:ascii="方正小标宋简体" w:hAnsi="方正小标宋简体" w:eastAsia="方正小标宋简体" w:cs="方正小标宋简体"/>
          <w:sz w:val="44"/>
          <w:szCs w:val="44"/>
          <w:lang w:val="zh-TW" w:eastAsia="zh-TW"/>
        </w:rPr>
        <w:t>集中带量采购</w:t>
      </w:r>
    </w:p>
    <w:p>
      <w:pPr>
        <w:pStyle w:val="13"/>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rPr>
          <w:rFonts w:hint="eastAsia" w:ascii="方正小标宋简体" w:hAnsi="方正小标宋简体" w:eastAsia="方正小标宋简体" w:cs="方正小标宋简体"/>
          <w:sz w:val="44"/>
          <w:szCs w:val="44"/>
          <w:lang w:val="zh-CN"/>
        </w:rPr>
      </w:pPr>
      <w:r>
        <w:rPr>
          <w:rFonts w:hint="eastAsia" w:ascii="方正小标宋简体" w:hAnsi="方正小标宋简体" w:eastAsia="方正小标宋简体" w:cs="方正小标宋简体"/>
          <w:sz w:val="44"/>
          <w:szCs w:val="44"/>
          <w:lang w:val="zh-TW" w:eastAsia="zh-TW"/>
        </w:rPr>
        <w:t>中选品</w:t>
      </w:r>
      <w:r>
        <w:rPr>
          <w:rFonts w:hint="eastAsia" w:ascii="方正小标宋简体" w:hAnsi="方正小标宋简体" w:eastAsia="方正小标宋简体" w:cs="方正小标宋简体"/>
          <w:sz w:val="44"/>
          <w:szCs w:val="44"/>
          <w:lang w:val="zh-TW"/>
        </w:rPr>
        <w:t>种</w:t>
      </w:r>
      <w:r>
        <w:rPr>
          <w:rFonts w:hint="eastAsia" w:ascii="方正小标宋简体" w:hAnsi="方正小标宋简体" w:eastAsia="方正小标宋简体" w:cs="方正小标宋简体"/>
          <w:sz w:val="44"/>
          <w:szCs w:val="44"/>
          <w:lang w:val="zh-CN"/>
        </w:rPr>
        <w:t>购销三方协议</w:t>
      </w:r>
      <w:bookmarkStart w:id="2" w:name="_GoBack"/>
      <w:bookmarkEnd w:id="2"/>
    </w:p>
    <w:p>
      <w:pPr>
        <w:pStyle w:val="13"/>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zh-CN"/>
        </w:rPr>
        <w:t>（</w:t>
      </w:r>
      <w:r>
        <w:rPr>
          <w:rFonts w:hint="eastAsia" w:ascii="仿宋_GB2312" w:hAnsi="仿宋_GB2312" w:eastAsia="仿宋_GB2312" w:cs="仿宋_GB2312"/>
          <w:sz w:val="28"/>
          <w:szCs w:val="28"/>
          <w:lang w:val="en-US" w:eastAsia="zh-CN"/>
        </w:rPr>
        <w:t>19个</w:t>
      </w:r>
      <w:r>
        <w:rPr>
          <w:rFonts w:hint="eastAsia" w:ascii="仿宋_GB2312" w:hAnsi="仿宋_GB2312" w:eastAsia="仿宋_GB2312" w:cs="仿宋_GB2312"/>
          <w:sz w:val="28"/>
          <w:szCs w:val="28"/>
          <w:lang w:val="zh-TW" w:eastAsia="zh-CN"/>
        </w:rPr>
        <w:t>医用耗材</w:t>
      </w:r>
      <w:r>
        <w:rPr>
          <w:rFonts w:hint="eastAsia" w:ascii="仿宋_GB2312" w:hAnsi="仿宋_GB2312" w:eastAsia="仿宋_GB2312" w:cs="仿宋_GB2312"/>
          <w:sz w:val="28"/>
          <w:szCs w:val="28"/>
          <w:lang w:val="en-US" w:eastAsia="zh-CN"/>
        </w:rPr>
        <w:t>）</w:t>
      </w:r>
    </w:p>
    <w:p>
      <w:pPr>
        <w:pStyle w:val="13"/>
        <w:spacing w:line="500" w:lineRule="exact"/>
        <w:jc w:val="center"/>
        <w:rPr>
          <w:rFonts w:hint="eastAsia" w:ascii="方正小标宋简体" w:hAnsi="方正小标宋简体" w:eastAsia="方正小标宋简体" w:cs="方正小标宋简体"/>
          <w:sz w:val="36"/>
          <w:szCs w:val="36"/>
          <w:lang w:val="zh-CN"/>
        </w:rPr>
      </w:pPr>
    </w:p>
    <w:tbl>
      <w:tblPr>
        <w:tblStyle w:val="10"/>
        <w:tblW w:w="925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085"/>
        <w:gridCol w:w="3231"/>
        <w:gridCol w:w="29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49" w:hRule="atLeast"/>
        </w:trPr>
        <w:tc>
          <w:tcPr>
            <w:tcW w:w="3085" w:type="dxa"/>
          </w:tcPr>
          <w:p>
            <w:pPr>
              <w:pStyle w:val="13"/>
              <w:rPr>
                <w:rFonts w:hint="eastAsia" w:ascii="仿宋_GB2312" w:hAnsi="仿宋_GB2312" w:eastAsia="仿宋_GB2312" w:cs="仿宋_GB2312"/>
                <w:sz w:val="28"/>
                <w:szCs w:val="28"/>
                <w:lang w:val="zh-TW" w:eastAsia="zh-TW"/>
              </w:rPr>
            </w:pPr>
            <w:r>
              <w:rPr>
                <w:rFonts w:hint="eastAsia" w:ascii="仿宋_GB2312" w:hAnsi="仿宋_GB2312" w:eastAsia="仿宋_GB2312" w:cs="仿宋_GB2312"/>
                <w:sz w:val="28"/>
                <w:szCs w:val="28"/>
                <w:lang w:val="zh-TW" w:eastAsia="zh-TW"/>
              </w:rPr>
              <w:t>甲方（医疗机构）：</w:t>
            </w:r>
          </w:p>
          <w:p>
            <w:pPr>
              <w:pStyle w:val="13"/>
              <w:rPr>
                <w:rFonts w:hint="eastAsia" w:ascii="仿宋_GB2312" w:hAnsi="仿宋_GB2312" w:eastAsia="仿宋_GB2312" w:cs="仿宋_GB2312"/>
                <w:sz w:val="28"/>
                <w:szCs w:val="28"/>
                <w:lang w:val="zh-TW" w:eastAsia="zh-TW"/>
              </w:rPr>
            </w:pPr>
          </w:p>
          <w:p>
            <w:pPr>
              <w:pStyle w:val="13"/>
              <w:rPr>
                <w:rFonts w:hint="eastAsia" w:ascii="仿宋_GB2312" w:hAnsi="仿宋_GB2312" w:eastAsia="仿宋_GB2312" w:cs="仿宋_GB2312"/>
                <w:sz w:val="28"/>
                <w:szCs w:val="28"/>
                <w:lang w:val="zh-TW" w:eastAsia="zh-TW"/>
              </w:rPr>
            </w:pPr>
          </w:p>
          <w:p>
            <w:pPr>
              <w:pStyle w:val="13"/>
              <w:rPr>
                <w:rFonts w:hint="eastAsia" w:ascii="仿宋_GB2312" w:hAnsi="仿宋_GB2312" w:eastAsia="仿宋_GB2312" w:cs="仿宋_GB2312"/>
                <w:sz w:val="28"/>
                <w:szCs w:val="28"/>
                <w:lang w:val="zh-TW" w:eastAsia="zh-TW"/>
              </w:rPr>
            </w:pPr>
          </w:p>
          <w:p>
            <w:pPr>
              <w:pStyle w:val="13"/>
              <w:rPr>
                <w:rFonts w:hint="eastAsia" w:ascii="仿宋_GB2312" w:hAnsi="仿宋_GB2312" w:eastAsia="仿宋_GB2312" w:cs="仿宋_GB2312"/>
                <w:sz w:val="28"/>
                <w:szCs w:val="28"/>
                <w:lang w:val="zh-TW" w:eastAsia="zh-CN"/>
              </w:rPr>
            </w:pPr>
          </w:p>
        </w:tc>
        <w:tc>
          <w:tcPr>
            <w:tcW w:w="3231" w:type="dxa"/>
          </w:tcPr>
          <w:p>
            <w:pPr>
              <w:pStyle w:val="13"/>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zh-TW" w:eastAsia="zh-TW"/>
              </w:rPr>
              <w:t>乙方（配送企业）：</w:t>
            </w:r>
          </w:p>
        </w:tc>
        <w:tc>
          <w:tcPr>
            <w:tcW w:w="2942" w:type="dxa"/>
          </w:tcPr>
          <w:p>
            <w:pPr>
              <w:pStyle w:val="13"/>
              <w:rPr>
                <w:rFonts w:hint="eastAsia" w:ascii="仿宋_GB2312" w:hAnsi="仿宋_GB2312" w:eastAsia="仿宋_GB2312" w:cs="仿宋_GB2312"/>
                <w:sz w:val="28"/>
                <w:szCs w:val="28"/>
                <w:lang w:val="zh-TW" w:eastAsia="zh-TW"/>
              </w:rPr>
            </w:pPr>
            <w:r>
              <w:rPr>
                <w:rFonts w:hint="eastAsia" w:ascii="仿宋_GB2312" w:hAnsi="仿宋_GB2312" w:eastAsia="仿宋_GB2312" w:cs="仿宋_GB2312"/>
                <w:sz w:val="28"/>
                <w:szCs w:val="28"/>
                <w:lang w:val="zh-TW" w:eastAsia="zh-TW"/>
              </w:rPr>
              <w:t>丙方（生产企业）：</w:t>
            </w:r>
          </w:p>
        </w:tc>
      </w:tr>
    </w:tbl>
    <w:p>
      <w:pPr>
        <w:pStyle w:val="13"/>
        <w:spacing w:line="560" w:lineRule="exact"/>
        <w:ind w:firstLine="542" w:firstLineChars="200"/>
        <w:rPr>
          <w:rFonts w:hint="eastAsia" w:ascii="仿宋" w:hAnsi="仿宋" w:eastAsia="仿宋"/>
          <w:sz w:val="28"/>
          <w:szCs w:val="28"/>
          <w:lang w:val="zh-TW" w:eastAsia="zh-TW"/>
        </w:rPr>
      </w:pPr>
    </w:p>
    <w:tbl>
      <w:tblPr>
        <w:tblStyle w:val="29"/>
        <w:tblW w:w="5329" w:type="pct"/>
        <w:jc w:val="center"/>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autofit"/>
        <w:tblCellMar>
          <w:top w:w="0" w:type="dxa"/>
          <w:left w:w="0" w:type="dxa"/>
          <w:bottom w:w="0" w:type="dxa"/>
          <w:right w:w="0" w:type="dxa"/>
        </w:tblCellMar>
      </w:tblPr>
      <w:tblGrid>
        <w:gridCol w:w="1706"/>
        <w:gridCol w:w="2172"/>
        <w:gridCol w:w="2079"/>
        <w:gridCol w:w="1825"/>
        <w:gridCol w:w="1670"/>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446" w:hRule="atLeast"/>
          <w:jc w:val="center"/>
        </w:trPr>
        <w:tc>
          <w:tcPr>
            <w:tcW w:w="902" w:type="pct"/>
            <w:vAlign w:val="center"/>
          </w:tcPr>
          <w:p>
            <w:pPr>
              <w:pStyle w:val="28"/>
              <w:spacing w:before="0" w:line="346" w:lineRule="exact"/>
              <w:ind w:left="376" w:right="96" w:hanging="240"/>
              <w:rPr>
                <w:rFonts w:hint="default" w:ascii="仿宋_GB2312" w:hAnsi="仿宋_GB2312" w:eastAsia="仿宋_GB2312" w:cs="仿宋_GB2312"/>
                <w:b/>
                <w:bCs/>
                <w:sz w:val="21"/>
                <w:szCs w:val="21"/>
                <w:lang w:val="en-US" w:eastAsia="zh-CN"/>
              </w:rPr>
            </w:pPr>
            <w:r>
              <w:rPr>
                <w:rFonts w:hint="eastAsia" w:ascii="仿宋_GB2312" w:hAnsi="仿宋_GB2312" w:eastAsia="仿宋_GB2312" w:cs="仿宋_GB2312"/>
                <w:b/>
                <w:bCs/>
                <w:sz w:val="21"/>
                <w:szCs w:val="21"/>
                <w:lang w:val="en-US" w:eastAsia="zh-CN"/>
              </w:rPr>
              <w:t>采购品种</w:t>
            </w:r>
          </w:p>
        </w:tc>
        <w:tc>
          <w:tcPr>
            <w:tcW w:w="1148" w:type="pct"/>
            <w:vAlign w:val="center"/>
          </w:tcPr>
          <w:p>
            <w:pPr>
              <w:pStyle w:val="28"/>
              <w:spacing w:before="0" w:line="346" w:lineRule="exact"/>
              <w:ind w:left="376" w:right="96" w:hanging="240"/>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lang w:eastAsia="zh-CN"/>
              </w:rPr>
              <w:t>申报企业</w:t>
            </w:r>
          </w:p>
        </w:tc>
        <w:tc>
          <w:tcPr>
            <w:tcW w:w="1099" w:type="pct"/>
            <w:vAlign w:val="center"/>
          </w:tcPr>
          <w:p>
            <w:pPr>
              <w:pStyle w:val="28"/>
              <w:spacing w:before="36"/>
              <w:ind w:right="193"/>
              <w:rPr>
                <w:rFonts w:hint="eastAsia" w:ascii="仿宋_GB2312" w:hAnsi="仿宋_GB2312" w:eastAsia="仿宋_GB2312" w:cs="仿宋_GB2312"/>
                <w:b/>
                <w:bCs/>
                <w:sz w:val="21"/>
                <w:szCs w:val="21"/>
                <w:lang w:eastAsia="zh-CN"/>
              </w:rPr>
            </w:pPr>
            <w:r>
              <w:rPr>
                <w:rFonts w:hint="eastAsia" w:ascii="仿宋_GB2312" w:hAnsi="仿宋_GB2312" w:eastAsia="仿宋_GB2312" w:cs="仿宋_GB2312"/>
                <w:b/>
                <w:bCs/>
                <w:sz w:val="21"/>
                <w:szCs w:val="21"/>
                <w:lang w:eastAsia="zh-CN"/>
              </w:rPr>
              <w:t>注册证号</w:t>
            </w:r>
          </w:p>
        </w:tc>
        <w:tc>
          <w:tcPr>
            <w:tcW w:w="965" w:type="pct"/>
            <w:vAlign w:val="center"/>
          </w:tcPr>
          <w:p>
            <w:pPr>
              <w:pStyle w:val="28"/>
              <w:kinsoku w:val="0"/>
              <w:spacing w:before="36"/>
              <w:ind w:left="170" w:right="142"/>
              <w:rPr>
                <w:rFonts w:hint="eastAsia" w:ascii="仿宋_GB2312" w:hAnsi="仿宋_GB2312" w:eastAsia="仿宋_GB2312" w:cs="仿宋_GB2312"/>
                <w:b/>
                <w:bCs/>
                <w:sz w:val="21"/>
                <w:szCs w:val="21"/>
                <w:lang w:eastAsia="zh-CN"/>
              </w:rPr>
            </w:pPr>
            <w:r>
              <w:rPr>
                <w:rFonts w:hint="eastAsia" w:ascii="仿宋_GB2312" w:hAnsi="仿宋_GB2312" w:eastAsia="仿宋_GB2312" w:cs="仿宋_GB2312"/>
                <w:b/>
                <w:bCs/>
                <w:sz w:val="21"/>
                <w:szCs w:val="21"/>
                <w:lang w:eastAsia="zh-CN"/>
              </w:rPr>
              <w:t>中选价格（元）</w:t>
            </w:r>
          </w:p>
          <w:p>
            <w:pPr>
              <w:pStyle w:val="28"/>
              <w:kinsoku w:val="0"/>
              <w:spacing w:before="36"/>
              <w:ind w:left="170" w:right="142"/>
              <w:rPr>
                <w:rFonts w:hint="eastAsia" w:ascii="仿宋_GB2312" w:hAnsi="仿宋_GB2312" w:eastAsia="仿宋_GB2312" w:cs="仿宋_GB2312"/>
                <w:b/>
                <w:bCs/>
                <w:sz w:val="21"/>
                <w:szCs w:val="21"/>
                <w:lang w:eastAsia="zh-CN"/>
              </w:rPr>
            </w:pPr>
            <w:r>
              <w:rPr>
                <w:rFonts w:hint="eastAsia" w:ascii="仿宋_GB2312" w:hAnsi="仿宋_GB2312" w:eastAsia="仿宋_GB2312" w:cs="仿宋_GB2312"/>
                <w:b/>
                <w:bCs/>
                <w:sz w:val="15"/>
                <w:szCs w:val="15"/>
                <w:lang w:eastAsia="zh-CN"/>
              </w:rPr>
              <w:t>（</w:t>
            </w:r>
            <w:r>
              <w:rPr>
                <w:rFonts w:hint="eastAsia" w:ascii="仿宋_GB2312" w:hAnsi="仿宋_GB2312" w:eastAsia="仿宋_GB2312" w:cs="仿宋_GB2312"/>
                <w:b/>
                <w:bCs/>
                <w:sz w:val="15"/>
                <w:szCs w:val="15"/>
                <w:lang w:val="en-US" w:eastAsia="zh-CN"/>
              </w:rPr>
              <w:t>个、支、套、根、条、张</w:t>
            </w:r>
            <w:r>
              <w:rPr>
                <w:rFonts w:hint="eastAsia" w:ascii="仿宋_GB2312" w:hAnsi="仿宋_GB2312" w:eastAsia="仿宋_GB2312" w:cs="仿宋_GB2312"/>
                <w:b/>
                <w:bCs/>
                <w:sz w:val="15"/>
                <w:szCs w:val="15"/>
                <w:lang w:eastAsia="zh-CN"/>
              </w:rPr>
              <w:t>）</w:t>
            </w:r>
          </w:p>
        </w:tc>
        <w:tc>
          <w:tcPr>
            <w:tcW w:w="883" w:type="pct"/>
            <w:vAlign w:val="center"/>
          </w:tcPr>
          <w:p>
            <w:pPr>
              <w:pStyle w:val="28"/>
              <w:spacing w:before="36"/>
              <w:ind w:left="172" w:right="144"/>
              <w:jc w:val="center"/>
              <w:rPr>
                <w:rFonts w:hint="eastAsia" w:ascii="仿宋_GB2312" w:hAnsi="仿宋_GB2312" w:eastAsia="仿宋_GB2312" w:cs="仿宋_GB2312"/>
                <w:b/>
                <w:bCs/>
                <w:sz w:val="21"/>
                <w:szCs w:val="21"/>
                <w:lang w:eastAsia="zh-CN"/>
              </w:rPr>
            </w:pPr>
            <w:r>
              <w:rPr>
                <w:rFonts w:hint="eastAsia" w:ascii="仿宋_GB2312" w:hAnsi="仿宋_GB2312" w:eastAsia="仿宋_GB2312" w:cs="仿宋_GB2312"/>
                <w:b/>
                <w:bCs/>
                <w:sz w:val="21"/>
                <w:szCs w:val="21"/>
                <w:lang w:eastAsia="zh-CN"/>
              </w:rPr>
              <w:t>协议采购量</w:t>
            </w:r>
          </w:p>
          <w:p>
            <w:pPr>
              <w:pStyle w:val="28"/>
              <w:spacing w:before="36"/>
              <w:ind w:left="172" w:right="144"/>
              <w:jc w:val="center"/>
              <w:rPr>
                <w:rFonts w:hint="eastAsia" w:ascii="仿宋_GB2312" w:hAnsi="仿宋_GB2312" w:eastAsia="仿宋_GB2312" w:cs="仿宋_GB2312"/>
                <w:b/>
                <w:bCs/>
                <w:sz w:val="21"/>
                <w:szCs w:val="21"/>
                <w:lang w:eastAsia="zh-CN"/>
              </w:rPr>
            </w:pPr>
            <w:r>
              <w:rPr>
                <w:rFonts w:hint="eastAsia" w:ascii="仿宋_GB2312" w:hAnsi="仿宋_GB2312" w:eastAsia="仿宋_GB2312" w:cs="仿宋_GB2312"/>
                <w:b/>
                <w:bCs/>
                <w:sz w:val="15"/>
                <w:szCs w:val="15"/>
                <w:lang w:eastAsia="zh-CN"/>
              </w:rPr>
              <w:t>（</w:t>
            </w:r>
            <w:r>
              <w:rPr>
                <w:rFonts w:hint="eastAsia" w:ascii="仿宋_GB2312" w:hAnsi="仿宋_GB2312" w:eastAsia="仿宋_GB2312" w:cs="仿宋_GB2312"/>
                <w:b/>
                <w:bCs/>
                <w:sz w:val="15"/>
                <w:szCs w:val="15"/>
                <w:lang w:val="en-US" w:eastAsia="zh-CN"/>
              </w:rPr>
              <w:t>个、支、套、根、条、张</w:t>
            </w:r>
            <w:r>
              <w:rPr>
                <w:rFonts w:hint="eastAsia" w:ascii="仿宋_GB2312" w:hAnsi="仿宋_GB2312" w:eastAsia="仿宋_GB2312" w:cs="仿宋_GB2312"/>
                <w:b/>
                <w:bCs/>
                <w:sz w:val="15"/>
                <w:szCs w:val="15"/>
                <w:lang w:eastAsia="zh-CN"/>
              </w:rPr>
              <w: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059" w:hRule="atLeast"/>
          <w:jc w:val="center"/>
        </w:trPr>
        <w:tc>
          <w:tcPr>
            <w:tcW w:w="902" w:type="pct"/>
            <w:vAlign w:val="center"/>
          </w:tcPr>
          <w:p>
            <w:pPr>
              <w:pStyle w:val="28"/>
              <w:spacing w:before="38" w:line="289" w:lineRule="exact"/>
              <w:ind w:left="116" w:right="79"/>
              <w:rPr>
                <w:rFonts w:ascii="方正仿宋_GBK" w:hAnsi="方正仿宋_GBK" w:eastAsia="方正仿宋_GBK" w:cs="方正仿宋_GBK"/>
                <w:sz w:val="18"/>
                <w:szCs w:val="18"/>
                <w:lang w:eastAsia="zh-CN"/>
              </w:rPr>
            </w:pPr>
          </w:p>
        </w:tc>
        <w:tc>
          <w:tcPr>
            <w:tcW w:w="1148" w:type="pct"/>
            <w:vAlign w:val="center"/>
          </w:tcPr>
          <w:p>
            <w:pPr>
              <w:pStyle w:val="28"/>
              <w:spacing w:before="38" w:line="289" w:lineRule="exact"/>
              <w:ind w:left="116" w:right="79"/>
              <w:rPr>
                <w:rFonts w:ascii="方正仿宋_GBK" w:hAnsi="方正仿宋_GBK" w:eastAsia="方正仿宋_GBK" w:cs="方正仿宋_GBK"/>
                <w:sz w:val="18"/>
                <w:szCs w:val="18"/>
                <w:lang w:eastAsia="zh-CN"/>
              </w:rPr>
            </w:pPr>
          </w:p>
        </w:tc>
        <w:tc>
          <w:tcPr>
            <w:tcW w:w="1099" w:type="pct"/>
            <w:vAlign w:val="center"/>
          </w:tcPr>
          <w:p>
            <w:pPr>
              <w:pStyle w:val="28"/>
              <w:spacing w:before="38" w:line="289" w:lineRule="exact"/>
              <w:ind w:left="116" w:right="79"/>
              <w:rPr>
                <w:rFonts w:ascii="方正仿宋_GBK" w:hAnsi="方正仿宋_GBK" w:eastAsia="方正仿宋_GBK" w:cs="方正仿宋_GBK"/>
                <w:sz w:val="18"/>
                <w:szCs w:val="18"/>
                <w:lang w:eastAsia="zh-CN"/>
              </w:rPr>
            </w:pPr>
          </w:p>
        </w:tc>
        <w:tc>
          <w:tcPr>
            <w:tcW w:w="965" w:type="pct"/>
            <w:vAlign w:val="center"/>
          </w:tcPr>
          <w:p>
            <w:pPr>
              <w:pStyle w:val="28"/>
              <w:spacing w:before="38" w:line="289" w:lineRule="exact"/>
              <w:ind w:left="116" w:right="79"/>
              <w:rPr>
                <w:rFonts w:ascii="方正仿宋_GBK" w:hAnsi="方正仿宋_GBK" w:eastAsia="方正仿宋_GBK" w:cs="方正仿宋_GBK"/>
                <w:sz w:val="18"/>
                <w:szCs w:val="18"/>
                <w:lang w:eastAsia="zh-CN"/>
              </w:rPr>
            </w:pPr>
          </w:p>
        </w:tc>
        <w:tc>
          <w:tcPr>
            <w:tcW w:w="883" w:type="pct"/>
            <w:vAlign w:val="center"/>
          </w:tcPr>
          <w:p>
            <w:pPr>
              <w:pStyle w:val="28"/>
              <w:spacing w:before="38" w:line="289" w:lineRule="exact"/>
              <w:ind w:left="116" w:right="79"/>
              <w:rPr>
                <w:rFonts w:ascii="方正仿宋_GBK" w:hAnsi="方正仿宋_GBK" w:eastAsia="方正仿宋_GBK" w:cs="方正仿宋_GBK"/>
                <w:sz w:val="18"/>
                <w:szCs w:val="18"/>
                <w:lang w:eastAsia="zh-CN"/>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183" w:hRule="atLeast"/>
          <w:jc w:val="center"/>
        </w:trPr>
        <w:tc>
          <w:tcPr>
            <w:tcW w:w="902" w:type="pct"/>
            <w:vAlign w:val="center"/>
          </w:tcPr>
          <w:p>
            <w:pPr>
              <w:pStyle w:val="28"/>
              <w:spacing w:before="38" w:line="289" w:lineRule="exact"/>
              <w:ind w:left="116" w:right="79"/>
              <w:rPr>
                <w:rFonts w:ascii="方正仿宋_GBK" w:hAnsi="方正仿宋_GBK" w:eastAsia="方正仿宋_GBK" w:cs="方正仿宋_GBK"/>
                <w:sz w:val="18"/>
                <w:szCs w:val="18"/>
                <w:lang w:eastAsia="zh-CN"/>
              </w:rPr>
            </w:pPr>
          </w:p>
        </w:tc>
        <w:tc>
          <w:tcPr>
            <w:tcW w:w="1148" w:type="pct"/>
            <w:vAlign w:val="center"/>
          </w:tcPr>
          <w:p>
            <w:pPr>
              <w:pStyle w:val="28"/>
              <w:spacing w:before="38" w:line="289" w:lineRule="exact"/>
              <w:ind w:left="116" w:right="79"/>
              <w:rPr>
                <w:rFonts w:ascii="方正仿宋_GBK" w:hAnsi="方正仿宋_GBK" w:eastAsia="方正仿宋_GBK" w:cs="方正仿宋_GBK"/>
                <w:sz w:val="18"/>
                <w:szCs w:val="18"/>
                <w:lang w:eastAsia="zh-CN"/>
              </w:rPr>
            </w:pPr>
          </w:p>
        </w:tc>
        <w:tc>
          <w:tcPr>
            <w:tcW w:w="1099" w:type="pct"/>
            <w:vAlign w:val="center"/>
          </w:tcPr>
          <w:p>
            <w:pPr>
              <w:pStyle w:val="28"/>
              <w:spacing w:before="38" w:line="289" w:lineRule="exact"/>
              <w:ind w:left="116" w:right="79"/>
              <w:rPr>
                <w:rFonts w:ascii="方正仿宋_GBK" w:hAnsi="方正仿宋_GBK" w:eastAsia="方正仿宋_GBK" w:cs="方正仿宋_GBK"/>
                <w:sz w:val="18"/>
                <w:szCs w:val="18"/>
                <w:lang w:eastAsia="zh-CN"/>
              </w:rPr>
            </w:pPr>
          </w:p>
        </w:tc>
        <w:tc>
          <w:tcPr>
            <w:tcW w:w="965" w:type="pct"/>
            <w:vAlign w:val="center"/>
          </w:tcPr>
          <w:p>
            <w:pPr>
              <w:pStyle w:val="28"/>
              <w:spacing w:before="38" w:line="289" w:lineRule="exact"/>
              <w:ind w:left="116" w:right="79"/>
              <w:rPr>
                <w:rFonts w:ascii="方正仿宋_GBK" w:hAnsi="方正仿宋_GBK" w:eastAsia="方正仿宋_GBK" w:cs="方正仿宋_GBK"/>
                <w:sz w:val="18"/>
                <w:szCs w:val="18"/>
                <w:lang w:eastAsia="zh-CN"/>
              </w:rPr>
            </w:pPr>
          </w:p>
        </w:tc>
        <w:tc>
          <w:tcPr>
            <w:tcW w:w="883" w:type="pct"/>
            <w:vAlign w:val="center"/>
          </w:tcPr>
          <w:p>
            <w:pPr>
              <w:pStyle w:val="28"/>
              <w:spacing w:before="38" w:line="289" w:lineRule="exact"/>
              <w:ind w:left="116" w:right="79"/>
              <w:rPr>
                <w:rFonts w:ascii="方正仿宋_GBK" w:hAnsi="方正仿宋_GBK" w:eastAsia="方正仿宋_GBK" w:cs="方正仿宋_GBK"/>
                <w:sz w:val="18"/>
                <w:szCs w:val="18"/>
                <w:lang w:eastAsia="zh-CN"/>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146" w:hRule="atLeast"/>
          <w:jc w:val="center"/>
        </w:trPr>
        <w:tc>
          <w:tcPr>
            <w:tcW w:w="902" w:type="pct"/>
            <w:vAlign w:val="center"/>
          </w:tcPr>
          <w:p>
            <w:pPr>
              <w:pStyle w:val="28"/>
              <w:spacing w:before="38" w:line="289" w:lineRule="exact"/>
              <w:ind w:left="116" w:right="79"/>
              <w:rPr>
                <w:rFonts w:ascii="方正仿宋_GBK" w:hAnsi="方正仿宋_GBK" w:eastAsia="方正仿宋_GBK" w:cs="方正仿宋_GBK"/>
                <w:sz w:val="18"/>
                <w:szCs w:val="18"/>
                <w:lang w:eastAsia="zh-CN"/>
              </w:rPr>
            </w:pPr>
          </w:p>
        </w:tc>
        <w:tc>
          <w:tcPr>
            <w:tcW w:w="1148" w:type="pct"/>
            <w:vAlign w:val="center"/>
          </w:tcPr>
          <w:p>
            <w:pPr>
              <w:pStyle w:val="28"/>
              <w:spacing w:before="38" w:line="289" w:lineRule="exact"/>
              <w:ind w:left="116" w:right="79"/>
              <w:rPr>
                <w:rFonts w:ascii="方正仿宋_GBK" w:hAnsi="方正仿宋_GBK" w:eastAsia="方正仿宋_GBK" w:cs="方正仿宋_GBK"/>
                <w:sz w:val="18"/>
                <w:szCs w:val="18"/>
                <w:lang w:eastAsia="zh-CN"/>
              </w:rPr>
            </w:pPr>
          </w:p>
        </w:tc>
        <w:tc>
          <w:tcPr>
            <w:tcW w:w="1099" w:type="pct"/>
            <w:vAlign w:val="center"/>
          </w:tcPr>
          <w:p>
            <w:pPr>
              <w:pStyle w:val="28"/>
              <w:spacing w:before="38" w:line="289" w:lineRule="exact"/>
              <w:ind w:left="116" w:right="79"/>
              <w:rPr>
                <w:rFonts w:ascii="方正仿宋_GBK" w:hAnsi="方正仿宋_GBK" w:eastAsia="方正仿宋_GBK" w:cs="方正仿宋_GBK"/>
                <w:sz w:val="18"/>
                <w:szCs w:val="18"/>
                <w:lang w:eastAsia="zh-CN"/>
              </w:rPr>
            </w:pPr>
          </w:p>
        </w:tc>
        <w:tc>
          <w:tcPr>
            <w:tcW w:w="965" w:type="pct"/>
            <w:vAlign w:val="center"/>
          </w:tcPr>
          <w:p>
            <w:pPr>
              <w:pStyle w:val="28"/>
              <w:spacing w:before="38" w:line="289" w:lineRule="exact"/>
              <w:ind w:left="116" w:right="79"/>
              <w:rPr>
                <w:rFonts w:ascii="方正仿宋_GBK" w:hAnsi="方正仿宋_GBK" w:eastAsia="方正仿宋_GBK" w:cs="方正仿宋_GBK"/>
                <w:sz w:val="18"/>
                <w:szCs w:val="18"/>
                <w:lang w:eastAsia="zh-CN"/>
              </w:rPr>
            </w:pPr>
          </w:p>
        </w:tc>
        <w:tc>
          <w:tcPr>
            <w:tcW w:w="883" w:type="pct"/>
            <w:vAlign w:val="center"/>
          </w:tcPr>
          <w:p>
            <w:pPr>
              <w:pStyle w:val="28"/>
              <w:spacing w:before="38" w:line="289" w:lineRule="exact"/>
              <w:ind w:left="116" w:right="79"/>
              <w:rPr>
                <w:rFonts w:ascii="方正仿宋_GBK" w:hAnsi="方正仿宋_GBK" w:eastAsia="方正仿宋_GBK" w:cs="方正仿宋_GBK"/>
                <w:sz w:val="18"/>
                <w:szCs w:val="18"/>
                <w:lang w:eastAsia="zh-CN"/>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363" w:hRule="atLeast"/>
          <w:jc w:val="center"/>
        </w:trPr>
        <w:tc>
          <w:tcPr>
            <w:tcW w:w="902" w:type="pct"/>
            <w:vAlign w:val="center"/>
          </w:tcPr>
          <w:p>
            <w:pPr>
              <w:pStyle w:val="28"/>
              <w:spacing w:before="38" w:line="289" w:lineRule="exact"/>
              <w:ind w:left="116" w:right="79"/>
              <w:rPr>
                <w:rFonts w:ascii="方正仿宋_GBK" w:hAnsi="方正仿宋_GBK" w:eastAsia="方正仿宋_GBK" w:cs="方正仿宋_GBK"/>
                <w:sz w:val="18"/>
                <w:szCs w:val="18"/>
                <w:lang w:eastAsia="zh-CN"/>
              </w:rPr>
            </w:pPr>
          </w:p>
        </w:tc>
        <w:tc>
          <w:tcPr>
            <w:tcW w:w="1148" w:type="pct"/>
            <w:vAlign w:val="center"/>
          </w:tcPr>
          <w:p>
            <w:pPr>
              <w:pStyle w:val="28"/>
              <w:spacing w:before="38" w:line="289" w:lineRule="exact"/>
              <w:ind w:left="116" w:right="79"/>
              <w:rPr>
                <w:rFonts w:ascii="方正仿宋_GBK" w:hAnsi="方正仿宋_GBK" w:eastAsia="方正仿宋_GBK" w:cs="方正仿宋_GBK"/>
                <w:sz w:val="18"/>
                <w:szCs w:val="18"/>
                <w:lang w:eastAsia="zh-CN"/>
              </w:rPr>
            </w:pPr>
          </w:p>
        </w:tc>
        <w:tc>
          <w:tcPr>
            <w:tcW w:w="1099" w:type="pct"/>
            <w:vAlign w:val="center"/>
          </w:tcPr>
          <w:p>
            <w:pPr>
              <w:pStyle w:val="28"/>
              <w:spacing w:before="38" w:line="289" w:lineRule="exact"/>
              <w:ind w:left="116" w:right="79"/>
              <w:rPr>
                <w:rFonts w:ascii="方正仿宋_GBK" w:hAnsi="方正仿宋_GBK" w:eastAsia="方正仿宋_GBK" w:cs="方正仿宋_GBK"/>
                <w:sz w:val="18"/>
                <w:szCs w:val="18"/>
                <w:lang w:eastAsia="zh-CN"/>
              </w:rPr>
            </w:pPr>
          </w:p>
        </w:tc>
        <w:tc>
          <w:tcPr>
            <w:tcW w:w="965" w:type="pct"/>
            <w:vAlign w:val="center"/>
          </w:tcPr>
          <w:p>
            <w:pPr>
              <w:pStyle w:val="28"/>
              <w:spacing w:before="38" w:line="289" w:lineRule="exact"/>
              <w:ind w:left="116" w:right="79"/>
              <w:rPr>
                <w:rFonts w:ascii="方正仿宋_GBK" w:hAnsi="方正仿宋_GBK" w:eastAsia="方正仿宋_GBK" w:cs="方正仿宋_GBK"/>
                <w:sz w:val="18"/>
                <w:szCs w:val="18"/>
                <w:lang w:eastAsia="zh-CN"/>
              </w:rPr>
            </w:pPr>
          </w:p>
        </w:tc>
        <w:tc>
          <w:tcPr>
            <w:tcW w:w="883" w:type="pct"/>
            <w:vAlign w:val="center"/>
          </w:tcPr>
          <w:p>
            <w:pPr>
              <w:pStyle w:val="28"/>
              <w:spacing w:before="38" w:line="289" w:lineRule="exact"/>
              <w:ind w:left="116" w:right="79"/>
              <w:rPr>
                <w:rFonts w:ascii="方正仿宋_GBK" w:hAnsi="方正仿宋_GBK" w:eastAsia="方正仿宋_GBK" w:cs="方正仿宋_GBK"/>
                <w:sz w:val="18"/>
                <w:szCs w:val="18"/>
                <w:lang w:eastAsia="zh-CN"/>
              </w:rPr>
            </w:pPr>
          </w:p>
        </w:tc>
      </w:tr>
    </w:tbl>
    <w:p>
      <w:pPr>
        <w:pStyle w:val="2"/>
        <w:keepNext w:val="0"/>
        <w:keepLines w:val="0"/>
        <w:pageBreakBefore w:val="0"/>
        <w:widowControl w:val="0"/>
        <w:kinsoku/>
        <w:overflowPunct/>
        <w:topLinePunct w:val="0"/>
        <w:autoSpaceDE/>
        <w:autoSpaceDN/>
        <w:bidi w:val="0"/>
        <w:adjustRightInd w:val="0"/>
        <w:snapToGrid w:val="0"/>
        <w:spacing w:line="586" w:lineRule="exact"/>
        <w:ind w:left="0" w:right="0" w:rightChars="0" w:firstLine="622"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按照医用耗材集中带量采购（含价格联动，下同）的有关要求，为贯彻落实集中带量采购中选结果，甲、乙、丙三方依据相关法律法规，在平等、自愿、诚信的基础上，经协商达成如下协议：</w:t>
      </w:r>
    </w:p>
    <w:p>
      <w:pPr>
        <w:pStyle w:val="30"/>
        <w:keepNext w:val="0"/>
        <w:keepLines w:val="0"/>
        <w:pageBreakBefore w:val="0"/>
        <w:widowControl w:val="0"/>
        <w:tabs>
          <w:tab w:val="left" w:pos="802"/>
        </w:tabs>
        <w:kinsoku/>
        <w:overflowPunct/>
        <w:topLinePunct w:val="0"/>
        <w:autoSpaceDE/>
        <w:autoSpaceDN/>
        <w:bidi w:val="0"/>
        <w:adjustRightInd w:val="0"/>
        <w:snapToGrid w:val="0"/>
        <w:spacing w:line="586" w:lineRule="exact"/>
        <w:ind w:left="0" w:right="0" w:rightChars="0" w:firstLine="622" w:firstLineChars="200"/>
        <w:textAlignment w:val="auto"/>
        <w:rPr>
          <w:rFonts w:hint="eastAsia" w:ascii="黑体" w:hAnsi="黑体" w:eastAsia="黑体" w:cs="黑体"/>
          <w:color w:val="000000" w:themeColor="text1"/>
          <w:sz w:val="32"/>
          <w:szCs w:val="32"/>
          <w:lang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一、</w:t>
      </w:r>
      <w:r>
        <w:rPr>
          <w:rFonts w:hint="eastAsia" w:ascii="黑体" w:hAnsi="黑体" w:eastAsia="黑体" w:cs="黑体"/>
          <w:color w:val="000000" w:themeColor="text1"/>
          <w:sz w:val="32"/>
          <w:szCs w:val="32"/>
          <w:lang w:eastAsia="zh-CN"/>
          <w14:textFill>
            <w14:solidFill>
              <w14:schemeClr w14:val="tx1"/>
            </w14:solidFill>
          </w14:textFill>
        </w:rPr>
        <w:t>定义</w:t>
      </w:r>
    </w:p>
    <w:p>
      <w:pPr>
        <w:pStyle w:val="30"/>
        <w:keepNext w:val="0"/>
        <w:keepLines w:val="0"/>
        <w:pageBreakBefore w:val="0"/>
        <w:widowControl w:val="0"/>
        <w:tabs>
          <w:tab w:val="left" w:pos="802"/>
        </w:tabs>
        <w:kinsoku/>
        <w:overflowPunct/>
        <w:topLinePunct w:val="0"/>
        <w:autoSpaceDE/>
        <w:autoSpaceDN/>
        <w:bidi w:val="0"/>
        <w:adjustRightInd w:val="0"/>
        <w:snapToGrid w:val="0"/>
        <w:spacing w:line="586" w:lineRule="exact"/>
        <w:ind w:left="0" w:right="0" w:rightChars="0" w:firstLine="622"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eastAsia="zh-CN"/>
          <w14:textFill>
            <w14:solidFill>
              <w14:schemeClr w14:val="tx1"/>
            </w14:solidFill>
          </w14:textFill>
        </w:rPr>
        <w:t>（1）甲方：</w:t>
      </w:r>
      <w:r>
        <w:rPr>
          <w:rFonts w:hint="eastAsia" w:ascii="仿宋_GB2312" w:hAnsi="仿宋_GB2312" w:eastAsia="仿宋_GB2312" w:cs="仿宋_GB2312"/>
          <w:color w:val="000000" w:themeColor="text1"/>
          <w:sz w:val="32"/>
          <w:szCs w:val="32"/>
          <w:lang w:eastAsia="zh-CN"/>
          <w14:textFill>
            <w14:solidFill>
              <w14:schemeClr w14:val="tx1"/>
            </w14:solidFill>
          </w14:textFill>
        </w:rPr>
        <w:t>是指自愿参加医用耗材集中带量采购的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各城市的</w:t>
      </w:r>
      <w:r>
        <w:rPr>
          <w:rFonts w:hint="eastAsia" w:ascii="仿宋_GB2312" w:hAnsi="仿宋_GB2312" w:eastAsia="仿宋_GB2312" w:cs="仿宋_GB2312"/>
          <w:color w:val="000000" w:themeColor="text1"/>
          <w:sz w:val="32"/>
          <w:szCs w:val="32"/>
          <w:lang w:eastAsia="zh-CN"/>
          <w14:textFill>
            <w14:solidFill>
              <w14:schemeClr w14:val="tx1"/>
            </w14:solidFill>
          </w14:textFill>
        </w:rPr>
        <w:t>医保定点医疗机构，为本协议采购耗材的实际使用单位和付款单位。</w:t>
      </w:r>
    </w:p>
    <w:p>
      <w:pPr>
        <w:pStyle w:val="30"/>
        <w:keepNext w:val="0"/>
        <w:keepLines w:val="0"/>
        <w:pageBreakBefore w:val="0"/>
        <w:widowControl w:val="0"/>
        <w:tabs>
          <w:tab w:val="left" w:pos="802"/>
        </w:tabs>
        <w:kinsoku/>
        <w:overflowPunct/>
        <w:topLinePunct w:val="0"/>
        <w:autoSpaceDE/>
        <w:autoSpaceDN/>
        <w:bidi w:val="0"/>
        <w:adjustRightInd w:val="0"/>
        <w:snapToGrid w:val="0"/>
        <w:spacing w:line="586" w:lineRule="exact"/>
        <w:ind w:left="0" w:right="0" w:rightChars="0" w:firstLine="622"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eastAsia="zh-CN"/>
          <w14:textFill>
            <w14:solidFill>
              <w14:schemeClr w14:val="tx1"/>
            </w14:solidFill>
          </w14:textFill>
        </w:rPr>
        <w:t>（2）乙方：</w:t>
      </w:r>
      <w:r>
        <w:rPr>
          <w:rFonts w:hint="eastAsia" w:ascii="仿宋_GB2312" w:hAnsi="仿宋_GB2312" w:eastAsia="仿宋_GB2312" w:cs="仿宋_GB2312"/>
          <w:color w:val="000000" w:themeColor="text1"/>
          <w:sz w:val="32"/>
          <w:szCs w:val="32"/>
          <w:lang w:eastAsia="zh-CN"/>
          <w14:textFill>
            <w14:solidFill>
              <w14:schemeClr w14:val="tx1"/>
            </w14:solidFill>
          </w14:textFill>
        </w:rPr>
        <w:t>是指由</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丙</w:t>
      </w:r>
      <w:r>
        <w:rPr>
          <w:rFonts w:hint="eastAsia" w:ascii="仿宋_GB2312" w:hAnsi="仿宋_GB2312" w:eastAsia="仿宋_GB2312" w:cs="仿宋_GB2312"/>
          <w:color w:val="000000" w:themeColor="text1"/>
          <w:sz w:val="32"/>
          <w:szCs w:val="32"/>
          <w:lang w:eastAsia="zh-CN"/>
          <w14:textFill>
            <w14:solidFill>
              <w14:schemeClr w14:val="tx1"/>
            </w14:solidFill>
          </w14:textFill>
        </w:rPr>
        <w:t>方自主选择的耗材经营企业，在本协议中受</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丙</w:t>
      </w:r>
      <w:r>
        <w:rPr>
          <w:rFonts w:hint="eastAsia" w:ascii="仿宋_GB2312" w:hAnsi="仿宋_GB2312" w:eastAsia="仿宋_GB2312" w:cs="仿宋_GB2312"/>
          <w:color w:val="000000" w:themeColor="text1"/>
          <w:sz w:val="32"/>
          <w:szCs w:val="32"/>
          <w:lang w:eastAsia="zh-CN"/>
          <w14:textFill>
            <w14:solidFill>
              <w14:schemeClr w14:val="tx1"/>
            </w14:solidFill>
          </w14:textFill>
        </w:rPr>
        <w:t>方委托，为甲方配送耗材。</w:t>
      </w:r>
    </w:p>
    <w:p>
      <w:pPr>
        <w:pStyle w:val="30"/>
        <w:keepNext w:val="0"/>
        <w:keepLines w:val="0"/>
        <w:pageBreakBefore w:val="0"/>
        <w:widowControl w:val="0"/>
        <w:tabs>
          <w:tab w:val="left" w:pos="802"/>
        </w:tabs>
        <w:kinsoku/>
        <w:overflowPunct/>
        <w:topLinePunct w:val="0"/>
        <w:autoSpaceDE/>
        <w:autoSpaceDN/>
        <w:bidi w:val="0"/>
        <w:adjustRightInd w:val="0"/>
        <w:snapToGrid w:val="0"/>
        <w:spacing w:line="586" w:lineRule="exact"/>
        <w:ind w:left="0" w:right="0" w:rightChars="0" w:firstLine="622"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eastAsia="zh-CN"/>
          <w14:textFill>
            <w14:solidFill>
              <w14:schemeClr w14:val="tx1"/>
            </w14:solidFill>
          </w14:textFill>
        </w:rPr>
        <w:t>（3）丙方</w:t>
      </w:r>
      <w:r>
        <w:rPr>
          <w:rFonts w:hint="eastAsia" w:ascii="仿宋_GB2312" w:hAnsi="仿宋_GB2312" w:eastAsia="仿宋_GB2312" w:cs="仿宋_GB2312"/>
          <w:color w:val="000000" w:themeColor="text1"/>
          <w:sz w:val="32"/>
          <w:szCs w:val="32"/>
          <w:lang w:eastAsia="zh-CN"/>
          <w14:textFill>
            <w14:solidFill>
              <w14:schemeClr w14:val="tx1"/>
            </w14:solidFill>
          </w14:textFill>
        </w:rPr>
        <w:t>：是指医用耗材集中带量采购中选企业，耗材上市许可持有人、进口耗材国内总代理视同生产企业。</w:t>
      </w:r>
    </w:p>
    <w:p>
      <w:pPr>
        <w:pStyle w:val="30"/>
        <w:keepNext w:val="0"/>
        <w:keepLines w:val="0"/>
        <w:pageBreakBefore w:val="0"/>
        <w:widowControl w:val="0"/>
        <w:tabs>
          <w:tab w:val="left" w:pos="802"/>
        </w:tabs>
        <w:kinsoku/>
        <w:overflowPunct/>
        <w:topLinePunct w:val="0"/>
        <w:autoSpaceDE/>
        <w:autoSpaceDN/>
        <w:bidi w:val="0"/>
        <w:adjustRightInd w:val="0"/>
        <w:snapToGrid w:val="0"/>
        <w:spacing w:line="586" w:lineRule="exact"/>
        <w:ind w:left="0" w:right="0" w:rightChars="0" w:firstLine="622"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eastAsia="zh-CN"/>
          <w14:textFill>
            <w14:solidFill>
              <w14:schemeClr w14:val="tx1"/>
            </w14:solidFill>
          </w14:textFill>
        </w:rPr>
        <w:t>（4）三方协议：</w:t>
      </w:r>
      <w:r>
        <w:rPr>
          <w:rFonts w:hint="eastAsia" w:ascii="仿宋_GB2312" w:hAnsi="仿宋_GB2312" w:eastAsia="仿宋_GB2312" w:cs="仿宋_GB2312"/>
          <w:color w:val="000000" w:themeColor="text1"/>
          <w:sz w:val="32"/>
          <w:szCs w:val="32"/>
          <w:lang w:eastAsia="zh-CN"/>
          <w14:textFill>
            <w14:solidFill>
              <w14:schemeClr w14:val="tx1"/>
            </w14:solidFill>
          </w14:textFill>
        </w:rPr>
        <w:t>是指甲、乙、丙三方按照集中带量采购中选产品购销三方协议格式签署的协议及其他相关文件。</w:t>
      </w:r>
    </w:p>
    <w:p>
      <w:pPr>
        <w:pStyle w:val="30"/>
        <w:keepNext w:val="0"/>
        <w:keepLines w:val="0"/>
        <w:pageBreakBefore w:val="0"/>
        <w:widowControl w:val="0"/>
        <w:tabs>
          <w:tab w:val="left" w:pos="802"/>
        </w:tabs>
        <w:kinsoku/>
        <w:overflowPunct/>
        <w:topLinePunct w:val="0"/>
        <w:autoSpaceDE/>
        <w:autoSpaceDN/>
        <w:bidi w:val="0"/>
        <w:adjustRightInd w:val="0"/>
        <w:snapToGrid w:val="0"/>
        <w:spacing w:line="586" w:lineRule="exact"/>
        <w:ind w:left="0" w:right="0" w:rightChars="0" w:firstLine="622" w:firstLineChars="200"/>
        <w:textAlignment w:val="auto"/>
        <w:rPr>
          <w:color w:val="000000" w:themeColor="text1"/>
          <w:sz w:val="32"/>
          <w:szCs w:val="32"/>
          <w:lang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eastAsia="zh-CN"/>
          <w14:textFill>
            <w14:solidFill>
              <w14:schemeClr w14:val="tx1"/>
            </w14:solidFill>
          </w14:textFill>
        </w:rPr>
        <w:t>（5）中选产品：</w:t>
      </w:r>
      <w:r>
        <w:rPr>
          <w:rFonts w:hint="eastAsia" w:ascii="仿宋_GB2312" w:hAnsi="仿宋_GB2312" w:eastAsia="仿宋_GB2312" w:cs="仿宋_GB2312"/>
          <w:color w:val="000000" w:themeColor="text1"/>
          <w:sz w:val="32"/>
          <w:szCs w:val="32"/>
          <w:lang w:eastAsia="zh-CN"/>
          <w14:textFill>
            <w14:solidFill>
              <w14:schemeClr w14:val="tx1"/>
            </w14:solidFill>
          </w14:textFill>
        </w:rPr>
        <w:t>是指按照医用耗材集中带量采购规则确定的中选产品。</w:t>
      </w:r>
    </w:p>
    <w:p>
      <w:pPr>
        <w:pStyle w:val="1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560" w:lineRule="exact"/>
        <w:ind w:firstLine="622" w:firstLineChars="200"/>
        <w:jc w:val="both"/>
        <w:rPr>
          <w:color w:val="000000" w:themeColor="text1"/>
          <w:sz w:val="32"/>
          <w:szCs w:val="32"/>
          <w:lang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eastAsia="zh-CN"/>
          <w14:textFill>
            <w14:solidFill>
              <w14:schemeClr w14:val="tx1"/>
            </w14:solidFill>
          </w14:textFill>
        </w:rPr>
        <w:t>（6）</w:t>
      </w:r>
      <w:r>
        <w:rPr>
          <w:rFonts w:hint="eastAsia" w:ascii="楷体_GB2312" w:hAnsi="楷体_GB2312" w:eastAsia="楷体_GB2312" w:cs="楷体_GB2312"/>
          <w:b/>
          <w:bCs/>
          <w:snapToGrid w:val="0"/>
          <w:color w:val="000000" w:themeColor="text1"/>
          <w:kern w:val="2"/>
          <w:sz w:val="32"/>
          <w:szCs w:val="32"/>
          <w:lang w:val="en-US" w:eastAsia="zh-CN" w:bidi="ar-SA"/>
          <w14:textFill>
            <w14:solidFill>
              <w14:schemeClr w14:val="tx1"/>
            </w14:solidFill>
          </w14:textFill>
        </w:rPr>
        <w:t>中选价格：</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是指按照医用耗材集中带量采购规则确定的中选产品价格。</w:t>
      </w:r>
      <w:r>
        <w:rPr>
          <w:rFonts w:hint="eastAsia" w:ascii="仿宋_GB2312" w:hAnsi="仿宋_GB2312" w:eastAsia="仿宋_GB2312" w:cs="仿宋_GB2312"/>
          <w:snapToGrid w:val="0"/>
          <w:color w:val="000000" w:themeColor="text1"/>
          <w:kern w:val="2"/>
          <w:sz w:val="32"/>
          <w:szCs w:val="32"/>
          <w:lang w:val="en-US" w:eastAsia="zh-CN" w:bidi="ar-SA"/>
          <w14:textFill>
            <w14:solidFill>
              <w14:schemeClr w14:val="tx1"/>
            </w14:solidFill>
          </w14:textFill>
        </w:rPr>
        <w:t>乙方应以丙方中选的规格以及价格向甲方配送中选产品；配送费用及支付方式由乙、丙双方另行商定；在本协议履行期间，若由于出现需要调低终端产品零售价格的情况导致丙方必须调低其中选产品终端零售价格的，丙方应按照相关要求进行调整。</w:t>
      </w:r>
      <w:r>
        <w:rPr>
          <w:rFonts w:hint="eastAsia" w:ascii="仿宋_GB2312" w:hAnsi="仿宋_GB2312" w:eastAsia="仿宋_GB2312" w:cs="仿宋_GB2312"/>
          <w:snapToGrid w:val="0"/>
          <w:color w:val="000000" w:themeColor="text1"/>
          <w:kern w:val="2"/>
          <w:sz w:val="32"/>
          <w:szCs w:val="32"/>
          <w:lang w:val="zh-TW" w:eastAsia="zh-TW" w:bidi="ar-SA"/>
          <w14:textFill>
            <w14:solidFill>
              <w14:schemeClr w14:val="tx1"/>
            </w14:solidFill>
          </w14:textFill>
        </w:rPr>
        <w:t>原则上</w:t>
      </w:r>
      <w:r>
        <w:rPr>
          <w:rFonts w:hint="eastAsia" w:ascii="仿宋_GB2312" w:hAnsi="仿宋_GB2312" w:eastAsia="仿宋_GB2312" w:cs="仿宋_GB2312"/>
          <w:snapToGrid w:val="0"/>
          <w:color w:val="000000" w:themeColor="text1"/>
          <w:kern w:val="2"/>
          <w:sz w:val="32"/>
          <w:szCs w:val="32"/>
          <w:lang w:val="zh-TW" w:eastAsia="zh-CN" w:bidi="ar-SA"/>
          <w14:textFill>
            <w14:solidFill>
              <w14:schemeClr w14:val="tx1"/>
            </w14:solidFill>
          </w14:textFill>
        </w:rPr>
        <w:t>协议</w:t>
      </w:r>
      <w:r>
        <w:rPr>
          <w:rFonts w:hint="eastAsia" w:ascii="仿宋_GB2312" w:hAnsi="仿宋_GB2312" w:eastAsia="仿宋_GB2312" w:cs="仿宋_GB2312"/>
          <w:snapToGrid w:val="0"/>
          <w:color w:val="000000" w:themeColor="text1"/>
          <w:kern w:val="2"/>
          <w:sz w:val="32"/>
          <w:szCs w:val="32"/>
          <w:lang w:val="zh-TW" w:eastAsia="zh-TW" w:bidi="ar-SA"/>
          <w14:textFill>
            <w14:solidFill>
              <w14:schemeClr w14:val="tx1"/>
            </w14:solidFill>
          </w14:textFill>
        </w:rPr>
        <w:t>采购数量不受此价格变化影响。</w:t>
      </w:r>
    </w:p>
    <w:p>
      <w:pPr>
        <w:pStyle w:val="30"/>
        <w:keepNext w:val="0"/>
        <w:keepLines w:val="0"/>
        <w:pageBreakBefore w:val="0"/>
        <w:widowControl w:val="0"/>
        <w:tabs>
          <w:tab w:val="left" w:pos="802"/>
        </w:tabs>
        <w:kinsoku/>
        <w:wordWrap w:val="0"/>
        <w:overflowPunct/>
        <w:topLinePunct w:val="0"/>
        <w:autoSpaceDE/>
        <w:autoSpaceDN/>
        <w:bidi w:val="0"/>
        <w:adjustRightInd w:val="0"/>
        <w:snapToGrid w:val="0"/>
        <w:spacing w:line="586" w:lineRule="exact"/>
        <w:ind w:left="0" w:right="0" w:rightChars="0" w:firstLine="622"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eastAsia="zh-CN"/>
          <w14:textFill>
            <w14:solidFill>
              <w14:schemeClr w14:val="tx1"/>
            </w14:solidFill>
          </w14:textFill>
        </w:rPr>
        <w:t>（7）</w:t>
      </w:r>
      <w:r>
        <w:rPr>
          <w:rFonts w:hint="eastAsia" w:ascii="楷体_GB2312" w:hAnsi="楷体_GB2312" w:eastAsia="楷体_GB2312" w:cs="楷体_GB2312"/>
          <w:b/>
          <w:bCs/>
          <w:snapToGrid w:val="0"/>
          <w:color w:val="000000" w:themeColor="text1"/>
          <w:kern w:val="2"/>
          <w:sz w:val="32"/>
          <w:szCs w:val="32"/>
          <w:lang w:val="en-US" w:eastAsia="zh-CN" w:bidi="ar-SA"/>
          <w14:textFill>
            <w14:solidFill>
              <w14:schemeClr w14:val="tx1"/>
            </w14:solidFill>
          </w14:textFill>
        </w:rPr>
        <w:t>采购平台：</w:t>
      </w:r>
      <w:r>
        <w:rPr>
          <w:rFonts w:hint="eastAsia" w:ascii="仿宋_GB2312" w:hAnsi="仿宋_GB2312" w:eastAsia="仿宋_GB2312" w:cs="仿宋_GB2312"/>
          <w:color w:val="000000" w:themeColor="text1"/>
          <w:sz w:val="32"/>
          <w:szCs w:val="32"/>
          <w:lang w:eastAsia="zh-CN"/>
          <w14:textFill>
            <w14:solidFill>
              <w14:schemeClr w14:val="tx1"/>
            </w14:solidFill>
          </w14:textFill>
        </w:rPr>
        <w:t>是指</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三明采购联盟（全国）平台（专区）或各省（城市）使用的采购平台</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pStyle w:val="30"/>
        <w:keepNext w:val="0"/>
        <w:keepLines w:val="0"/>
        <w:pageBreakBefore w:val="0"/>
        <w:widowControl w:val="0"/>
        <w:tabs>
          <w:tab w:val="left" w:pos="802"/>
        </w:tabs>
        <w:kinsoku/>
        <w:overflowPunct/>
        <w:topLinePunct w:val="0"/>
        <w:autoSpaceDE/>
        <w:autoSpaceDN/>
        <w:bidi w:val="0"/>
        <w:adjustRightInd w:val="0"/>
        <w:snapToGrid w:val="0"/>
        <w:spacing w:line="586" w:lineRule="exact"/>
        <w:ind w:left="0" w:right="0" w:rightChars="0" w:firstLine="622" w:firstLineChars="200"/>
        <w:textAlignment w:val="auto"/>
        <w:rPr>
          <w:rFonts w:hint="eastAsia" w:ascii="黑体" w:hAnsi="黑体" w:eastAsia="黑体" w:cs="黑体"/>
          <w:color w:val="000000" w:themeColor="text1"/>
          <w:sz w:val="32"/>
          <w:szCs w:val="32"/>
          <w:lang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二、</w:t>
      </w:r>
      <w:r>
        <w:rPr>
          <w:rFonts w:hint="eastAsia" w:ascii="黑体" w:hAnsi="黑体" w:eastAsia="黑体" w:cs="黑体"/>
          <w:color w:val="000000" w:themeColor="text1"/>
          <w:sz w:val="32"/>
          <w:szCs w:val="32"/>
          <w:lang w:eastAsia="zh-CN"/>
          <w14:textFill>
            <w14:solidFill>
              <w14:schemeClr w14:val="tx1"/>
            </w14:solidFill>
          </w14:textFill>
        </w:rPr>
        <w:t>采购周期</w:t>
      </w:r>
    </w:p>
    <w:p>
      <w:pPr>
        <w:pStyle w:val="30"/>
        <w:keepNext w:val="0"/>
        <w:keepLines w:val="0"/>
        <w:pageBreakBefore w:val="0"/>
        <w:widowControl w:val="0"/>
        <w:tabs>
          <w:tab w:val="left" w:pos="802"/>
        </w:tabs>
        <w:kinsoku/>
        <w:overflowPunct/>
        <w:topLinePunct w:val="0"/>
        <w:autoSpaceDE/>
        <w:autoSpaceDN/>
        <w:bidi w:val="0"/>
        <w:adjustRightInd w:val="0"/>
        <w:snapToGrid w:val="0"/>
        <w:spacing w:line="586" w:lineRule="exact"/>
        <w:ind w:left="0" w:right="0" w:rightChars="0" w:firstLine="622"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按照医用耗材集中带量采购相关要求执行采购周期。</w:t>
      </w:r>
    </w:p>
    <w:p>
      <w:pPr>
        <w:pStyle w:val="30"/>
        <w:keepNext w:val="0"/>
        <w:keepLines w:val="0"/>
        <w:pageBreakBefore w:val="0"/>
        <w:widowControl w:val="0"/>
        <w:tabs>
          <w:tab w:val="left" w:pos="802"/>
        </w:tabs>
        <w:kinsoku/>
        <w:overflowPunct/>
        <w:topLinePunct w:val="0"/>
        <w:autoSpaceDE/>
        <w:autoSpaceDN/>
        <w:bidi w:val="0"/>
        <w:adjustRightInd w:val="0"/>
        <w:snapToGrid w:val="0"/>
        <w:spacing w:line="586" w:lineRule="exact"/>
        <w:ind w:left="0" w:right="0" w:rightChars="0" w:firstLine="622"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采购周期内医疗机构完成当年协议采购量，超出协议采购量的部分，中选企业仍需按中选价格进行供应，直至采购周期届满。本协议提前解除或终止不影响采购周期内已发生业务往来的执行。</w:t>
      </w:r>
    </w:p>
    <w:p>
      <w:pPr>
        <w:pStyle w:val="30"/>
        <w:keepNext w:val="0"/>
        <w:keepLines w:val="0"/>
        <w:pageBreakBefore w:val="0"/>
        <w:widowControl w:val="0"/>
        <w:tabs>
          <w:tab w:val="left" w:pos="802"/>
        </w:tabs>
        <w:kinsoku/>
        <w:overflowPunct/>
        <w:topLinePunct w:val="0"/>
        <w:autoSpaceDE/>
        <w:autoSpaceDN/>
        <w:bidi w:val="0"/>
        <w:adjustRightInd w:val="0"/>
        <w:snapToGrid w:val="0"/>
        <w:spacing w:line="586" w:lineRule="exact"/>
        <w:ind w:left="0" w:right="0" w:rightChars="0" w:firstLine="622" w:firstLineChars="200"/>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三、规格包装</w:t>
      </w:r>
    </w:p>
    <w:p>
      <w:pPr>
        <w:pStyle w:val="30"/>
        <w:keepNext w:val="0"/>
        <w:keepLines w:val="0"/>
        <w:pageBreakBefore w:val="0"/>
        <w:widowControl w:val="0"/>
        <w:tabs>
          <w:tab w:val="left" w:pos="802"/>
        </w:tabs>
        <w:kinsoku/>
        <w:overflowPunct/>
        <w:topLinePunct w:val="0"/>
        <w:autoSpaceDE/>
        <w:autoSpaceDN/>
        <w:bidi w:val="0"/>
        <w:adjustRightInd w:val="0"/>
        <w:snapToGrid w:val="0"/>
        <w:spacing w:line="586" w:lineRule="exact"/>
        <w:ind w:left="0" w:right="0" w:rightChars="0" w:firstLine="622"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乙方、丙方交付中选耗材的规格包装应与协议签订的规格包装相一致，并符合集中带量采购中选供应品种清单要求。</w:t>
      </w:r>
      <w:r>
        <w:rPr>
          <w:rFonts w:hint="eastAsia" w:ascii="仿宋_GB2312" w:hAnsi="仿宋_GB2312" w:eastAsia="仿宋_GB2312" w:cs="仿宋_GB2312"/>
          <w:color w:val="000000" w:themeColor="text1"/>
          <w:sz w:val="32"/>
          <w:szCs w:val="32"/>
          <w:lang w:eastAsia="zh-CN"/>
          <w14:textFill>
            <w14:solidFill>
              <w14:schemeClr w14:val="tx1"/>
            </w14:solidFill>
          </w14:textFill>
        </w:rPr>
        <w:tab/>
      </w:r>
    </w:p>
    <w:p>
      <w:pPr>
        <w:pStyle w:val="30"/>
        <w:keepNext w:val="0"/>
        <w:keepLines w:val="0"/>
        <w:pageBreakBefore w:val="0"/>
        <w:widowControl w:val="0"/>
        <w:tabs>
          <w:tab w:val="left" w:pos="802"/>
        </w:tabs>
        <w:kinsoku/>
        <w:overflowPunct/>
        <w:topLinePunct w:val="0"/>
        <w:autoSpaceDE/>
        <w:autoSpaceDN/>
        <w:bidi w:val="0"/>
        <w:adjustRightInd w:val="0"/>
        <w:snapToGrid w:val="0"/>
        <w:spacing w:line="586" w:lineRule="exact"/>
        <w:ind w:left="0" w:right="0" w:rightChars="0" w:firstLine="622" w:firstLineChars="200"/>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四、有效期</w:t>
      </w:r>
    </w:p>
    <w:p>
      <w:pPr>
        <w:pStyle w:val="30"/>
        <w:keepNext w:val="0"/>
        <w:keepLines w:val="0"/>
        <w:pageBreakBefore w:val="0"/>
        <w:widowControl w:val="0"/>
        <w:tabs>
          <w:tab w:val="left" w:pos="802"/>
        </w:tabs>
        <w:kinsoku/>
        <w:overflowPunct/>
        <w:topLinePunct w:val="0"/>
        <w:autoSpaceDE/>
        <w:autoSpaceDN/>
        <w:bidi w:val="0"/>
        <w:adjustRightInd w:val="0"/>
        <w:snapToGrid w:val="0"/>
        <w:spacing w:line="586" w:lineRule="exact"/>
        <w:ind w:left="0" w:right="0" w:rightChars="0" w:firstLine="622"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除非甲方对有效期另有规定，甲方收到耗材的时间距离耗材的有效期截止日原则上不得少于6个月。</w:t>
      </w:r>
    </w:p>
    <w:p>
      <w:pPr>
        <w:pStyle w:val="30"/>
        <w:keepNext w:val="0"/>
        <w:keepLines w:val="0"/>
        <w:pageBreakBefore w:val="0"/>
        <w:widowControl w:val="0"/>
        <w:tabs>
          <w:tab w:val="left" w:pos="802"/>
        </w:tabs>
        <w:kinsoku/>
        <w:overflowPunct/>
        <w:topLinePunct w:val="0"/>
        <w:autoSpaceDE/>
        <w:autoSpaceDN/>
        <w:bidi w:val="0"/>
        <w:adjustRightInd w:val="0"/>
        <w:snapToGrid w:val="0"/>
        <w:spacing w:line="586" w:lineRule="exact"/>
        <w:ind w:left="0" w:right="0" w:rightChars="0" w:firstLine="622" w:firstLineChars="200"/>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五、专利权</w:t>
      </w:r>
    </w:p>
    <w:p>
      <w:pPr>
        <w:pStyle w:val="30"/>
        <w:keepNext w:val="0"/>
        <w:keepLines w:val="0"/>
        <w:pageBreakBefore w:val="0"/>
        <w:widowControl w:val="0"/>
        <w:tabs>
          <w:tab w:val="left" w:pos="802"/>
        </w:tabs>
        <w:kinsoku/>
        <w:overflowPunct/>
        <w:topLinePunct w:val="0"/>
        <w:autoSpaceDE/>
        <w:autoSpaceDN/>
        <w:bidi w:val="0"/>
        <w:adjustRightInd w:val="0"/>
        <w:snapToGrid w:val="0"/>
        <w:spacing w:line="586" w:lineRule="exact"/>
        <w:ind w:left="0" w:right="0" w:rightChars="0" w:firstLine="622"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丙</w:t>
      </w:r>
      <w:r>
        <w:rPr>
          <w:rFonts w:hint="eastAsia" w:ascii="仿宋_GB2312" w:hAnsi="仿宋_GB2312" w:eastAsia="仿宋_GB2312" w:cs="仿宋_GB2312"/>
          <w:color w:val="000000" w:themeColor="text1"/>
          <w:sz w:val="32"/>
          <w:szCs w:val="32"/>
          <w:lang w:eastAsia="zh-CN"/>
          <w14:textFill>
            <w14:solidFill>
              <w14:schemeClr w14:val="tx1"/>
            </w14:solidFill>
          </w14:textFill>
        </w:rPr>
        <w:t>方应保证甲方在使用中选产品时，不会损害任何第三方的权益，也不会受到任何第三方提出的侵犯其专利权、商标权或保护期的起诉，否则应由</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丙</w:t>
      </w:r>
      <w:r>
        <w:rPr>
          <w:rFonts w:hint="eastAsia" w:ascii="仿宋_GB2312" w:hAnsi="仿宋_GB2312" w:eastAsia="仿宋_GB2312" w:cs="仿宋_GB2312"/>
          <w:color w:val="000000" w:themeColor="text1"/>
          <w:sz w:val="32"/>
          <w:szCs w:val="32"/>
          <w:lang w:eastAsia="zh-CN"/>
          <w14:textFill>
            <w14:solidFill>
              <w14:schemeClr w14:val="tx1"/>
            </w14:solidFill>
          </w14:textFill>
        </w:rPr>
        <w:t>方自行承担因此而产生的一切后果。若甲方因此被索赔或被追究任何法律责任，均应由</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丙</w:t>
      </w:r>
      <w:r>
        <w:rPr>
          <w:rFonts w:hint="eastAsia" w:ascii="仿宋_GB2312" w:hAnsi="仿宋_GB2312" w:eastAsia="仿宋_GB2312" w:cs="仿宋_GB2312"/>
          <w:color w:val="000000" w:themeColor="text1"/>
          <w:sz w:val="32"/>
          <w:szCs w:val="32"/>
          <w:lang w:eastAsia="zh-CN"/>
          <w14:textFill>
            <w14:solidFill>
              <w14:schemeClr w14:val="tx1"/>
            </w14:solidFill>
          </w14:textFill>
        </w:rPr>
        <w:t>方承担最终责任并赔偿甲方产生的相关损失。</w:t>
      </w:r>
    </w:p>
    <w:p>
      <w:pPr>
        <w:pStyle w:val="30"/>
        <w:keepNext w:val="0"/>
        <w:keepLines w:val="0"/>
        <w:pageBreakBefore w:val="0"/>
        <w:widowControl w:val="0"/>
        <w:tabs>
          <w:tab w:val="left" w:pos="802"/>
        </w:tabs>
        <w:kinsoku/>
        <w:overflowPunct/>
        <w:topLinePunct w:val="0"/>
        <w:autoSpaceDE/>
        <w:autoSpaceDN/>
        <w:bidi w:val="0"/>
        <w:adjustRightInd w:val="0"/>
        <w:snapToGrid w:val="0"/>
        <w:spacing w:line="586" w:lineRule="exact"/>
        <w:ind w:left="0" w:right="0" w:rightChars="0" w:firstLine="622" w:firstLineChars="200"/>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六、乙方、丙方的承诺与保证</w:t>
      </w:r>
    </w:p>
    <w:p>
      <w:pPr>
        <w:pStyle w:val="30"/>
        <w:keepNext w:val="0"/>
        <w:keepLines w:val="0"/>
        <w:pageBreakBefore w:val="0"/>
        <w:widowControl w:val="0"/>
        <w:tabs>
          <w:tab w:val="left" w:pos="802"/>
        </w:tabs>
        <w:kinsoku/>
        <w:overflowPunct/>
        <w:topLinePunct w:val="0"/>
        <w:autoSpaceDE/>
        <w:autoSpaceDN/>
        <w:bidi w:val="0"/>
        <w:adjustRightInd w:val="0"/>
        <w:snapToGrid w:val="0"/>
        <w:spacing w:line="586" w:lineRule="exact"/>
        <w:ind w:left="0" w:right="0" w:rightChars="0" w:firstLine="622"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eastAsia="zh-CN"/>
          <w14:textFill>
            <w14:solidFill>
              <w14:schemeClr w14:val="tx1"/>
            </w14:solidFill>
          </w14:textFill>
        </w:rPr>
        <w:t>（1）</w:t>
      </w:r>
      <w:r>
        <w:rPr>
          <w:rFonts w:hint="eastAsia" w:ascii="仿宋_GB2312" w:hAnsi="仿宋_GB2312" w:eastAsia="仿宋_GB2312" w:cs="仿宋_GB2312"/>
          <w:color w:val="000000" w:themeColor="text1"/>
          <w:sz w:val="32"/>
          <w:szCs w:val="32"/>
          <w:lang w:eastAsia="zh-CN"/>
          <w14:textFill>
            <w14:solidFill>
              <w14:schemeClr w14:val="tx1"/>
            </w14:solidFill>
          </w14:textFill>
        </w:rPr>
        <w:t>响应、满足医用耗材带量采购落地实施文件的相关要求。</w:t>
      </w:r>
    </w:p>
    <w:p>
      <w:pPr>
        <w:pStyle w:val="30"/>
        <w:keepNext w:val="0"/>
        <w:keepLines w:val="0"/>
        <w:pageBreakBefore w:val="0"/>
        <w:widowControl w:val="0"/>
        <w:tabs>
          <w:tab w:val="left" w:pos="802"/>
        </w:tabs>
        <w:kinsoku/>
        <w:overflowPunct/>
        <w:topLinePunct w:val="0"/>
        <w:autoSpaceDE/>
        <w:autoSpaceDN/>
        <w:bidi w:val="0"/>
        <w:adjustRightInd w:val="0"/>
        <w:snapToGrid w:val="0"/>
        <w:spacing w:line="586" w:lineRule="exact"/>
        <w:ind w:left="0" w:right="0" w:rightChars="0" w:firstLine="622"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eastAsia="zh-CN"/>
          <w14:textFill>
            <w14:solidFill>
              <w14:schemeClr w14:val="tx1"/>
            </w14:solidFill>
          </w14:textFill>
        </w:rPr>
        <w:t>（2）</w:t>
      </w:r>
      <w:r>
        <w:rPr>
          <w:rFonts w:hint="eastAsia" w:ascii="仿宋_GB2312" w:hAnsi="仿宋_GB2312" w:eastAsia="仿宋_GB2312" w:cs="仿宋_GB2312"/>
          <w:color w:val="000000" w:themeColor="text1"/>
          <w:sz w:val="32"/>
          <w:szCs w:val="32"/>
          <w:lang w:eastAsia="zh-CN"/>
          <w14:textFill>
            <w14:solidFill>
              <w14:schemeClr w14:val="tx1"/>
            </w14:solidFill>
          </w14:textFill>
        </w:rPr>
        <w:t>除非甲方事先书面同意，乙方、丙方中任何一方均不得部分转让或全部转让其应履行的协议义务。</w:t>
      </w:r>
    </w:p>
    <w:p>
      <w:pPr>
        <w:pStyle w:val="30"/>
        <w:keepNext w:val="0"/>
        <w:keepLines w:val="0"/>
        <w:pageBreakBefore w:val="0"/>
        <w:widowControl w:val="0"/>
        <w:tabs>
          <w:tab w:val="left" w:pos="802"/>
        </w:tabs>
        <w:kinsoku/>
        <w:overflowPunct/>
        <w:topLinePunct w:val="0"/>
        <w:autoSpaceDE/>
        <w:autoSpaceDN/>
        <w:bidi w:val="0"/>
        <w:adjustRightInd w:val="0"/>
        <w:snapToGrid w:val="0"/>
        <w:spacing w:line="586" w:lineRule="exact"/>
        <w:ind w:left="0" w:right="0" w:rightChars="0" w:firstLine="622" w:firstLineChars="200"/>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七、订购</w:t>
      </w:r>
    </w:p>
    <w:p>
      <w:pPr>
        <w:pStyle w:val="30"/>
        <w:keepNext w:val="0"/>
        <w:keepLines w:val="0"/>
        <w:pageBreakBefore w:val="0"/>
        <w:widowControl w:val="0"/>
        <w:tabs>
          <w:tab w:val="left" w:pos="802"/>
        </w:tabs>
        <w:kinsoku/>
        <w:overflowPunct/>
        <w:topLinePunct w:val="0"/>
        <w:autoSpaceDE/>
        <w:autoSpaceDN/>
        <w:bidi w:val="0"/>
        <w:adjustRightInd w:val="0"/>
        <w:snapToGrid w:val="0"/>
        <w:spacing w:line="586" w:lineRule="exact"/>
        <w:ind w:left="0" w:right="0" w:rightChars="0" w:firstLine="622"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甲方对中选产品全部实行网上采购，不得通过其他形式采购。</w:t>
      </w:r>
    </w:p>
    <w:p>
      <w:pPr>
        <w:pStyle w:val="30"/>
        <w:keepNext w:val="0"/>
        <w:keepLines w:val="0"/>
        <w:pageBreakBefore w:val="0"/>
        <w:widowControl w:val="0"/>
        <w:tabs>
          <w:tab w:val="left" w:pos="802"/>
        </w:tabs>
        <w:kinsoku/>
        <w:overflowPunct/>
        <w:topLinePunct w:val="0"/>
        <w:autoSpaceDE/>
        <w:autoSpaceDN/>
        <w:bidi w:val="0"/>
        <w:adjustRightInd w:val="0"/>
        <w:snapToGrid w:val="0"/>
        <w:spacing w:line="586" w:lineRule="exact"/>
        <w:ind w:left="0" w:right="0" w:rightChars="0" w:firstLine="622"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甲方在乙方、丙方均无违约行为的前提下，必须足量采购本协议项下的中选产品，确保在1个完整的采购周期内完成协议采购量，同时应满足医用耗材集中带量采购的相关要求。</w:t>
      </w:r>
    </w:p>
    <w:p>
      <w:pPr>
        <w:pStyle w:val="30"/>
        <w:keepNext w:val="0"/>
        <w:keepLines w:val="0"/>
        <w:pageBreakBefore w:val="0"/>
        <w:widowControl w:val="0"/>
        <w:tabs>
          <w:tab w:val="left" w:pos="802"/>
        </w:tabs>
        <w:kinsoku/>
        <w:overflowPunct/>
        <w:topLinePunct w:val="0"/>
        <w:autoSpaceDE/>
        <w:autoSpaceDN/>
        <w:bidi w:val="0"/>
        <w:adjustRightInd w:val="0"/>
        <w:snapToGrid w:val="0"/>
        <w:spacing w:line="586" w:lineRule="exact"/>
        <w:ind w:left="0" w:right="0" w:rightChars="0" w:firstLine="622" w:firstLineChars="200"/>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八、配送</w:t>
      </w:r>
    </w:p>
    <w:p>
      <w:pPr>
        <w:pStyle w:val="30"/>
        <w:keepNext w:val="0"/>
        <w:keepLines w:val="0"/>
        <w:pageBreakBefore w:val="0"/>
        <w:widowControl w:val="0"/>
        <w:numPr>
          <w:ilvl w:val="0"/>
          <w:numId w:val="1"/>
        </w:numPr>
        <w:tabs>
          <w:tab w:val="left" w:pos="802"/>
        </w:tabs>
        <w:kinsoku/>
        <w:overflowPunct/>
        <w:topLinePunct w:val="0"/>
        <w:autoSpaceDE/>
        <w:autoSpaceDN/>
        <w:bidi w:val="0"/>
        <w:adjustRightInd w:val="0"/>
        <w:snapToGrid w:val="0"/>
        <w:spacing w:line="586" w:lineRule="exact"/>
        <w:ind w:left="0" w:right="0" w:rightChars="0" w:firstLine="622"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乙方、丙方保证中选产品包装符合国家各级药品监督管理机构颁布的法规规章及货物运输要求。</w:t>
      </w:r>
    </w:p>
    <w:p>
      <w:pPr>
        <w:pStyle w:val="30"/>
        <w:keepNext w:val="0"/>
        <w:keepLines w:val="0"/>
        <w:pageBreakBefore w:val="0"/>
        <w:widowControl w:val="0"/>
        <w:numPr>
          <w:ilvl w:val="0"/>
          <w:numId w:val="1"/>
        </w:numPr>
        <w:tabs>
          <w:tab w:val="left" w:pos="802"/>
        </w:tabs>
        <w:kinsoku/>
        <w:overflowPunct/>
        <w:topLinePunct w:val="0"/>
        <w:autoSpaceDE/>
        <w:autoSpaceDN/>
        <w:bidi w:val="0"/>
        <w:adjustRightInd w:val="0"/>
        <w:snapToGrid w:val="0"/>
        <w:spacing w:line="586" w:lineRule="exact"/>
        <w:ind w:left="0" w:right="0" w:rightChars="0" w:firstLine="622"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乙</w:t>
      </w:r>
      <w:r>
        <w:rPr>
          <w:rFonts w:hint="eastAsia" w:ascii="仿宋_GB2312" w:hAnsi="仿宋_GB2312" w:eastAsia="仿宋_GB2312" w:cs="仿宋_GB2312"/>
          <w:color w:val="000000" w:themeColor="text1"/>
          <w:sz w:val="32"/>
          <w:szCs w:val="32"/>
          <w:lang w:eastAsia="zh-CN"/>
          <w14:textFill>
            <w14:solidFill>
              <w14:schemeClr w14:val="tx1"/>
            </w14:solidFill>
          </w14:textFill>
        </w:rPr>
        <w:t>方保证以符合相关规范及中选产品特性的物流配送方式进行运输，并保证就运输过程中发生的货品灭失及因包装或运输不善等原因导致货品损坏或变质等承担全部责任，并应对给甲方造成的损失承担赔偿责任。</w:t>
      </w:r>
    </w:p>
    <w:p>
      <w:pPr>
        <w:pStyle w:val="30"/>
        <w:keepNext w:val="0"/>
        <w:keepLines w:val="0"/>
        <w:pageBreakBefore w:val="0"/>
        <w:widowControl w:val="0"/>
        <w:numPr>
          <w:ilvl w:val="0"/>
          <w:numId w:val="1"/>
        </w:numPr>
        <w:tabs>
          <w:tab w:val="left" w:pos="802"/>
        </w:tabs>
        <w:kinsoku/>
        <w:overflowPunct/>
        <w:topLinePunct w:val="0"/>
        <w:autoSpaceDE/>
        <w:autoSpaceDN/>
        <w:bidi w:val="0"/>
        <w:adjustRightInd w:val="0"/>
        <w:snapToGrid w:val="0"/>
        <w:spacing w:line="586" w:lineRule="exact"/>
        <w:ind w:left="0" w:right="0" w:rightChars="0" w:firstLine="622"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乙</w:t>
      </w:r>
      <w:r>
        <w:rPr>
          <w:rFonts w:hint="eastAsia" w:ascii="仿宋_GB2312" w:hAnsi="仿宋_GB2312" w:eastAsia="仿宋_GB2312" w:cs="仿宋_GB2312"/>
          <w:color w:val="000000" w:themeColor="text1"/>
          <w:sz w:val="32"/>
          <w:szCs w:val="32"/>
          <w:lang w:eastAsia="zh-CN"/>
          <w14:textFill>
            <w14:solidFill>
              <w14:schemeClr w14:val="tx1"/>
            </w14:solidFill>
          </w14:textFill>
        </w:rPr>
        <w:t>方负责对甲方所需的货品进行配送。甲方发送的订单，</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乙方应按照当地医保局所规定的时限回复及配送。</w:t>
      </w:r>
    </w:p>
    <w:p>
      <w:pPr>
        <w:pStyle w:val="30"/>
        <w:keepNext w:val="0"/>
        <w:keepLines w:val="0"/>
        <w:pageBreakBefore w:val="0"/>
        <w:widowControl w:val="0"/>
        <w:numPr>
          <w:ilvl w:val="0"/>
          <w:numId w:val="1"/>
        </w:numPr>
        <w:tabs>
          <w:tab w:val="left" w:pos="802"/>
        </w:tabs>
        <w:kinsoku/>
        <w:overflowPunct/>
        <w:topLinePunct w:val="0"/>
        <w:autoSpaceDE/>
        <w:autoSpaceDN/>
        <w:bidi w:val="0"/>
        <w:adjustRightInd w:val="0"/>
        <w:snapToGrid w:val="0"/>
        <w:spacing w:line="586" w:lineRule="exact"/>
        <w:ind w:left="0" w:right="0" w:rightChars="0" w:firstLine="622"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交货时甲方有权要求</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乙</w:t>
      </w:r>
      <w:r>
        <w:rPr>
          <w:rFonts w:hint="eastAsia" w:ascii="仿宋_GB2312" w:hAnsi="仿宋_GB2312" w:eastAsia="仿宋_GB2312" w:cs="仿宋_GB2312"/>
          <w:color w:val="000000" w:themeColor="text1"/>
          <w:sz w:val="32"/>
          <w:szCs w:val="32"/>
          <w:lang w:eastAsia="zh-CN"/>
          <w14:textFill>
            <w14:solidFill>
              <w14:schemeClr w14:val="tx1"/>
            </w14:solidFill>
          </w14:textFill>
        </w:rPr>
        <w:t>方提供相关法律法规规定的证件、材料、票据等书面文件。甲方认为有必要的，有权要求</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乙</w:t>
      </w:r>
      <w:r>
        <w:rPr>
          <w:rFonts w:hint="eastAsia" w:ascii="仿宋_GB2312" w:hAnsi="仿宋_GB2312" w:eastAsia="仿宋_GB2312" w:cs="仿宋_GB2312"/>
          <w:color w:val="000000" w:themeColor="text1"/>
          <w:sz w:val="32"/>
          <w:szCs w:val="32"/>
          <w:lang w:eastAsia="zh-CN"/>
          <w14:textFill>
            <w14:solidFill>
              <w14:schemeClr w14:val="tx1"/>
            </w14:solidFill>
          </w14:textFill>
        </w:rPr>
        <w:t>方就耗材供货渠道的合法性进行进一步的说明或提供有效的书面证明材料。若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乙</w:t>
      </w:r>
      <w:r>
        <w:rPr>
          <w:rFonts w:hint="eastAsia" w:ascii="仿宋_GB2312" w:hAnsi="仿宋_GB2312" w:eastAsia="仿宋_GB2312" w:cs="仿宋_GB2312"/>
          <w:color w:val="000000" w:themeColor="text1"/>
          <w:sz w:val="32"/>
          <w:szCs w:val="32"/>
          <w:lang w:eastAsia="zh-CN"/>
          <w14:textFill>
            <w14:solidFill>
              <w14:schemeClr w14:val="tx1"/>
            </w14:solidFill>
          </w14:textFill>
        </w:rPr>
        <w:t>方向甲方提供非法渠道来源的耗材，则甲方有权将此视为欺诈。为维护甲方合法权益，甲方有权终止与欺诈方全部合作，欺诈方应向甲方承担耗材价值双倍的赔偿责任。同时，甲方保留依据现行法律法规追究其他责任的权利。</w:t>
      </w:r>
    </w:p>
    <w:p>
      <w:pPr>
        <w:pStyle w:val="30"/>
        <w:keepNext w:val="0"/>
        <w:keepLines w:val="0"/>
        <w:pageBreakBefore w:val="0"/>
        <w:widowControl w:val="0"/>
        <w:numPr>
          <w:ilvl w:val="0"/>
          <w:numId w:val="1"/>
        </w:numPr>
        <w:tabs>
          <w:tab w:val="left" w:pos="802"/>
        </w:tabs>
        <w:kinsoku/>
        <w:overflowPunct/>
        <w:topLinePunct w:val="0"/>
        <w:autoSpaceDE/>
        <w:autoSpaceDN/>
        <w:bidi w:val="0"/>
        <w:adjustRightInd w:val="0"/>
        <w:snapToGrid w:val="0"/>
        <w:spacing w:line="586" w:lineRule="exact"/>
        <w:ind w:left="0" w:right="0" w:rightChars="0" w:firstLine="622"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中选产品交货时应货票同行，并严格按照法定的运输管理要求及耗材储存、包装标准等将中选产品按时发运给甲方，甲方收到</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乙</w:t>
      </w:r>
      <w:r>
        <w:rPr>
          <w:rFonts w:hint="eastAsia" w:ascii="仿宋_GB2312" w:hAnsi="仿宋_GB2312" w:eastAsia="仿宋_GB2312" w:cs="仿宋_GB2312"/>
          <w:color w:val="000000" w:themeColor="text1"/>
          <w:sz w:val="32"/>
          <w:szCs w:val="32"/>
          <w:lang w:eastAsia="zh-CN"/>
          <w14:textFill>
            <w14:solidFill>
              <w14:schemeClr w14:val="tx1"/>
            </w14:solidFill>
          </w14:textFill>
        </w:rPr>
        <w:t>方供货的中选产品时，应当场清点产品的整体整箱外包装（即大件包装）是否完好牢固。甲方在接收产品时，发现短少、破损、污染、异形等情形，或有其他不符合法律法规规定的情形，有权拒绝接收，</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乙</w:t>
      </w:r>
      <w:r>
        <w:rPr>
          <w:rFonts w:hint="eastAsia" w:ascii="仿宋_GB2312" w:hAnsi="仿宋_GB2312" w:eastAsia="仿宋_GB2312" w:cs="仿宋_GB2312"/>
          <w:color w:val="000000" w:themeColor="text1"/>
          <w:sz w:val="32"/>
          <w:szCs w:val="32"/>
          <w:lang w:eastAsia="zh-CN"/>
          <w14:textFill>
            <w14:solidFill>
              <w14:schemeClr w14:val="tx1"/>
            </w14:solidFill>
          </w14:textFill>
        </w:rPr>
        <w:t>方应按照甲方的要求及时更换被拒收的中选产品，并承担由此对甲方造成的一切损失。</w:t>
      </w:r>
    </w:p>
    <w:p>
      <w:pPr>
        <w:pStyle w:val="30"/>
        <w:keepNext w:val="0"/>
        <w:keepLines w:val="0"/>
        <w:pageBreakBefore w:val="0"/>
        <w:widowControl w:val="0"/>
        <w:numPr>
          <w:ilvl w:val="0"/>
          <w:numId w:val="1"/>
        </w:numPr>
        <w:tabs>
          <w:tab w:val="left" w:pos="802"/>
        </w:tabs>
        <w:kinsoku/>
        <w:overflowPunct/>
        <w:topLinePunct w:val="0"/>
        <w:autoSpaceDE/>
        <w:autoSpaceDN/>
        <w:bidi w:val="0"/>
        <w:adjustRightInd w:val="0"/>
        <w:snapToGrid w:val="0"/>
        <w:spacing w:line="586" w:lineRule="exact"/>
        <w:ind w:left="0" w:right="0" w:rightChars="0" w:firstLine="622"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乙</w:t>
      </w:r>
      <w:r>
        <w:rPr>
          <w:rFonts w:hint="eastAsia" w:ascii="仿宋_GB2312" w:hAnsi="仿宋_GB2312" w:eastAsia="仿宋_GB2312" w:cs="仿宋_GB2312"/>
          <w:color w:val="000000" w:themeColor="text1"/>
          <w:sz w:val="32"/>
          <w:szCs w:val="32"/>
          <w:lang w:eastAsia="zh-CN"/>
          <w14:textFill>
            <w14:solidFill>
              <w14:schemeClr w14:val="tx1"/>
            </w14:solidFill>
          </w14:textFill>
        </w:rPr>
        <w:t>方承诺不通过第三方购买中选产品，否则将由</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乙</w:t>
      </w:r>
      <w:r>
        <w:rPr>
          <w:rFonts w:hint="eastAsia" w:ascii="仿宋_GB2312" w:hAnsi="仿宋_GB2312" w:eastAsia="仿宋_GB2312" w:cs="仿宋_GB2312"/>
          <w:color w:val="000000" w:themeColor="text1"/>
          <w:sz w:val="32"/>
          <w:szCs w:val="32"/>
          <w:lang w:eastAsia="zh-CN"/>
          <w14:textFill>
            <w14:solidFill>
              <w14:schemeClr w14:val="tx1"/>
            </w14:solidFill>
          </w14:textFill>
        </w:rPr>
        <w:t>方自行承担因此而产生的相应不利后果，并且甲方保留向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乙</w:t>
      </w:r>
      <w:r>
        <w:rPr>
          <w:rFonts w:hint="eastAsia" w:ascii="仿宋_GB2312" w:hAnsi="仿宋_GB2312" w:eastAsia="仿宋_GB2312" w:cs="仿宋_GB2312"/>
          <w:color w:val="000000" w:themeColor="text1"/>
          <w:sz w:val="32"/>
          <w:szCs w:val="32"/>
          <w:lang w:eastAsia="zh-CN"/>
          <w14:textFill>
            <w14:solidFill>
              <w14:schemeClr w14:val="tx1"/>
            </w14:solidFill>
          </w14:textFill>
        </w:rPr>
        <w:t>方索赔或追究</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乙</w:t>
      </w:r>
      <w:r>
        <w:rPr>
          <w:rFonts w:hint="eastAsia" w:ascii="仿宋_GB2312" w:hAnsi="仿宋_GB2312" w:eastAsia="仿宋_GB2312" w:cs="仿宋_GB2312"/>
          <w:color w:val="000000" w:themeColor="text1"/>
          <w:sz w:val="32"/>
          <w:szCs w:val="32"/>
          <w:lang w:eastAsia="zh-CN"/>
          <w14:textFill>
            <w14:solidFill>
              <w14:schemeClr w14:val="tx1"/>
            </w14:solidFill>
          </w14:textFill>
        </w:rPr>
        <w:t>方其他责任的权利。</w:t>
      </w:r>
    </w:p>
    <w:p>
      <w:pPr>
        <w:pStyle w:val="30"/>
        <w:keepNext w:val="0"/>
        <w:keepLines w:val="0"/>
        <w:pageBreakBefore w:val="0"/>
        <w:widowControl w:val="0"/>
        <w:numPr>
          <w:ilvl w:val="0"/>
          <w:numId w:val="1"/>
        </w:numPr>
        <w:tabs>
          <w:tab w:val="left" w:pos="802"/>
        </w:tabs>
        <w:kinsoku/>
        <w:overflowPunct/>
        <w:topLinePunct w:val="0"/>
        <w:autoSpaceDE/>
        <w:autoSpaceDN/>
        <w:bidi w:val="0"/>
        <w:adjustRightInd w:val="0"/>
        <w:snapToGrid w:val="0"/>
        <w:spacing w:line="586" w:lineRule="exact"/>
        <w:ind w:left="0" w:right="0" w:rightChars="0" w:firstLine="622"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除非甲方对包装另有规定，乙方、丙方提供的全部耗材均应按相关法律法规规定的及根据耗材特性所需的标准保护措施进行包装，以防止耗材在转运过程中损坏或变质，并应确保耗材安全无损运抵甲方指定现场。否则，对于因此而造成的一切损失，甲方有权要求乙、丙双方或它们中的任何一方承担包括赔偿责任在内的一切法律责任。而乙、丙双方之间的责任分配应由其自行协商解决，但它们中的任何一方均不得以此对抗甲方的权利主张。</w:t>
      </w:r>
    </w:p>
    <w:p>
      <w:pPr>
        <w:pStyle w:val="30"/>
        <w:keepNext w:val="0"/>
        <w:keepLines w:val="0"/>
        <w:pageBreakBefore w:val="0"/>
        <w:widowControl w:val="0"/>
        <w:numPr>
          <w:ilvl w:val="0"/>
          <w:numId w:val="1"/>
        </w:numPr>
        <w:tabs>
          <w:tab w:val="left" w:pos="802"/>
        </w:tabs>
        <w:kinsoku/>
        <w:overflowPunct/>
        <w:topLinePunct w:val="0"/>
        <w:autoSpaceDE/>
        <w:autoSpaceDN/>
        <w:bidi w:val="0"/>
        <w:adjustRightInd w:val="0"/>
        <w:snapToGrid w:val="0"/>
        <w:spacing w:line="586" w:lineRule="exact"/>
        <w:ind w:left="0" w:right="0" w:rightChars="0" w:firstLine="622" w:firstLineChars="200"/>
        <w:textAlignment w:val="auto"/>
        <w:rPr>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包装、标记和包装箱内外的单据应符合相关法律法规规定的要求、本协议约定的要求，以及甲方提出的其他要求等。</w:t>
      </w:r>
    </w:p>
    <w:p>
      <w:pPr>
        <w:pStyle w:val="30"/>
        <w:keepNext w:val="0"/>
        <w:keepLines w:val="0"/>
        <w:pageBreakBefore w:val="0"/>
        <w:widowControl w:val="0"/>
        <w:tabs>
          <w:tab w:val="left" w:pos="802"/>
        </w:tabs>
        <w:kinsoku/>
        <w:overflowPunct/>
        <w:topLinePunct w:val="0"/>
        <w:autoSpaceDE/>
        <w:autoSpaceDN/>
        <w:bidi w:val="0"/>
        <w:adjustRightInd w:val="0"/>
        <w:snapToGrid w:val="0"/>
        <w:spacing w:line="586" w:lineRule="exact"/>
        <w:ind w:left="0" w:right="0" w:rightChars="0" w:firstLine="622" w:firstLineChars="200"/>
        <w:textAlignment w:val="auto"/>
        <w:rPr>
          <w:rFonts w:hint="eastAsia" w:ascii="黑体" w:hAnsi="黑体" w:eastAsia="黑体" w:cs="黑体"/>
          <w:color w:val="000000" w:themeColor="text1"/>
          <w:sz w:val="32"/>
          <w:szCs w:val="32"/>
          <w:lang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九、</w:t>
      </w:r>
      <w:r>
        <w:rPr>
          <w:rFonts w:hint="eastAsia" w:ascii="黑体" w:hAnsi="黑体" w:eastAsia="黑体" w:cs="黑体"/>
          <w:color w:val="000000" w:themeColor="text1"/>
          <w:sz w:val="32"/>
          <w:szCs w:val="32"/>
          <w:lang w:eastAsia="zh-CN"/>
          <w14:textFill>
            <w14:solidFill>
              <w14:schemeClr w14:val="tx1"/>
            </w14:solidFill>
          </w14:textFill>
        </w:rPr>
        <w:t>伴随服务</w:t>
      </w:r>
    </w:p>
    <w:p>
      <w:pPr>
        <w:pStyle w:val="30"/>
        <w:keepNext w:val="0"/>
        <w:keepLines w:val="0"/>
        <w:pageBreakBefore w:val="0"/>
        <w:widowControl w:val="0"/>
        <w:tabs>
          <w:tab w:val="left" w:pos="802"/>
        </w:tabs>
        <w:kinsoku/>
        <w:overflowPunct/>
        <w:topLinePunct w:val="0"/>
        <w:autoSpaceDE/>
        <w:autoSpaceDN/>
        <w:bidi w:val="0"/>
        <w:adjustRightInd w:val="0"/>
        <w:snapToGrid w:val="0"/>
        <w:spacing w:line="586" w:lineRule="exact"/>
        <w:ind w:left="0" w:right="0" w:rightChars="0" w:firstLine="622"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乙</w:t>
      </w:r>
      <w:r>
        <w:rPr>
          <w:rFonts w:hint="eastAsia" w:ascii="仿宋_GB2312" w:hAnsi="仿宋_GB2312" w:eastAsia="仿宋_GB2312" w:cs="仿宋_GB2312"/>
          <w:color w:val="000000" w:themeColor="text1"/>
          <w:sz w:val="32"/>
          <w:szCs w:val="32"/>
          <w:lang w:eastAsia="zh-CN"/>
          <w14:textFill>
            <w14:solidFill>
              <w14:schemeClr w14:val="tx1"/>
            </w14:solidFill>
          </w14:textFill>
        </w:rPr>
        <w:t>方承担与供货有关的辅助服务和协议中规定</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乙</w:t>
      </w:r>
      <w:r>
        <w:rPr>
          <w:rFonts w:hint="eastAsia" w:ascii="仿宋_GB2312" w:hAnsi="仿宋_GB2312" w:eastAsia="仿宋_GB2312" w:cs="仿宋_GB2312"/>
          <w:color w:val="000000" w:themeColor="text1"/>
          <w:sz w:val="32"/>
          <w:szCs w:val="32"/>
          <w:lang w:eastAsia="zh-CN"/>
          <w14:textFill>
            <w14:solidFill>
              <w14:schemeClr w14:val="tx1"/>
            </w14:solidFill>
          </w14:textFill>
        </w:rPr>
        <w:t>方应承担的其它义务。在本协议履行的过程中，</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乙</w:t>
      </w:r>
      <w:r>
        <w:rPr>
          <w:rFonts w:hint="eastAsia" w:ascii="仿宋_GB2312" w:hAnsi="仿宋_GB2312" w:eastAsia="仿宋_GB2312" w:cs="仿宋_GB2312"/>
          <w:color w:val="000000" w:themeColor="text1"/>
          <w:sz w:val="32"/>
          <w:szCs w:val="32"/>
          <w:lang w:eastAsia="zh-CN"/>
          <w14:textFill>
            <w14:solidFill>
              <w14:schemeClr w14:val="tx1"/>
            </w14:solidFill>
          </w14:textFill>
        </w:rPr>
        <w:t>方应按甲方的要求免费提供下列服务中一项或全部：</w:t>
      </w:r>
    </w:p>
    <w:p>
      <w:pPr>
        <w:pStyle w:val="30"/>
        <w:keepNext w:val="0"/>
        <w:keepLines w:val="0"/>
        <w:pageBreakBefore w:val="0"/>
        <w:widowControl w:val="0"/>
        <w:tabs>
          <w:tab w:val="left" w:pos="802"/>
        </w:tabs>
        <w:kinsoku/>
        <w:overflowPunct/>
        <w:topLinePunct w:val="0"/>
        <w:autoSpaceDE/>
        <w:autoSpaceDN/>
        <w:bidi w:val="0"/>
        <w:adjustRightInd w:val="0"/>
        <w:snapToGrid w:val="0"/>
        <w:spacing w:line="586" w:lineRule="exact"/>
        <w:ind w:left="0" w:right="0" w:rightChars="0" w:firstLine="622"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eastAsia="zh-CN"/>
          <w14:textFill>
            <w14:solidFill>
              <w14:schemeClr w14:val="tx1"/>
            </w14:solidFill>
          </w14:textFill>
        </w:rPr>
        <w:t>（1）</w:t>
      </w:r>
      <w:r>
        <w:rPr>
          <w:rFonts w:hint="eastAsia" w:ascii="仿宋_GB2312" w:hAnsi="仿宋_GB2312" w:eastAsia="仿宋_GB2312" w:cs="仿宋_GB2312"/>
          <w:color w:val="000000" w:themeColor="text1"/>
          <w:sz w:val="32"/>
          <w:szCs w:val="32"/>
          <w:lang w:eastAsia="zh-CN"/>
          <w14:textFill>
            <w14:solidFill>
              <w14:schemeClr w14:val="tx1"/>
            </w14:solidFill>
          </w14:textFill>
        </w:rPr>
        <w:t>耗材的现场搬运或入库；</w:t>
      </w:r>
    </w:p>
    <w:p>
      <w:pPr>
        <w:pStyle w:val="30"/>
        <w:keepNext w:val="0"/>
        <w:keepLines w:val="0"/>
        <w:pageBreakBefore w:val="0"/>
        <w:widowControl w:val="0"/>
        <w:tabs>
          <w:tab w:val="left" w:pos="802"/>
        </w:tabs>
        <w:kinsoku/>
        <w:overflowPunct/>
        <w:topLinePunct w:val="0"/>
        <w:autoSpaceDE/>
        <w:autoSpaceDN/>
        <w:bidi w:val="0"/>
        <w:adjustRightInd w:val="0"/>
        <w:snapToGrid w:val="0"/>
        <w:spacing w:line="586" w:lineRule="exact"/>
        <w:ind w:left="0" w:right="0" w:rightChars="0" w:firstLine="622"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eastAsia="zh-CN"/>
          <w14:textFill>
            <w14:solidFill>
              <w14:schemeClr w14:val="tx1"/>
            </w14:solidFill>
          </w14:textFill>
        </w:rPr>
        <w:t>（2）</w:t>
      </w:r>
      <w:r>
        <w:rPr>
          <w:rFonts w:hint="eastAsia" w:ascii="仿宋_GB2312" w:hAnsi="仿宋_GB2312" w:eastAsia="仿宋_GB2312" w:cs="仿宋_GB2312"/>
          <w:color w:val="000000" w:themeColor="text1"/>
          <w:sz w:val="32"/>
          <w:szCs w:val="32"/>
          <w:lang w:eastAsia="zh-CN"/>
          <w14:textFill>
            <w14:solidFill>
              <w14:schemeClr w14:val="tx1"/>
            </w14:solidFill>
          </w14:textFill>
        </w:rPr>
        <w:t>提供耗材开箱或分装的用具；</w:t>
      </w:r>
    </w:p>
    <w:p>
      <w:pPr>
        <w:pStyle w:val="30"/>
        <w:keepNext w:val="0"/>
        <w:keepLines w:val="0"/>
        <w:pageBreakBefore w:val="0"/>
        <w:widowControl w:val="0"/>
        <w:tabs>
          <w:tab w:val="left" w:pos="802"/>
        </w:tabs>
        <w:kinsoku/>
        <w:overflowPunct/>
        <w:topLinePunct w:val="0"/>
        <w:autoSpaceDE/>
        <w:autoSpaceDN/>
        <w:bidi w:val="0"/>
        <w:adjustRightInd w:val="0"/>
        <w:snapToGrid w:val="0"/>
        <w:spacing w:line="586" w:lineRule="exact"/>
        <w:ind w:left="0" w:right="0" w:rightChars="0" w:firstLine="622"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eastAsia="zh-CN"/>
          <w14:textFill>
            <w14:solidFill>
              <w14:schemeClr w14:val="tx1"/>
            </w14:solidFill>
          </w14:textFill>
        </w:rPr>
        <w:t>（3）</w:t>
      </w:r>
      <w:r>
        <w:rPr>
          <w:rFonts w:hint="eastAsia" w:ascii="仿宋_GB2312" w:hAnsi="仿宋_GB2312" w:eastAsia="仿宋_GB2312" w:cs="仿宋_GB2312"/>
          <w:color w:val="000000" w:themeColor="text1"/>
          <w:sz w:val="32"/>
          <w:szCs w:val="32"/>
          <w:lang w:eastAsia="zh-CN"/>
          <w14:textFill>
            <w14:solidFill>
              <w14:schemeClr w14:val="tx1"/>
            </w14:solidFill>
          </w14:textFill>
        </w:rPr>
        <w:t>对开箱时发现的破损、近效期耗材或其他不合格包装耗材及时更换；</w:t>
      </w:r>
    </w:p>
    <w:p>
      <w:pPr>
        <w:pStyle w:val="30"/>
        <w:keepNext w:val="0"/>
        <w:keepLines w:val="0"/>
        <w:pageBreakBefore w:val="0"/>
        <w:widowControl w:val="0"/>
        <w:tabs>
          <w:tab w:val="left" w:pos="802"/>
        </w:tabs>
        <w:kinsoku/>
        <w:overflowPunct/>
        <w:topLinePunct w:val="0"/>
        <w:autoSpaceDE/>
        <w:autoSpaceDN/>
        <w:bidi w:val="0"/>
        <w:adjustRightInd w:val="0"/>
        <w:snapToGrid w:val="0"/>
        <w:spacing w:line="586" w:lineRule="exact"/>
        <w:ind w:left="0" w:right="0" w:rightChars="0" w:firstLine="622"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eastAsia="zh-CN"/>
          <w14:textFill>
            <w14:solidFill>
              <w14:schemeClr w14:val="tx1"/>
            </w14:solidFill>
          </w14:textFill>
        </w:rPr>
        <w:t>（4）</w:t>
      </w:r>
      <w:r>
        <w:rPr>
          <w:rFonts w:hint="eastAsia" w:ascii="仿宋_GB2312" w:hAnsi="仿宋_GB2312" w:eastAsia="仿宋_GB2312" w:cs="仿宋_GB2312"/>
          <w:color w:val="000000" w:themeColor="text1"/>
          <w:sz w:val="32"/>
          <w:szCs w:val="32"/>
          <w:lang w:eastAsia="zh-CN"/>
          <w14:textFill>
            <w14:solidFill>
              <w14:schemeClr w14:val="tx1"/>
            </w14:solidFill>
          </w14:textFill>
        </w:rPr>
        <w:t>在甲方指定地点为所供耗材的临床应用进行现场讲解或培训；</w:t>
      </w:r>
    </w:p>
    <w:p>
      <w:pPr>
        <w:pStyle w:val="30"/>
        <w:keepNext w:val="0"/>
        <w:keepLines w:val="0"/>
        <w:pageBreakBefore w:val="0"/>
        <w:widowControl w:val="0"/>
        <w:tabs>
          <w:tab w:val="left" w:pos="802"/>
        </w:tabs>
        <w:kinsoku/>
        <w:overflowPunct/>
        <w:topLinePunct w:val="0"/>
        <w:autoSpaceDE/>
        <w:autoSpaceDN/>
        <w:bidi w:val="0"/>
        <w:adjustRightInd w:val="0"/>
        <w:snapToGrid w:val="0"/>
        <w:spacing w:line="586" w:lineRule="exact"/>
        <w:ind w:left="0" w:right="0" w:rightChars="0" w:firstLine="622" w:firstLineChars="200"/>
        <w:textAlignment w:val="auto"/>
        <w:rPr>
          <w:color w:val="000000" w:themeColor="text1"/>
          <w:sz w:val="32"/>
          <w:szCs w:val="32"/>
          <w:lang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eastAsia="zh-CN"/>
          <w14:textFill>
            <w14:solidFill>
              <w14:schemeClr w14:val="tx1"/>
            </w14:solidFill>
          </w14:textFill>
        </w:rPr>
        <w:t>（5）</w:t>
      </w:r>
      <w:r>
        <w:rPr>
          <w:rFonts w:hint="eastAsia" w:ascii="仿宋_GB2312" w:hAnsi="仿宋_GB2312" w:eastAsia="仿宋_GB2312" w:cs="仿宋_GB2312"/>
          <w:color w:val="000000" w:themeColor="text1"/>
          <w:sz w:val="32"/>
          <w:szCs w:val="32"/>
          <w:lang w:eastAsia="zh-CN"/>
          <w14:textFill>
            <w14:solidFill>
              <w14:schemeClr w14:val="tx1"/>
            </w14:solidFill>
          </w14:textFill>
        </w:rPr>
        <w:t>其他</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乙</w:t>
      </w:r>
      <w:r>
        <w:rPr>
          <w:rFonts w:hint="eastAsia" w:ascii="仿宋_GB2312" w:hAnsi="仿宋_GB2312" w:eastAsia="仿宋_GB2312" w:cs="仿宋_GB2312"/>
          <w:color w:val="000000" w:themeColor="text1"/>
          <w:sz w:val="32"/>
          <w:szCs w:val="32"/>
          <w:lang w:eastAsia="zh-CN"/>
          <w14:textFill>
            <w14:solidFill>
              <w14:schemeClr w14:val="tx1"/>
            </w14:solidFill>
          </w14:textFill>
        </w:rPr>
        <w:t>方应提供的相关服务项目。</w:t>
      </w:r>
    </w:p>
    <w:p>
      <w:pPr>
        <w:pStyle w:val="30"/>
        <w:keepNext w:val="0"/>
        <w:keepLines w:val="0"/>
        <w:pageBreakBefore w:val="0"/>
        <w:widowControl w:val="0"/>
        <w:tabs>
          <w:tab w:val="left" w:pos="802"/>
        </w:tabs>
        <w:kinsoku/>
        <w:overflowPunct/>
        <w:topLinePunct w:val="0"/>
        <w:autoSpaceDE/>
        <w:autoSpaceDN/>
        <w:bidi w:val="0"/>
        <w:adjustRightInd w:val="0"/>
        <w:snapToGrid w:val="0"/>
        <w:spacing w:line="586" w:lineRule="exact"/>
        <w:ind w:left="0" w:right="0" w:rightChars="0" w:firstLine="622" w:firstLineChars="200"/>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十、结算付款</w:t>
      </w:r>
    </w:p>
    <w:p>
      <w:pPr>
        <w:pStyle w:val="30"/>
        <w:keepNext w:val="0"/>
        <w:keepLines w:val="0"/>
        <w:pageBreakBefore w:val="0"/>
        <w:widowControl w:val="0"/>
        <w:tabs>
          <w:tab w:val="left" w:pos="802"/>
        </w:tabs>
        <w:kinsoku/>
        <w:overflowPunct/>
        <w:topLinePunct w:val="0"/>
        <w:autoSpaceDE/>
        <w:autoSpaceDN/>
        <w:bidi w:val="0"/>
        <w:adjustRightInd w:val="0"/>
        <w:snapToGrid w:val="0"/>
        <w:spacing w:line="586" w:lineRule="exact"/>
        <w:ind w:left="0" w:right="0" w:rightChars="0" w:firstLine="622"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bookmarkStart w:id="0" w:name="_Hlk98837842"/>
      <w:r>
        <w:rPr>
          <w:rFonts w:hint="eastAsia" w:ascii="楷体_GB2312" w:hAnsi="楷体_GB2312" w:eastAsia="楷体_GB2312" w:cs="楷体_GB2312"/>
          <w:b/>
          <w:bCs/>
          <w:color w:val="000000" w:themeColor="text1"/>
          <w:sz w:val="32"/>
          <w:szCs w:val="32"/>
          <w:lang w:eastAsia="zh-CN"/>
          <w14:textFill>
            <w14:solidFill>
              <w14:schemeClr w14:val="tx1"/>
            </w14:solidFill>
          </w14:textFill>
        </w:rPr>
        <w:t>（1）</w:t>
      </w:r>
      <w:r>
        <w:rPr>
          <w:rFonts w:hint="eastAsia" w:ascii="仿宋_GB2312" w:hAnsi="仿宋_GB2312" w:eastAsia="仿宋_GB2312" w:cs="仿宋_GB2312"/>
          <w:color w:val="000000" w:themeColor="text1"/>
          <w:sz w:val="32"/>
          <w:szCs w:val="32"/>
          <w:lang w:eastAsia="zh-CN"/>
          <w14:textFill>
            <w14:solidFill>
              <w14:schemeClr w14:val="tx1"/>
            </w14:solidFill>
          </w14:textFill>
        </w:rPr>
        <w:t>在乙方、丙方均无违约行为且甲方对所供应的耗材确认验收完毕的前提下，甲方（或受甲方委托的医保经办机构）按照有关规定及时结算货款。</w:t>
      </w:r>
    </w:p>
    <w:bookmarkEnd w:id="0"/>
    <w:p>
      <w:pPr>
        <w:pStyle w:val="30"/>
        <w:keepNext w:val="0"/>
        <w:keepLines w:val="0"/>
        <w:pageBreakBefore w:val="0"/>
        <w:widowControl w:val="0"/>
        <w:tabs>
          <w:tab w:val="left" w:pos="802"/>
        </w:tabs>
        <w:kinsoku/>
        <w:overflowPunct/>
        <w:topLinePunct w:val="0"/>
        <w:autoSpaceDE/>
        <w:autoSpaceDN/>
        <w:bidi w:val="0"/>
        <w:adjustRightInd w:val="0"/>
        <w:snapToGrid w:val="0"/>
        <w:spacing w:line="586" w:lineRule="exact"/>
        <w:ind w:left="0" w:right="0" w:rightChars="0" w:firstLine="622"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bookmarkStart w:id="1" w:name="_Hlk98837858"/>
      <w:r>
        <w:rPr>
          <w:rFonts w:hint="eastAsia" w:ascii="楷体_GB2312" w:hAnsi="楷体_GB2312" w:eastAsia="楷体_GB2312" w:cs="楷体_GB2312"/>
          <w:b/>
          <w:bCs/>
          <w:color w:val="000000" w:themeColor="text1"/>
          <w:sz w:val="32"/>
          <w:szCs w:val="32"/>
          <w:lang w:eastAsia="zh-CN"/>
          <w14:textFill>
            <w14:solidFill>
              <w14:schemeClr w14:val="tx1"/>
            </w14:solidFill>
          </w14:textFill>
        </w:rPr>
        <w:t>（2）</w:t>
      </w:r>
      <w:r>
        <w:rPr>
          <w:rFonts w:hint="eastAsia" w:ascii="仿宋_GB2312" w:hAnsi="仿宋_GB2312" w:eastAsia="仿宋_GB2312" w:cs="仿宋_GB2312"/>
          <w:color w:val="000000" w:themeColor="text1"/>
          <w:sz w:val="32"/>
          <w:szCs w:val="32"/>
          <w:lang w:eastAsia="zh-CN"/>
          <w14:textFill>
            <w14:solidFill>
              <w14:schemeClr w14:val="tx1"/>
            </w14:solidFill>
          </w14:textFill>
        </w:rPr>
        <w:t>三方协议签订后，采购期内甲方收货验收合格到付款不得超过次月底。</w:t>
      </w:r>
    </w:p>
    <w:bookmarkEnd w:id="1"/>
    <w:p>
      <w:pPr>
        <w:pStyle w:val="30"/>
        <w:keepNext w:val="0"/>
        <w:keepLines w:val="0"/>
        <w:pageBreakBefore w:val="0"/>
        <w:widowControl w:val="0"/>
        <w:tabs>
          <w:tab w:val="left" w:pos="802"/>
        </w:tabs>
        <w:kinsoku/>
        <w:overflowPunct/>
        <w:topLinePunct w:val="0"/>
        <w:autoSpaceDE/>
        <w:autoSpaceDN/>
        <w:bidi w:val="0"/>
        <w:adjustRightInd w:val="0"/>
        <w:snapToGrid w:val="0"/>
        <w:spacing w:line="586" w:lineRule="exact"/>
        <w:ind w:left="0" w:right="0" w:rightChars="0" w:firstLine="622"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eastAsia="zh-CN"/>
          <w14:textFill>
            <w14:solidFill>
              <w14:schemeClr w14:val="tx1"/>
            </w14:solidFill>
          </w14:textFill>
        </w:rPr>
        <w:t>（3）</w:t>
      </w:r>
      <w:r>
        <w:rPr>
          <w:rFonts w:hint="eastAsia" w:ascii="仿宋_GB2312" w:hAnsi="仿宋_GB2312" w:eastAsia="仿宋_GB2312" w:cs="仿宋_GB2312"/>
          <w:color w:val="000000" w:themeColor="text1"/>
          <w:sz w:val="32"/>
          <w:szCs w:val="32"/>
          <w:lang w:eastAsia="zh-CN"/>
          <w14:textFill>
            <w14:solidFill>
              <w14:schemeClr w14:val="tx1"/>
            </w14:solidFill>
          </w14:textFill>
        </w:rPr>
        <w:t>针对本协议项下发生的购销业务，一旦甲方（或受甲方委托的医保经办机构）向乙方或丙方完成了相应款项的支付，即视为甲方完成了本协议项下的相应付款义务，乙方或丙方无权就此再向甲方主张任何权利。</w:t>
      </w:r>
    </w:p>
    <w:p>
      <w:pPr>
        <w:pStyle w:val="30"/>
        <w:keepNext w:val="0"/>
        <w:keepLines w:val="0"/>
        <w:pageBreakBefore w:val="0"/>
        <w:widowControl w:val="0"/>
        <w:tabs>
          <w:tab w:val="left" w:pos="802"/>
        </w:tabs>
        <w:kinsoku/>
        <w:overflowPunct/>
        <w:topLinePunct w:val="0"/>
        <w:autoSpaceDE/>
        <w:autoSpaceDN/>
        <w:bidi w:val="0"/>
        <w:adjustRightInd w:val="0"/>
        <w:snapToGrid w:val="0"/>
        <w:spacing w:line="586" w:lineRule="exact"/>
        <w:ind w:left="0" w:right="0" w:rightChars="0" w:firstLine="622" w:firstLineChars="200"/>
        <w:textAlignment w:val="auto"/>
        <w:rPr>
          <w:color w:val="000000" w:themeColor="text1"/>
          <w:sz w:val="32"/>
          <w:szCs w:val="32"/>
          <w:lang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eastAsia="zh-CN"/>
          <w14:textFill>
            <w14:solidFill>
              <w14:schemeClr w14:val="tx1"/>
            </w14:solidFill>
          </w14:textFill>
        </w:rPr>
        <w:t>（4）</w:t>
      </w:r>
      <w:r>
        <w:rPr>
          <w:rFonts w:hint="eastAsia" w:ascii="仿宋_GB2312" w:hAnsi="仿宋_GB2312" w:eastAsia="仿宋_GB2312" w:cs="仿宋_GB2312"/>
          <w:color w:val="000000" w:themeColor="text1"/>
          <w:sz w:val="32"/>
          <w:szCs w:val="32"/>
          <w:lang w:eastAsia="zh-CN"/>
          <w14:textFill>
            <w14:solidFill>
              <w14:schemeClr w14:val="tx1"/>
            </w14:solidFill>
          </w14:textFill>
        </w:rPr>
        <w:t>甲方必须要求乙方或丙方按实际成交价格如实开具发票，并如实记帐。</w:t>
      </w:r>
    </w:p>
    <w:p>
      <w:pPr>
        <w:pStyle w:val="30"/>
        <w:keepNext w:val="0"/>
        <w:keepLines w:val="0"/>
        <w:pageBreakBefore w:val="0"/>
        <w:widowControl w:val="0"/>
        <w:tabs>
          <w:tab w:val="left" w:pos="802"/>
        </w:tabs>
        <w:kinsoku/>
        <w:overflowPunct/>
        <w:topLinePunct w:val="0"/>
        <w:autoSpaceDE/>
        <w:autoSpaceDN/>
        <w:bidi w:val="0"/>
        <w:adjustRightInd w:val="0"/>
        <w:snapToGrid w:val="0"/>
        <w:spacing w:line="586" w:lineRule="exact"/>
        <w:ind w:left="0" w:right="0" w:rightChars="0" w:firstLine="622"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eastAsia="zh-CN"/>
          <w14:textFill>
            <w14:solidFill>
              <w14:schemeClr w14:val="tx1"/>
            </w14:solidFill>
          </w14:textFill>
        </w:rPr>
        <w:t>（5）</w:t>
      </w:r>
      <w:r>
        <w:rPr>
          <w:rFonts w:hint="eastAsia" w:ascii="仿宋_GB2312" w:hAnsi="仿宋_GB2312" w:eastAsia="仿宋_GB2312" w:cs="仿宋_GB2312"/>
          <w:color w:val="000000" w:themeColor="text1"/>
          <w:sz w:val="32"/>
          <w:szCs w:val="32"/>
          <w:lang w:eastAsia="zh-CN"/>
          <w14:textFill>
            <w14:solidFill>
              <w14:schemeClr w14:val="tx1"/>
            </w14:solidFill>
          </w14:textFill>
        </w:rPr>
        <w:t>乙方或丙方应及时向甲方提交已采购耗材的发票和有关单证以及对协议规定的其他义务。</w:t>
      </w:r>
    </w:p>
    <w:p>
      <w:pPr>
        <w:pStyle w:val="30"/>
        <w:keepNext w:val="0"/>
        <w:keepLines w:val="0"/>
        <w:pageBreakBefore w:val="0"/>
        <w:widowControl w:val="0"/>
        <w:tabs>
          <w:tab w:val="left" w:pos="802"/>
        </w:tabs>
        <w:kinsoku/>
        <w:overflowPunct/>
        <w:topLinePunct w:val="0"/>
        <w:autoSpaceDE/>
        <w:autoSpaceDN/>
        <w:bidi w:val="0"/>
        <w:adjustRightInd w:val="0"/>
        <w:snapToGrid w:val="0"/>
        <w:spacing w:line="586" w:lineRule="exact"/>
        <w:ind w:left="0" w:right="0" w:rightChars="0" w:firstLine="622"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eastAsia="zh-CN"/>
          <w14:textFill>
            <w14:solidFill>
              <w14:schemeClr w14:val="tx1"/>
            </w14:solidFill>
          </w14:textFill>
        </w:rPr>
        <w:t>（6）</w:t>
      </w:r>
      <w:r>
        <w:rPr>
          <w:rFonts w:hint="eastAsia" w:ascii="仿宋_GB2312" w:hAnsi="仿宋_GB2312" w:eastAsia="仿宋_GB2312" w:cs="仿宋_GB2312"/>
          <w:color w:val="000000" w:themeColor="text1"/>
          <w:sz w:val="32"/>
          <w:szCs w:val="32"/>
          <w:lang w:eastAsia="zh-CN"/>
          <w14:textFill>
            <w14:solidFill>
              <w14:schemeClr w14:val="tx1"/>
            </w14:solidFill>
          </w14:textFill>
        </w:rPr>
        <w:t>已经履行的证明，未能提交该等文件的耗材不纳入所在结算周期进行货款核算。</w:t>
      </w:r>
    </w:p>
    <w:p>
      <w:pPr>
        <w:pStyle w:val="30"/>
        <w:keepNext w:val="0"/>
        <w:keepLines w:val="0"/>
        <w:pageBreakBefore w:val="0"/>
        <w:widowControl w:val="0"/>
        <w:tabs>
          <w:tab w:val="left" w:pos="802"/>
        </w:tabs>
        <w:kinsoku/>
        <w:overflowPunct/>
        <w:topLinePunct w:val="0"/>
        <w:autoSpaceDE/>
        <w:autoSpaceDN/>
        <w:bidi w:val="0"/>
        <w:adjustRightInd w:val="0"/>
        <w:snapToGrid w:val="0"/>
        <w:spacing w:line="586" w:lineRule="exact"/>
        <w:ind w:left="0" w:right="0" w:rightChars="0" w:firstLine="622"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eastAsia="zh-CN"/>
          <w14:textFill>
            <w14:solidFill>
              <w14:schemeClr w14:val="tx1"/>
            </w14:solidFill>
          </w14:textFill>
        </w:rPr>
        <w:t>（7）</w:t>
      </w:r>
      <w:r>
        <w:rPr>
          <w:rFonts w:hint="eastAsia" w:ascii="仿宋_GB2312" w:hAnsi="仿宋_GB2312" w:eastAsia="仿宋_GB2312" w:cs="仿宋_GB2312"/>
          <w:color w:val="000000" w:themeColor="text1"/>
          <w:sz w:val="32"/>
          <w:szCs w:val="32"/>
          <w:lang w:eastAsia="zh-CN"/>
          <w14:textFill>
            <w14:solidFill>
              <w14:schemeClr w14:val="tx1"/>
            </w14:solidFill>
          </w14:textFill>
        </w:rPr>
        <w:t>乙方或丙方在提供耗材的同时应提供耗材的随货同行单，甲方根据随货同行单对耗材进行验收入库。</w:t>
      </w:r>
    </w:p>
    <w:p>
      <w:pPr>
        <w:pStyle w:val="30"/>
        <w:keepNext w:val="0"/>
        <w:keepLines w:val="0"/>
        <w:pageBreakBefore w:val="0"/>
        <w:widowControl w:val="0"/>
        <w:tabs>
          <w:tab w:val="left" w:pos="802"/>
        </w:tabs>
        <w:kinsoku/>
        <w:overflowPunct/>
        <w:topLinePunct w:val="0"/>
        <w:autoSpaceDE/>
        <w:autoSpaceDN/>
        <w:bidi w:val="0"/>
        <w:adjustRightInd w:val="0"/>
        <w:snapToGrid w:val="0"/>
        <w:spacing w:line="586" w:lineRule="exact"/>
        <w:ind w:left="0" w:right="0" w:rightChars="0" w:firstLine="622"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eastAsia="zh-CN"/>
          <w14:textFill>
            <w14:solidFill>
              <w14:schemeClr w14:val="tx1"/>
            </w14:solidFill>
          </w14:textFill>
        </w:rPr>
        <w:t>（8）</w:t>
      </w:r>
      <w:r>
        <w:rPr>
          <w:rFonts w:hint="eastAsia" w:ascii="仿宋_GB2312" w:hAnsi="仿宋_GB2312" w:eastAsia="仿宋_GB2312" w:cs="仿宋_GB2312"/>
          <w:color w:val="000000" w:themeColor="text1"/>
          <w:sz w:val="32"/>
          <w:szCs w:val="32"/>
          <w:lang w:eastAsia="zh-CN"/>
          <w14:textFill>
            <w14:solidFill>
              <w14:schemeClr w14:val="tx1"/>
            </w14:solidFill>
          </w14:textFill>
        </w:rPr>
        <w:t>甲、乙、丙三方应按照实际经营情况和税务机关要求，履行纳税义务并开具发票，并符合行业管理规定。</w:t>
      </w:r>
    </w:p>
    <w:p>
      <w:pPr>
        <w:pStyle w:val="30"/>
        <w:keepNext w:val="0"/>
        <w:keepLines w:val="0"/>
        <w:pageBreakBefore w:val="0"/>
        <w:widowControl w:val="0"/>
        <w:tabs>
          <w:tab w:val="left" w:pos="802"/>
        </w:tabs>
        <w:kinsoku/>
        <w:overflowPunct/>
        <w:topLinePunct w:val="0"/>
        <w:autoSpaceDE/>
        <w:autoSpaceDN/>
        <w:bidi w:val="0"/>
        <w:adjustRightInd w:val="0"/>
        <w:snapToGrid w:val="0"/>
        <w:spacing w:line="586" w:lineRule="exact"/>
        <w:ind w:left="0" w:right="0" w:rightChars="0" w:firstLine="622" w:firstLineChars="200"/>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十一、退换货</w:t>
      </w:r>
    </w:p>
    <w:p>
      <w:pPr>
        <w:pStyle w:val="30"/>
        <w:keepNext w:val="0"/>
        <w:keepLines w:val="0"/>
        <w:pageBreakBefore w:val="0"/>
        <w:widowControl w:val="0"/>
        <w:tabs>
          <w:tab w:val="left" w:pos="802"/>
        </w:tabs>
        <w:kinsoku/>
        <w:overflowPunct/>
        <w:topLinePunct w:val="0"/>
        <w:autoSpaceDE/>
        <w:autoSpaceDN/>
        <w:bidi w:val="0"/>
        <w:adjustRightInd w:val="0"/>
        <w:snapToGrid w:val="0"/>
        <w:spacing w:line="586" w:lineRule="exact"/>
        <w:ind w:left="0" w:right="0" w:rightChars="0" w:firstLine="622"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eastAsia="zh-CN"/>
          <w14:textFill>
            <w14:solidFill>
              <w14:schemeClr w14:val="tx1"/>
            </w14:solidFill>
          </w14:textFill>
        </w:rPr>
        <w:t>（1）</w:t>
      </w:r>
      <w:r>
        <w:rPr>
          <w:rFonts w:hint="eastAsia" w:ascii="仿宋_GB2312" w:hAnsi="仿宋_GB2312" w:eastAsia="仿宋_GB2312" w:cs="仿宋_GB2312"/>
          <w:color w:val="000000" w:themeColor="text1"/>
          <w:sz w:val="32"/>
          <w:szCs w:val="32"/>
          <w:lang w:eastAsia="zh-CN"/>
          <w14:textFill>
            <w14:solidFill>
              <w14:schemeClr w14:val="tx1"/>
            </w14:solidFill>
          </w14:textFill>
        </w:rPr>
        <w:t>若因中选产品本身的质量问题发生甲方退货的情况，</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丙</w:t>
      </w:r>
      <w:r>
        <w:rPr>
          <w:rFonts w:hint="eastAsia" w:ascii="仿宋_GB2312" w:hAnsi="仿宋_GB2312" w:eastAsia="仿宋_GB2312" w:cs="仿宋_GB2312"/>
          <w:color w:val="000000" w:themeColor="text1"/>
          <w:sz w:val="32"/>
          <w:szCs w:val="32"/>
          <w:lang w:eastAsia="zh-CN"/>
          <w14:textFill>
            <w14:solidFill>
              <w14:schemeClr w14:val="tx1"/>
            </w14:solidFill>
          </w14:textFill>
        </w:rPr>
        <w:t>方应按照甲方的要求无条件且及时退换货并承担由此产生的一切费用（包括但不限于运输费用），而且由此所导致的所有纠纷、赔偿及其他责任等均由</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丙</w:t>
      </w:r>
      <w:r>
        <w:rPr>
          <w:rFonts w:hint="eastAsia" w:ascii="仿宋_GB2312" w:hAnsi="仿宋_GB2312" w:eastAsia="仿宋_GB2312" w:cs="仿宋_GB2312"/>
          <w:color w:val="000000" w:themeColor="text1"/>
          <w:sz w:val="32"/>
          <w:szCs w:val="32"/>
          <w:lang w:eastAsia="zh-CN"/>
          <w14:textFill>
            <w14:solidFill>
              <w14:schemeClr w14:val="tx1"/>
            </w14:solidFill>
          </w14:textFill>
        </w:rPr>
        <w:t>方自行承担。若甲方因此被索赔或被追究任何法律责任，均应由</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丙</w:t>
      </w:r>
      <w:r>
        <w:rPr>
          <w:rFonts w:hint="eastAsia" w:ascii="仿宋_GB2312" w:hAnsi="仿宋_GB2312" w:eastAsia="仿宋_GB2312" w:cs="仿宋_GB2312"/>
          <w:color w:val="000000" w:themeColor="text1"/>
          <w:sz w:val="32"/>
          <w:szCs w:val="32"/>
          <w:lang w:eastAsia="zh-CN"/>
          <w14:textFill>
            <w14:solidFill>
              <w14:schemeClr w14:val="tx1"/>
            </w14:solidFill>
          </w14:textFill>
        </w:rPr>
        <w:t>方承担最终责任。同时，</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丙</w:t>
      </w:r>
      <w:r>
        <w:rPr>
          <w:rFonts w:hint="eastAsia" w:ascii="仿宋_GB2312" w:hAnsi="仿宋_GB2312" w:eastAsia="仿宋_GB2312" w:cs="仿宋_GB2312"/>
          <w:color w:val="000000" w:themeColor="text1"/>
          <w:sz w:val="32"/>
          <w:szCs w:val="32"/>
          <w:lang w:eastAsia="zh-CN"/>
          <w14:textFill>
            <w14:solidFill>
              <w14:schemeClr w14:val="tx1"/>
            </w14:solidFill>
          </w14:textFill>
        </w:rPr>
        <w:t>方承诺以现金形式补偿甲方因此而遭受的所有损失。</w:t>
      </w:r>
    </w:p>
    <w:p>
      <w:pPr>
        <w:pStyle w:val="30"/>
        <w:keepNext w:val="0"/>
        <w:keepLines w:val="0"/>
        <w:pageBreakBefore w:val="0"/>
        <w:widowControl w:val="0"/>
        <w:tabs>
          <w:tab w:val="left" w:pos="802"/>
        </w:tabs>
        <w:kinsoku/>
        <w:overflowPunct/>
        <w:topLinePunct w:val="0"/>
        <w:autoSpaceDE/>
        <w:autoSpaceDN/>
        <w:bidi w:val="0"/>
        <w:adjustRightInd w:val="0"/>
        <w:snapToGrid w:val="0"/>
        <w:spacing w:line="586" w:lineRule="exact"/>
        <w:ind w:left="0" w:right="0" w:rightChars="0" w:firstLine="622"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eastAsia="zh-CN"/>
          <w14:textFill>
            <w14:solidFill>
              <w14:schemeClr w14:val="tx1"/>
            </w14:solidFill>
          </w14:textFill>
        </w:rPr>
        <w:t>（2）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丙</w:t>
      </w:r>
      <w:r>
        <w:rPr>
          <w:rFonts w:hint="eastAsia" w:ascii="仿宋_GB2312" w:hAnsi="仿宋_GB2312" w:eastAsia="仿宋_GB2312" w:cs="仿宋_GB2312"/>
          <w:color w:val="000000" w:themeColor="text1"/>
          <w:sz w:val="32"/>
          <w:szCs w:val="32"/>
          <w:lang w:eastAsia="zh-CN"/>
          <w14:textFill>
            <w14:solidFill>
              <w14:schemeClr w14:val="tx1"/>
            </w14:solidFill>
          </w14:textFill>
        </w:rPr>
        <w:t>方供货需符合质量验收的标准，若在</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乙</w:t>
      </w:r>
      <w:r>
        <w:rPr>
          <w:rFonts w:hint="eastAsia" w:ascii="仿宋_GB2312" w:hAnsi="仿宋_GB2312" w:eastAsia="仿宋_GB2312" w:cs="仿宋_GB2312"/>
          <w:color w:val="000000" w:themeColor="text1"/>
          <w:sz w:val="32"/>
          <w:szCs w:val="32"/>
          <w:lang w:eastAsia="zh-CN"/>
          <w14:textFill>
            <w14:solidFill>
              <w14:schemeClr w14:val="tx1"/>
            </w14:solidFill>
          </w14:textFill>
        </w:rPr>
        <w:t>方收货的当天，中选产品的剩余有效期不符合本协议约定，</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乙</w:t>
      </w:r>
      <w:r>
        <w:rPr>
          <w:rFonts w:hint="eastAsia" w:ascii="仿宋_GB2312" w:hAnsi="仿宋_GB2312" w:eastAsia="仿宋_GB2312" w:cs="仿宋_GB2312"/>
          <w:color w:val="000000" w:themeColor="text1"/>
          <w:sz w:val="32"/>
          <w:szCs w:val="32"/>
          <w:lang w:eastAsia="zh-CN"/>
          <w14:textFill>
            <w14:solidFill>
              <w14:schemeClr w14:val="tx1"/>
            </w14:solidFill>
          </w14:textFill>
        </w:rPr>
        <w:t>方在收货后的5个工作日内有权要求</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丙</w:t>
      </w:r>
      <w:r>
        <w:rPr>
          <w:rFonts w:hint="eastAsia" w:ascii="仿宋_GB2312" w:hAnsi="仿宋_GB2312" w:eastAsia="仿宋_GB2312" w:cs="仿宋_GB2312"/>
          <w:color w:val="000000" w:themeColor="text1"/>
          <w:sz w:val="32"/>
          <w:szCs w:val="32"/>
          <w:lang w:eastAsia="zh-CN"/>
          <w14:textFill>
            <w14:solidFill>
              <w14:schemeClr w14:val="tx1"/>
            </w14:solidFill>
          </w14:textFill>
        </w:rPr>
        <w:t>方对这类中选产品作出退货或换货的处理，甲方亦有权通过乙方向丙方行使此权利。</w:t>
      </w:r>
    </w:p>
    <w:p>
      <w:pPr>
        <w:pStyle w:val="30"/>
        <w:keepNext w:val="0"/>
        <w:keepLines w:val="0"/>
        <w:pageBreakBefore w:val="0"/>
        <w:widowControl w:val="0"/>
        <w:tabs>
          <w:tab w:val="left" w:pos="802"/>
        </w:tabs>
        <w:kinsoku/>
        <w:overflowPunct/>
        <w:topLinePunct w:val="0"/>
        <w:autoSpaceDE/>
        <w:autoSpaceDN/>
        <w:bidi w:val="0"/>
        <w:adjustRightInd w:val="0"/>
        <w:snapToGrid w:val="0"/>
        <w:spacing w:line="586" w:lineRule="exact"/>
        <w:ind w:left="0" w:right="0" w:rightChars="0" w:firstLine="622" w:firstLineChars="200"/>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十二、召回</w:t>
      </w:r>
    </w:p>
    <w:p>
      <w:pPr>
        <w:pStyle w:val="30"/>
        <w:keepNext w:val="0"/>
        <w:keepLines w:val="0"/>
        <w:pageBreakBefore w:val="0"/>
        <w:widowControl w:val="0"/>
        <w:tabs>
          <w:tab w:val="left" w:pos="802"/>
        </w:tabs>
        <w:kinsoku/>
        <w:overflowPunct/>
        <w:topLinePunct w:val="0"/>
        <w:autoSpaceDE/>
        <w:autoSpaceDN/>
        <w:bidi w:val="0"/>
        <w:adjustRightInd w:val="0"/>
        <w:snapToGrid w:val="0"/>
        <w:spacing w:line="586" w:lineRule="exact"/>
        <w:ind w:left="0" w:right="0" w:rightChars="0" w:firstLine="622"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eastAsia="zh-CN"/>
          <w14:textFill>
            <w14:solidFill>
              <w14:schemeClr w14:val="tx1"/>
            </w14:solidFill>
          </w14:textFill>
        </w:rPr>
        <w:t>（1）</w:t>
      </w:r>
      <w:r>
        <w:rPr>
          <w:rFonts w:hint="eastAsia" w:ascii="仿宋_GB2312" w:hAnsi="仿宋_GB2312" w:eastAsia="仿宋_GB2312" w:cs="仿宋_GB2312"/>
          <w:color w:val="000000" w:themeColor="text1"/>
          <w:sz w:val="32"/>
          <w:szCs w:val="32"/>
          <w:lang w:eastAsia="zh-CN"/>
          <w14:textFill>
            <w14:solidFill>
              <w14:schemeClr w14:val="tx1"/>
            </w14:solidFill>
          </w14:textFill>
        </w:rPr>
        <w:t>在本协议履行过程中，若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丙</w:t>
      </w:r>
      <w:r>
        <w:rPr>
          <w:rFonts w:hint="eastAsia" w:ascii="仿宋_GB2312" w:hAnsi="仿宋_GB2312" w:eastAsia="仿宋_GB2312" w:cs="仿宋_GB2312"/>
          <w:color w:val="000000" w:themeColor="text1"/>
          <w:sz w:val="32"/>
          <w:szCs w:val="32"/>
          <w:lang w:eastAsia="zh-CN"/>
          <w14:textFill>
            <w14:solidFill>
              <w14:schemeClr w14:val="tx1"/>
            </w14:solidFill>
          </w14:textFill>
        </w:rPr>
        <w:t>方自行或者根据中国政府相关部门的要求召回中选产品时，</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丙</w:t>
      </w:r>
      <w:r>
        <w:rPr>
          <w:rFonts w:hint="eastAsia" w:ascii="仿宋_GB2312" w:hAnsi="仿宋_GB2312" w:eastAsia="仿宋_GB2312" w:cs="仿宋_GB2312"/>
          <w:color w:val="000000" w:themeColor="text1"/>
          <w:sz w:val="32"/>
          <w:szCs w:val="32"/>
          <w:lang w:eastAsia="zh-CN"/>
          <w14:textFill>
            <w14:solidFill>
              <w14:schemeClr w14:val="tx1"/>
            </w14:solidFill>
          </w14:textFill>
        </w:rPr>
        <w:t>方应当及时通知甲、</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乙</w:t>
      </w:r>
      <w:r>
        <w:rPr>
          <w:rFonts w:hint="eastAsia" w:ascii="仿宋_GB2312" w:hAnsi="仿宋_GB2312" w:eastAsia="仿宋_GB2312" w:cs="仿宋_GB2312"/>
          <w:color w:val="000000" w:themeColor="text1"/>
          <w:sz w:val="32"/>
          <w:szCs w:val="32"/>
          <w:lang w:eastAsia="zh-CN"/>
          <w14:textFill>
            <w14:solidFill>
              <w14:schemeClr w14:val="tx1"/>
            </w14:solidFill>
          </w14:textFill>
        </w:rPr>
        <w:t>双方，作出相应说明。乙方、丙方应向甲方提供必要的协助配合。除非本次召回由</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乙</w:t>
      </w:r>
      <w:r>
        <w:rPr>
          <w:rFonts w:hint="eastAsia" w:ascii="仿宋_GB2312" w:hAnsi="仿宋_GB2312" w:eastAsia="仿宋_GB2312" w:cs="仿宋_GB2312"/>
          <w:color w:val="000000" w:themeColor="text1"/>
          <w:sz w:val="32"/>
          <w:szCs w:val="32"/>
          <w:lang w:eastAsia="zh-CN"/>
          <w14:textFill>
            <w14:solidFill>
              <w14:schemeClr w14:val="tx1"/>
            </w14:solidFill>
          </w14:textFill>
        </w:rPr>
        <w:t>方的过错造成，否则所有召回的中选产品均退回</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丙</w:t>
      </w:r>
      <w:r>
        <w:rPr>
          <w:rFonts w:hint="eastAsia" w:ascii="仿宋_GB2312" w:hAnsi="仿宋_GB2312" w:eastAsia="仿宋_GB2312" w:cs="仿宋_GB2312"/>
          <w:color w:val="000000" w:themeColor="text1"/>
          <w:sz w:val="32"/>
          <w:szCs w:val="32"/>
          <w:lang w:eastAsia="zh-CN"/>
          <w14:textFill>
            <w14:solidFill>
              <w14:schemeClr w14:val="tx1"/>
            </w14:solidFill>
          </w14:textFill>
        </w:rPr>
        <w:t>方，且因召回而产生的所有费用均由</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丙</w:t>
      </w:r>
      <w:r>
        <w:rPr>
          <w:rFonts w:hint="eastAsia" w:ascii="仿宋_GB2312" w:hAnsi="仿宋_GB2312" w:eastAsia="仿宋_GB2312" w:cs="仿宋_GB2312"/>
          <w:color w:val="000000" w:themeColor="text1"/>
          <w:sz w:val="32"/>
          <w:szCs w:val="32"/>
          <w:lang w:eastAsia="zh-CN"/>
          <w14:textFill>
            <w14:solidFill>
              <w14:schemeClr w14:val="tx1"/>
            </w14:solidFill>
          </w14:textFill>
        </w:rPr>
        <w:t>方承担。且无论在何种情形下，甲方均不负责承担任何因召回而产生的费用。</w:t>
      </w:r>
    </w:p>
    <w:p>
      <w:pPr>
        <w:pStyle w:val="30"/>
        <w:keepNext w:val="0"/>
        <w:keepLines w:val="0"/>
        <w:pageBreakBefore w:val="0"/>
        <w:widowControl w:val="0"/>
        <w:tabs>
          <w:tab w:val="left" w:pos="802"/>
        </w:tabs>
        <w:kinsoku/>
        <w:overflowPunct/>
        <w:topLinePunct w:val="0"/>
        <w:autoSpaceDE/>
        <w:autoSpaceDN/>
        <w:bidi w:val="0"/>
        <w:adjustRightInd w:val="0"/>
        <w:snapToGrid w:val="0"/>
        <w:spacing w:line="586" w:lineRule="exact"/>
        <w:ind w:left="0" w:right="0" w:rightChars="0" w:firstLine="622"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eastAsia="zh-CN"/>
          <w14:textFill>
            <w14:solidFill>
              <w14:schemeClr w14:val="tx1"/>
            </w14:solidFill>
          </w14:textFill>
        </w:rPr>
        <w:t>（2）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丙</w:t>
      </w:r>
      <w:r>
        <w:rPr>
          <w:rFonts w:hint="eastAsia" w:ascii="仿宋_GB2312" w:hAnsi="仿宋_GB2312" w:eastAsia="仿宋_GB2312" w:cs="仿宋_GB2312"/>
          <w:color w:val="000000" w:themeColor="text1"/>
          <w:sz w:val="32"/>
          <w:szCs w:val="32"/>
          <w:lang w:eastAsia="zh-CN"/>
          <w14:textFill>
            <w14:solidFill>
              <w14:schemeClr w14:val="tx1"/>
            </w14:solidFill>
          </w14:textFill>
        </w:rPr>
        <w:t>方在最终召回日期后的5个工作日内，根据实际召回数量向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乙</w:t>
      </w:r>
      <w:r>
        <w:rPr>
          <w:rFonts w:hint="eastAsia" w:ascii="仿宋_GB2312" w:hAnsi="仿宋_GB2312" w:eastAsia="仿宋_GB2312" w:cs="仿宋_GB2312"/>
          <w:color w:val="000000" w:themeColor="text1"/>
          <w:sz w:val="32"/>
          <w:szCs w:val="32"/>
          <w:lang w:eastAsia="zh-CN"/>
          <w14:textFill>
            <w14:solidFill>
              <w14:schemeClr w14:val="tx1"/>
            </w14:solidFill>
          </w14:textFill>
        </w:rPr>
        <w:t>方归还货款，</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丙</w:t>
      </w:r>
      <w:r>
        <w:rPr>
          <w:rFonts w:hint="eastAsia" w:ascii="仿宋_GB2312" w:hAnsi="仿宋_GB2312" w:eastAsia="仿宋_GB2312" w:cs="仿宋_GB2312"/>
          <w:color w:val="000000" w:themeColor="text1"/>
          <w:sz w:val="32"/>
          <w:szCs w:val="32"/>
          <w:lang w:eastAsia="zh-CN"/>
          <w14:textFill>
            <w14:solidFill>
              <w14:schemeClr w14:val="tx1"/>
            </w14:solidFill>
          </w14:textFill>
        </w:rPr>
        <w:t>方还应同时支付由此给</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乙</w:t>
      </w:r>
      <w:r>
        <w:rPr>
          <w:rFonts w:hint="eastAsia" w:ascii="仿宋_GB2312" w:hAnsi="仿宋_GB2312" w:eastAsia="仿宋_GB2312" w:cs="仿宋_GB2312"/>
          <w:color w:val="000000" w:themeColor="text1"/>
          <w:sz w:val="32"/>
          <w:szCs w:val="32"/>
          <w:lang w:eastAsia="zh-CN"/>
          <w14:textFill>
            <w14:solidFill>
              <w14:schemeClr w14:val="tx1"/>
            </w14:solidFill>
          </w14:textFill>
        </w:rPr>
        <w:t>方带来的其他费用，该费用包括但不限于：进口关税、进口环节其他费用、仓储保管费和运输费等。在此之后仍有中选产品被召回的，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丙</w:t>
      </w:r>
      <w:r>
        <w:rPr>
          <w:rFonts w:hint="eastAsia" w:ascii="仿宋_GB2312" w:hAnsi="仿宋_GB2312" w:eastAsia="仿宋_GB2312" w:cs="仿宋_GB2312"/>
          <w:color w:val="000000" w:themeColor="text1"/>
          <w:sz w:val="32"/>
          <w:szCs w:val="32"/>
          <w:lang w:eastAsia="zh-CN"/>
          <w14:textFill>
            <w14:solidFill>
              <w14:schemeClr w14:val="tx1"/>
            </w14:solidFill>
          </w14:textFill>
        </w:rPr>
        <w:t>方应按上述约定承担同样的责任。甲方亦有权直接向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丙</w:t>
      </w:r>
      <w:r>
        <w:rPr>
          <w:rFonts w:hint="eastAsia" w:ascii="仿宋_GB2312" w:hAnsi="仿宋_GB2312" w:eastAsia="仿宋_GB2312" w:cs="仿宋_GB2312"/>
          <w:color w:val="000000" w:themeColor="text1"/>
          <w:sz w:val="32"/>
          <w:szCs w:val="32"/>
          <w:lang w:eastAsia="zh-CN"/>
          <w14:textFill>
            <w14:solidFill>
              <w14:schemeClr w14:val="tx1"/>
            </w14:solidFill>
          </w14:textFill>
        </w:rPr>
        <w:t>方行使此项权利。</w:t>
      </w:r>
    </w:p>
    <w:p>
      <w:pPr>
        <w:pStyle w:val="30"/>
        <w:keepNext w:val="0"/>
        <w:keepLines w:val="0"/>
        <w:pageBreakBefore w:val="0"/>
        <w:widowControl w:val="0"/>
        <w:tabs>
          <w:tab w:val="left" w:pos="802"/>
        </w:tabs>
        <w:kinsoku/>
        <w:overflowPunct/>
        <w:topLinePunct w:val="0"/>
        <w:autoSpaceDE/>
        <w:autoSpaceDN/>
        <w:bidi w:val="0"/>
        <w:adjustRightInd w:val="0"/>
        <w:snapToGrid w:val="0"/>
        <w:spacing w:line="586" w:lineRule="exact"/>
        <w:ind w:left="0" w:right="0" w:rightChars="0" w:firstLine="622" w:firstLineChars="200"/>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十三、质量保证及检验</w:t>
      </w:r>
    </w:p>
    <w:p>
      <w:pPr>
        <w:pStyle w:val="30"/>
        <w:keepNext w:val="0"/>
        <w:keepLines w:val="0"/>
        <w:pageBreakBefore w:val="0"/>
        <w:widowControl w:val="0"/>
        <w:tabs>
          <w:tab w:val="left" w:pos="802"/>
        </w:tabs>
        <w:kinsoku/>
        <w:overflowPunct/>
        <w:topLinePunct w:val="0"/>
        <w:autoSpaceDE/>
        <w:autoSpaceDN/>
        <w:bidi w:val="0"/>
        <w:adjustRightInd w:val="0"/>
        <w:snapToGrid w:val="0"/>
        <w:spacing w:line="586" w:lineRule="exact"/>
        <w:ind w:left="0" w:right="0" w:rightChars="0" w:firstLine="622"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eastAsia="zh-CN"/>
          <w14:textFill>
            <w14:solidFill>
              <w14:schemeClr w14:val="tx1"/>
            </w14:solidFill>
          </w14:textFill>
        </w:rPr>
        <w:t>（1）</w:t>
      </w:r>
      <w:r>
        <w:rPr>
          <w:rFonts w:hint="eastAsia" w:ascii="仿宋_GB2312" w:hAnsi="仿宋_GB2312" w:eastAsia="仿宋_GB2312" w:cs="仿宋_GB2312"/>
          <w:color w:val="000000" w:themeColor="text1"/>
          <w:sz w:val="32"/>
          <w:szCs w:val="32"/>
          <w:lang w:eastAsia="zh-CN"/>
          <w14:textFill>
            <w14:solidFill>
              <w14:schemeClr w14:val="tx1"/>
            </w14:solidFill>
          </w14:textFill>
        </w:rPr>
        <w:t>按协议交付的耗材质量应符合药品监督管理部门规定的标准，并与中选时承诺的质量相一致，以确保临床使用安全有效。耗材的包装、标识、标签、说明书等应符合国家相关规定，并具备国家管理部门的相关批件。</w:t>
      </w:r>
    </w:p>
    <w:p>
      <w:pPr>
        <w:pStyle w:val="30"/>
        <w:keepNext w:val="0"/>
        <w:keepLines w:val="0"/>
        <w:pageBreakBefore w:val="0"/>
        <w:widowControl w:val="0"/>
        <w:tabs>
          <w:tab w:val="left" w:pos="802"/>
        </w:tabs>
        <w:kinsoku/>
        <w:overflowPunct/>
        <w:topLinePunct w:val="0"/>
        <w:autoSpaceDE/>
        <w:autoSpaceDN/>
        <w:bidi w:val="0"/>
        <w:adjustRightInd w:val="0"/>
        <w:snapToGrid w:val="0"/>
        <w:spacing w:line="586" w:lineRule="exact"/>
        <w:ind w:left="0" w:right="0" w:rightChars="0" w:firstLine="622"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eastAsia="zh-CN"/>
          <w14:textFill>
            <w14:solidFill>
              <w14:schemeClr w14:val="tx1"/>
            </w14:solidFill>
          </w14:textFill>
        </w:rPr>
        <w:t>（2）</w:t>
      </w:r>
      <w:r>
        <w:rPr>
          <w:rFonts w:hint="eastAsia" w:ascii="仿宋_GB2312" w:hAnsi="仿宋_GB2312" w:eastAsia="仿宋_GB2312" w:cs="仿宋_GB2312"/>
          <w:color w:val="000000" w:themeColor="text1"/>
          <w:sz w:val="32"/>
          <w:szCs w:val="32"/>
          <w:lang w:eastAsia="zh-CN"/>
          <w14:textFill>
            <w14:solidFill>
              <w14:schemeClr w14:val="tx1"/>
            </w14:solidFill>
          </w14:textFill>
        </w:rPr>
        <w:t>如果甲方确认需要进行耗材质量检验，应及时以书面形式把质量检验的具体要求通知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丙</w:t>
      </w:r>
      <w:r>
        <w:rPr>
          <w:rFonts w:hint="eastAsia" w:ascii="仿宋_GB2312" w:hAnsi="仿宋_GB2312" w:eastAsia="仿宋_GB2312" w:cs="仿宋_GB2312"/>
          <w:color w:val="000000" w:themeColor="text1"/>
          <w:sz w:val="32"/>
          <w:szCs w:val="32"/>
          <w:lang w:eastAsia="zh-CN"/>
          <w14:textFill>
            <w14:solidFill>
              <w14:schemeClr w14:val="tx1"/>
            </w14:solidFill>
          </w14:textFill>
        </w:rPr>
        <w:t>方。</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丙</w:t>
      </w:r>
      <w:r>
        <w:rPr>
          <w:rFonts w:hint="eastAsia" w:ascii="仿宋_GB2312" w:hAnsi="仿宋_GB2312" w:eastAsia="仿宋_GB2312" w:cs="仿宋_GB2312"/>
          <w:color w:val="000000" w:themeColor="text1"/>
          <w:sz w:val="32"/>
          <w:szCs w:val="32"/>
          <w:lang w:eastAsia="zh-CN"/>
          <w14:textFill>
            <w14:solidFill>
              <w14:schemeClr w14:val="tx1"/>
            </w14:solidFill>
          </w14:textFill>
        </w:rPr>
        <w:t>方应当同意配合甲方进行耗材质量检验，如果通过检验证明耗材存在质量问题，则进行耗材质量检验的费用由</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丙</w:t>
      </w:r>
      <w:r>
        <w:rPr>
          <w:rFonts w:hint="eastAsia" w:ascii="仿宋_GB2312" w:hAnsi="仿宋_GB2312" w:eastAsia="仿宋_GB2312" w:cs="仿宋_GB2312"/>
          <w:color w:val="000000" w:themeColor="text1"/>
          <w:sz w:val="32"/>
          <w:szCs w:val="32"/>
          <w:lang w:eastAsia="zh-CN"/>
          <w14:textFill>
            <w14:solidFill>
              <w14:schemeClr w14:val="tx1"/>
            </w14:solidFill>
          </w14:textFill>
        </w:rPr>
        <w:t>方承担。检验在交货的最终目的地进行。</w:t>
      </w:r>
    </w:p>
    <w:p>
      <w:pPr>
        <w:pStyle w:val="30"/>
        <w:keepNext w:val="0"/>
        <w:keepLines w:val="0"/>
        <w:pageBreakBefore w:val="0"/>
        <w:widowControl w:val="0"/>
        <w:tabs>
          <w:tab w:val="left" w:pos="802"/>
        </w:tabs>
        <w:kinsoku/>
        <w:overflowPunct/>
        <w:topLinePunct w:val="0"/>
        <w:autoSpaceDE/>
        <w:autoSpaceDN/>
        <w:bidi w:val="0"/>
        <w:adjustRightInd w:val="0"/>
        <w:snapToGrid w:val="0"/>
        <w:spacing w:line="586" w:lineRule="exact"/>
        <w:ind w:left="0" w:right="0" w:rightChars="0" w:firstLine="622"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eastAsia="zh-CN"/>
          <w14:textFill>
            <w14:solidFill>
              <w14:schemeClr w14:val="tx1"/>
            </w14:solidFill>
          </w14:textFill>
        </w:rPr>
        <w:t>（3）</w:t>
      </w:r>
      <w:r>
        <w:rPr>
          <w:rFonts w:hint="eastAsia" w:ascii="仿宋_GB2312" w:hAnsi="仿宋_GB2312" w:eastAsia="仿宋_GB2312" w:cs="仿宋_GB2312"/>
          <w:color w:val="000000" w:themeColor="text1"/>
          <w:sz w:val="32"/>
          <w:szCs w:val="32"/>
          <w:lang w:eastAsia="zh-CN"/>
          <w14:textFill>
            <w14:solidFill>
              <w14:schemeClr w14:val="tx1"/>
            </w14:solidFill>
          </w14:textFill>
        </w:rPr>
        <w:t>质量检验按照符合药品监督管理部门的规定。</w:t>
      </w:r>
    </w:p>
    <w:p>
      <w:pPr>
        <w:pStyle w:val="30"/>
        <w:keepNext w:val="0"/>
        <w:keepLines w:val="0"/>
        <w:pageBreakBefore w:val="0"/>
        <w:widowControl w:val="0"/>
        <w:tabs>
          <w:tab w:val="left" w:pos="802"/>
        </w:tabs>
        <w:kinsoku/>
        <w:overflowPunct/>
        <w:topLinePunct w:val="0"/>
        <w:autoSpaceDE/>
        <w:autoSpaceDN/>
        <w:bidi w:val="0"/>
        <w:adjustRightInd w:val="0"/>
        <w:snapToGrid w:val="0"/>
        <w:spacing w:line="586" w:lineRule="exact"/>
        <w:ind w:left="0" w:right="0" w:rightChars="0" w:firstLine="622"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eastAsia="zh-CN"/>
          <w14:textFill>
            <w14:solidFill>
              <w14:schemeClr w14:val="tx1"/>
            </w14:solidFill>
          </w14:textFill>
        </w:rPr>
        <w:t>（4）</w:t>
      </w:r>
      <w:r>
        <w:rPr>
          <w:rFonts w:hint="eastAsia" w:ascii="仿宋_GB2312" w:hAnsi="仿宋_GB2312" w:eastAsia="仿宋_GB2312" w:cs="仿宋_GB2312"/>
          <w:color w:val="000000" w:themeColor="text1"/>
          <w:sz w:val="32"/>
          <w:szCs w:val="32"/>
          <w:lang w:eastAsia="zh-CN"/>
          <w14:textFill>
            <w14:solidFill>
              <w14:schemeClr w14:val="tx1"/>
            </w14:solidFill>
          </w14:textFill>
        </w:rPr>
        <w:t>甲方在接收耗材时，应对耗材进行验货确认，对不符合协议要求或质量要求的，甲方有权拒绝接受。</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丙</w:t>
      </w:r>
      <w:r>
        <w:rPr>
          <w:rFonts w:hint="eastAsia" w:ascii="仿宋_GB2312" w:hAnsi="仿宋_GB2312" w:eastAsia="仿宋_GB2312" w:cs="仿宋_GB2312"/>
          <w:color w:val="000000" w:themeColor="text1"/>
          <w:sz w:val="32"/>
          <w:szCs w:val="32"/>
          <w:lang w:eastAsia="zh-CN"/>
          <w14:textFill>
            <w14:solidFill>
              <w14:schemeClr w14:val="tx1"/>
            </w14:solidFill>
          </w14:textFill>
        </w:rPr>
        <w:t>方应及时更换被拒绝的耗材，不得影响甲方的临床使用。甲方对耗材验货并予以确认的行为，并不影响甲方依据前款约定通知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丙</w:t>
      </w:r>
      <w:r>
        <w:rPr>
          <w:rFonts w:hint="eastAsia" w:ascii="仿宋_GB2312" w:hAnsi="仿宋_GB2312" w:eastAsia="仿宋_GB2312" w:cs="仿宋_GB2312"/>
          <w:color w:val="000000" w:themeColor="text1"/>
          <w:sz w:val="32"/>
          <w:szCs w:val="32"/>
          <w:lang w:eastAsia="zh-CN"/>
          <w14:textFill>
            <w14:solidFill>
              <w14:schemeClr w14:val="tx1"/>
            </w14:solidFill>
          </w14:textFill>
        </w:rPr>
        <w:t>方对耗材质量进行检验的权利。</w:t>
      </w:r>
    </w:p>
    <w:p>
      <w:pPr>
        <w:pStyle w:val="30"/>
        <w:keepNext w:val="0"/>
        <w:keepLines w:val="0"/>
        <w:pageBreakBefore w:val="0"/>
        <w:widowControl w:val="0"/>
        <w:tabs>
          <w:tab w:val="left" w:pos="802"/>
        </w:tabs>
        <w:kinsoku/>
        <w:overflowPunct/>
        <w:topLinePunct w:val="0"/>
        <w:autoSpaceDE/>
        <w:autoSpaceDN/>
        <w:bidi w:val="0"/>
        <w:adjustRightInd w:val="0"/>
        <w:snapToGrid w:val="0"/>
        <w:spacing w:line="586" w:lineRule="exact"/>
        <w:ind w:left="0" w:right="0" w:rightChars="0" w:firstLine="622"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eastAsia="zh-CN"/>
          <w14:textFill>
            <w14:solidFill>
              <w14:schemeClr w14:val="tx1"/>
            </w14:solidFill>
          </w14:textFill>
        </w:rPr>
        <w:t>（5）</w:t>
      </w:r>
      <w:r>
        <w:rPr>
          <w:rFonts w:hint="eastAsia" w:ascii="仿宋_GB2312" w:hAnsi="仿宋_GB2312" w:eastAsia="仿宋_GB2312" w:cs="仿宋_GB2312"/>
          <w:color w:val="000000" w:themeColor="text1"/>
          <w:sz w:val="32"/>
          <w:szCs w:val="32"/>
          <w:lang w:eastAsia="zh-CN"/>
          <w14:textFill>
            <w14:solidFill>
              <w14:schemeClr w14:val="tx1"/>
            </w14:solidFill>
          </w14:textFill>
        </w:rPr>
        <w:t>若遇到药品监督管理部门对中选产品进行耗材质量抽样检查，按相关要求执行。</w:t>
      </w:r>
    </w:p>
    <w:p>
      <w:pPr>
        <w:pStyle w:val="30"/>
        <w:keepNext w:val="0"/>
        <w:keepLines w:val="0"/>
        <w:pageBreakBefore w:val="0"/>
        <w:widowControl w:val="0"/>
        <w:tabs>
          <w:tab w:val="left" w:pos="802"/>
        </w:tabs>
        <w:kinsoku/>
        <w:overflowPunct/>
        <w:topLinePunct w:val="0"/>
        <w:autoSpaceDE/>
        <w:autoSpaceDN/>
        <w:bidi w:val="0"/>
        <w:adjustRightInd w:val="0"/>
        <w:snapToGrid w:val="0"/>
        <w:spacing w:line="586" w:lineRule="exact"/>
        <w:ind w:left="0" w:right="0" w:rightChars="0" w:firstLine="622"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eastAsia="zh-CN"/>
          <w14:textFill>
            <w14:solidFill>
              <w14:schemeClr w14:val="tx1"/>
            </w14:solidFill>
          </w14:textFill>
        </w:rPr>
        <w:t>（6）</w:t>
      </w:r>
      <w:r>
        <w:rPr>
          <w:rFonts w:hint="eastAsia" w:ascii="仿宋_GB2312" w:hAnsi="仿宋_GB2312" w:eastAsia="仿宋_GB2312" w:cs="仿宋_GB2312"/>
          <w:color w:val="000000" w:themeColor="text1"/>
          <w:sz w:val="32"/>
          <w:szCs w:val="32"/>
          <w:lang w:eastAsia="zh-CN"/>
          <w14:textFill>
            <w14:solidFill>
              <w14:schemeClr w14:val="tx1"/>
            </w14:solidFill>
          </w14:textFill>
        </w:rPr>
        <w:t>甲方如果发现耗材存在质量问题，需在3日内报行政主管部门备案。甲方有权与相关行政管理部门共同决定在候选中选耗材中选择替代耗材，并对涉及相关方按相关法律法规及采购文件的规定予以处罚。上述决定必须事先告知并接受书面申诉。</w:t>
      </w:r>
    </w:p>
    <w:p>
      <w:pPr>
        <w:pStyle w:val="30"/>
        <w:keepNext w:val="0"/>
        <w:keepLines w:val="0"/>
        <w:pageBreakBefore w:val="0"/>
        <w:widowControl w:val="0"/>
        <w:tabs>
          <w:tab w:val="left" w:pos="802"/>
        </w:tabs>
        <w:kinsoku/>
        <w:overflowPunct/>
        <w:topLinePunct w:val="0"/>
        <w:autoSpaceDE/>
        <w:autoSpaceDN/>
        <w:bidi w:val="0"/>
        <w:adjustRightInd w:val="0"/>
        <w:snapToGrid w:val="0"/>
        <w:spacing w:line="586" w:lineRule="exact"/>
        <w:ind w:left="0" w:right="0" w:rightChars="0" w:firstLine="622"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eastAsia="zh-CN"/>
          <w14:textFill>
            <w14:solidFill>
              <w14:schemeClr w14:val="tx1"/>
            </w14:solidFill>
          </w14:textFill>
        </w:rPr>
        <w:t>（7）</w:t>
      </w:r>
      <w:r>
        <w:rPr>
          <w:rFonts w:hint="eastAsia" w:ascii="仿宋_GB2312" w:hAnsi="仿宋_GB2312" w:eastAsia="仿宋_GB2312" w:cs="仿宋_GB2312"/>
          <w:color w:val="000000" w:themeColor="text1"/>
          <w:sz w:val="32"/>
          <w:szCs w:val="32"/>
          <w:lang w:eastAsia="zh-CN"/>
          <w14:textFill>
            <w14:solidFill>
              <w14:schemeClr w14:val="tx1"/>
            </w14:solidFill>
          </w14:textFill>
        </w:rPr>
        <w:t>如产品经检验，确实出现质量问题，</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丙</w:t>
      </w:r>
      <w:r>
        <w:rPr>
          <w:rFonts w:hint="eastAsia" w:ascii="仿宋_GB2312" w:hAnsi="仿宋_GB2312" w:eastAsia="仿宋_GB2312" w:cs="仿宋_GB2312"/>
          <w:color w:val="000000" w:themeColor="text1"/>
          <w:sz w:val="32"/>
          <w:szCs w:val="32"/>
          <w:lang w:eastAsia="zh-CN"/>
          <w14:textFill>
            <w14:solidFill>
              <w14:schemeClr w14:val="tx1"/>
            </w14:solidFill>
          </w14:textFill>
        </w:rPr>
        <w:t>方还应向甲方给付全部有问题产品的双倍货款作为违约金，且</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丙</w:t>
      </w:r>
      <w:r>
        <w:rPr>
          <w:rFonts w:hint="eastAsia" w:ascii="仿宋_GB2312" w:hAnsi="仿宋_GB2312" w:eastAsia="仿宋_GB2312" w:cs="仿宋_GB2312"/>
          <w:color w:val="000000" w:themeColor="text1"/>
          <w:sz w:val="32"/>
          <w:szCs w:val="32"/>
          <w:lang w:eastAsia="zh-CN"/>
          <w14:textFill>
            <w14:solidFill>
              <w14:schemeClr w14:val="tx1"/>
            </w14:solidFill>
          </w14:textFill>
        </w:rPr>
        <w:t>方不得以耗材已被验收合格作为抗辩理由。</w:t>
      </w:r>
    </w:p>
    <w:p>
      <w:pPr>
        <w:pStyle w:val="30"/>
        <w:keepNext w:val="0"/>
        <w:keepLines w:val="0"/>
        <w:pageBreakBefore w:val="0"/>
        <w:widowControl w:val="0"/>
        <w:tabs>
          <w:tab w:val="left" w:pos="802"/>
        </w:tabs>
        <w:kinsoku/>
        <w:overflowPunct/>
        <w:topLinePunct w:val="0"/>
        <w:autoSpaceDE/>
        <w:autoSpaceDN/>
        <w:bidi w:val="0"/>
        <w:adjustRightInd w:val="0"/>
        <w:snapToGrid w:val="0"/>
        <w:spacing w:line="586" w:lineRule="exact"/>
        <w:ind w:left="0" w:right="0" w:rightChars="0" w:firstLine="622" w:firstLineChars="200"/>
        <w:textAlignment w:val="auto"/>
        <w:rPr>
          <w:color w:val="000000" w:themeColor="text1"/>
          <w:sz w:val="32"/>
          <w:szCs w:val="32"/>
          <w:lang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十四、履约延误</w:t>
      </w:r>
    </w:p>
    <w:p>
      <w:pPr>
        <w:pStyle w:val="30"/>
        <w:keepNext w:val="0"/>
        <w:keepLines w:val="0"/>
        <w:pageBreakBefore w:val="0"/>
        <w:widowControl w:val="0"/>
        <w:tabs>
          <w:tab w:val="left" w:pos="802"/>
        </w:tabs>
        <w:kinsoku/>
        <w:overflowPunct/>
        <w:topLinePunct w:val="0"/>
        <w:autoSpaceDE/>
        <w:autoSpaceDN/>
        <w:bidi w:val="0"/>
        <w:adjustRightInd w:val="0"/>
        <w:snapToGrid w:val="0"/>
        <w:spacing w:line="586" w:lineRule="exact"/>
        <w:ind w:left="0" w:right="0" w:rightChars="0" w:firstLine="622"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eastAsia="zh-CN"/>
          <w14:textFill>
            <w14:solidFill>
              <w14:schemeClr w14:val="tx1"/>
            </w14:solidFill>
          </w14:textFill>
        </w:rPr>
        <w:t>（1）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乙</w:t>
      </w:r>
      <w:r>
        <w:rPr>
          <w:rFonts w:hint="eastAsia" w:ascii="仿宋_GB2312" w:hAnsi="仿宋_GB2312" w:eastAsia="仿宋_GB2312" w:cs="仿宋_GB2312"/>
          <w:color w:val="000000" w:themeColor="text1"/>
          <w:sz w:val="32"/>
          <w:szCs w:val="32"/>
          <w:lang w:eastAsia="zh-CN"/>
          <w14:textFill>
            <w14:solidFill>
              <w14:schemeClr w14:val="tx1"/>
            </w14:solidFill>
          </w14:textFill>
        </w:rPr>
        <w:t>方应按照甲方规定的时间配送耗材并提供伴随服务。</w:t>
      </w:r>
    </w:p>
    <w:p>
      <w:pPr>
        <w:pStyle w:val="30"/>
        <w:keepNext w:val="0"/>
        <w:keepLines w:val="0"/>
        <w:pageBreakBefore w:val="0"/>
        <w:widowControl w:val="0"/>
        <w:tabs>
          <w:tab w:val="left" w:pos="802"/>
        </w:tabs>
        <w:kinsoku/>
        <w:overflowPunct/>
        <w:topLinePunct w:val="0"/>
        <w:autoSpaceDE/>
        <w:autoSpaceDN/>
        <w:bidi w:val="0"/>
        <w:adjustRightInd w:val="0"/>
        <w:snapToGrid w:val="0"/>
        <w:spacing w:line="586" w:lineRule="exact"/>
        <w:ind w:left="0" w:right="0" w:rightChars="0" w:firstLine="622"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eastAsia="zh-CN"/>
          <w14:textFill>
            <w14:solidFill>
              <w14:schemeClr w14:val="tx1"/>
            </w14:solidFill>
          </w14:textFill>
        </w:rPr>
        <w:t>（2）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在履行协议的过程中，如果乙方、丙方遇到妨碍按时配送耗材和提供伴随服务的情况时，应及时以书面形式将拖延的事实、可能拖延的时间和原因以书面形式通知甲方。甲方在收到通知后，应尽快对情况进行核实，并确定是否同意酌情延长交货时间以及是否收取违约金或终止协议。延期应通过补充协议的方式由甲、乙、丙三方认可并重新签署。</w:t>
      </w:r>
    </w:p>
    <w:p>
      <w:pPr>
        <w:pStyle w:val="30"/>
        <w:keepNext w:val="0"/>
        <w:keepLines w:val="0"/>
        <w:pageBreakBefore w:val="0"/>
        <w:widowControl w:val="0"/>
        <w:tabs>
          <w:tab w:val="left" w:pos="802"/>
        </w:tabs>
        <w:kinsoku/>
        <w:overflowPunct/>
        <w:topLinePunct w:val="0"/>
        <w:autoSpaceDE/>
        <w:autoSpaceDN/>
        <w:bidi w:val="0"/>
        <w:adjustRightInd w:val="0"/>
        <w:snapToGrid w:val="0"/>
        <w:spacing w:line="586" w:lineRule="exact"/>
        <w:ind w:left="0" w:right="0" w:rightChars="0" w:firstLine="622"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eastAsia="zh-CN"/>
          <w14:textFill>
            <w14:solidFill>
              <w14:schemeClr w14:val="tx1"/>
            </w14:solidFill>
          </w14:textFill>
        </w:rPr>
        <w:t>（3）</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如丙方、乙方无正当理由拖延交货，则甲方有权要求乙方或丙方承担误期赔偿费或终止协议等违约责任。</w:t>
      </w:r>
    </w:p>
    <w:p>
      <w:pPr>
        <w:pStyle w:val="30"/>
        <w:keepNext w:val="0"/>
        <w:keepLines w:val="0"/>
        <w:pageBreakBefore w:val="0"/>
        <w:widowControl w:val="0"/>
        <w:tabs>
          <w:tab w:val="left" w:pos="802"/>
        </w:tabs>
        <w:kinsoku/>
        <w:overflowPunct/>
        <w:topLinePunct w:val="0"/>
        <w:autoSpaceDE/>
        <w:autoSpaceDN/>
        <w:bidi w:val="0"/>
        <w:adjustRightInd w:val="0"/>
        <w:snapToGrid w:val="0"/>
        <w:spacing w:line="586" w:lineRule="exact"/>
        <w:ind w:left="0" w:right="0" w:rightChars="0" w:firstLine="622" w:firstLineChars="200"/>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十五、误期赔偿</w:t>
      </w:r>
    </w:p>
    <w:p>
      <w:pPr>
        <w:pStyle w:val="30"/>
        <w:keepNext w:val="0"/>
        <w:keepLines w:val="0"/>
        <w:pageBreakBefore w:val="0"/>
        <w:widowControl w:val="0"/>
        <w:tabs>
          <w:tab w:val="left" w:pos="802"/>
        </w:tabs>
        <w:kinsoku/>
        <w:overflowPunct/>
        <w:topLinePunct w:val="0"/>
        <w:autoSpaceDE/>
        <w:autoSpaceDN/>
        <w:bidi w:val="0"/>
        <w:adjustRightInd w:val="0"/>
        <w:snapToGrid w:val="0"/>
        <w:spacing w:line="586" w:lineRule="exact"/>
        <w:ind w:left="0" w:right="0" w:rightChars="0" w:firstLine="622"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eastAsia="zh-CN"/>
          <w14:textFill>
            <w14:solidFill>
              <w14:schemeClr w14:val="tx1"/>
            </w14:solidFill>
          </w14:textFill>
        </w:rPr>
        <w:t>（1）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除本协议条款第14条规定的情况外，如果乙方、丙方没有按照协议规定的时间配送耗材并提供伴随服务，则甲方有权要求乙方、丙方承担误期赔偿费，具体标准由甲、乙、丙三方协商确定。</w:t>
      </w:r>
    </w:p>
    <w:p>
      <w:pPr>
        <w:pStyle w:val="30"/>
        <w:keepNext w:val="0"/>
        <w:keepLines w:val="0"/>
        <w:pageBreakBefore w:val="0"/>
        <w:widowControl w:val="0"/>
        <w:tabs>
          <w:tab w:val="left" w:pos="802"/>
        </w:tabs>
        <w:kinsoku/>
        <w:overflowPunct/>
        <w:topLinePunct w:val="0"/>
        <w:autoSpaceDE/>
        <w:autoSpaceDN/>
        <w:bidi w:val="0"/>
        <w:adjustRightInd w:val="0"/>
        <w:snapToGrid w:val="0"/>
        <w:spacing w:line="586" w:lineRule="exact"/>
        <w:ind w:left="0" w:right="0" w:rightChars="0" w:firstLine="622"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eastAsia="zh-CN"/>
          <w14:textFill>
            <w14:solidFill>
              <w14:schemeClr w14:val="tx1"/>
            </w14:solidFill>
          </w14:textFill>
        </w:rPr>
        <w:t>（2）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乙方、丙方在支付误期赔偿费后，如协议未被终止，则乙方、丙方还应当继续履行其在本协议下应尽的各项义务。</w:t>
      </w:r>
    </w:p>
    <w:p>
      <w:pPr>
        <w:pStyle w:val="30"/>
        <w:keepNext w:val="0"/>
        <w:keepLines w:val="0"/>
        <w:pageBreakBefore w:val="0"/>
        <w:widowControl w:val="0"/>
        <w:tabs>
          <w:tab w:val="left" w:pos="802"/>
        </w:tabs>
        <w:kinsoku/>
        <w:overflowPunct/>
        <w:topLinePunct w:val="0"/>
        <w:autoSpaceDE/>
        <w:autoSpaceDN/>
        <w:bidi w:val="0"/>
        <w:adjustRightInd w:val="0"/>
        <w:snapToGrid w:val="0"/>
        <w:spacing w:line="586" w:lineRule="exact"/>
        <w:ind w:left="0" w:right="0" w:rightChars="0" w:firstLine="622" w:firstLineChars="200"/>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十六、甲方逾期付款的责任</w:t>
      </w:r>
    </w:p>
    <w:p>
      <w:pPr>
        <w:pStyle w:val="30"/>
        <w:keepNext w:val="0"/>
        <w:keepLines w:val="0"/>
        <w:pageBreakBefore w:val="0"/>
        <w:widowControl w:val="0"/>
        <w:tabs>
          <w:tab w:val="left" w:pos="802"/>
        </w:tabs>
        <w:kinsoku/>
        <w:overflowPunct/>
        <w:topLinePunct w:val="0"/>
        <w:autoSpaceDE/>
        <w:autoSpaceDN/>
        <w:bidi w:val="0"/>
        <w:adjustRightInd w:val="0"/>
        <w:snapToGrid w:val="0"/>
        <w:spacing w:line="586" w:lineRule="exact"/>
        <w:ind w:left="0" w:right="0" w:rightChars="0" w:firstLine="622"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在乙丙双方无违约行为且甲方对所供应的耗材确认验收合格的前提下，如甲方未按协议的规定按时结算货款，乙方有权要求甲方支付违约金并承担相应的违约责任直至终止协议。</w:t>
      </w:r>
    </w:p>
    <w:p>
      <w:pPr>
        <w:pStyle w:val="30"/>
        <w:keepNext w:val="0"/>
        <w:keepLines w:val="0"/>
        <w:pageBreakBefore w:val="0"/>
        <w:widowControl w:val="0"/>
        <w:tabs>
          <w:tab w:val="left" w:pos="802"/>
        </w:tabs>
        <w:kinsoku/>
        <w:overflowPunct/>
        <w:topLinePunct w:val="0"/>
        <w:autoSpaceDE/>
        <w:autoSpaceDN/>
        <w:bidi w:val="0"/>
        <w:adjustRightInd w:val="0"/>
        <w:snapToGrid w:val="0"/>
        <w:spacing w:line="586" w:lineRule="exact"/>
        <w:ind w:left="0" w:right="0" w:rightChars="0" w:firstLine="622" w:firstLineChars="200"/>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十七、不可抗力</w:t>
      </w:r>
    </w:p>
    <w:p>
      <w:pPr>
        <w:pStyle w:val="30"/>
        <w:keepNext w:val="0"/>
        <w:keepLines w:val="0"/>
        <w:pageBreakBefore w:val="0"/>
        <w:widowControl w:val="0"/>
        <w:tabs>
          <w:tab w:val="left" w:pos="802"/>
        </w:tabs>
        <w:kinsoku/>
        <w:overflowPunct/>
        <w:topLinePunct w:val="0"/>
        <w:autoSpaceDE/>
        <w:autoSpaceDN/>
        <w:bidi w:val="0"/>
        <w:adjustRightInd w:val="0"/>
        <w:snapToGrid w:val="0"/>
        <w:spacing w:line="586" w:lineRule="exact"/>
        <w:ind w:left="0" w:right="0" w:rightChars="0" w:firstLine="622"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eastAsia="zh-CN"/>
          <w14:textFill>
            <w14:solidFill>
              <w14:schemeClr w14:val="tx1"/>
            </w14:solidFill>
          </w14:textFill>
        </w:rPr>
        <w:t>（1）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协议当事人因不可抗力而导致协议实施延误或不能履行协议义务的，不应该承担误期赔偿或终止协议的责任。</w:t>
      </w:r>
    </w:p>
    <w:p>
      <w:pPr>
        <w:pStyle w:val="30"/>
        <w:keepNext w:val="0"/>
        <w:keepLines w:val="0"/>
        <w:pageBreakBefore w:val="0"/>
        <w:widowControl w:val="0"/>
        <w:tabs>
          <w:tab w:val="left" w:pos="802"/>
        </w:tabs>
        <w:kinsoku/>
        <w:overflowPunct/>
        <w:topLinePunct w:val="0"/>
        <w:autoSpaceDE/>
        <w:autoSpaceDN/>
        <w:bidi w:val="0"/>
        <w:adjustRightInd w:val="0"/>
        <w:snapToGrid w:val="0"/>
        <w:spacing w:line="586" w:lineRule="exact"/>
        <w:ind w:left="0" w:right="0" w:rightChars="0" w:firstLine="622"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eastAsia="zh-CN"/>
          <w14:textFill>
            <w14:solidFill>
              <w14:schemeClr w14:val="tx1"/>
            </w14:solidFill>
          </w14:textFill>
        </w:rPr>
        <w:t>（2）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本条所述的“不可抗力”系指协议当事人无法控制、不可预见的事件，但不包括协议当事人的违约或疏忽。这些事件包括但不限于：</w:t>
      </w:r>
    </w:p>
    <w:p>
      <w:pPr>
        <w:pStyle w:val="30"/>
        <w:keepNext w:val="0"/>
        <w:keepLines w:val="0"/>
        <w:pageBreakBefore w:val="0"/>
        <w:widowControl w:val="0"/>
        <w:tabs>
          <w:tab w:val="left" w:pos="802"/>
        </w:tabs>
        <w:kinsoku/>
        <w:overflowPunct/>
        <w:topLinePunct w:val="0"/>
        <w:autoSpaceDE/>
        <w:autoSpaceDN/>
        <w:bidi w:val="0"/>
        <w:adjustRightInd w:val="0"/>
        <w:snapToGrid w:val="0"/>
        <w:spacing w:line="586" w:lineRule="exact"/>
        <w:ind w:left="0" w:right="0" w:rightChars="0" w:firstLine="622"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①战争、严重火灾、洪水、台风、地震、疫情；</w:t>
      </w:r>
    </w:p>
    <w:p>
      <w:pPr>
        <w:pStyle w:val="30"/>
        <w:keepNext w:val="0"/>
        <w:keepLines w:val="0"/>
        <w:pageBreakBefore w:val="0"/>
        <w:widowControl w:val="0"/>
        <w:tabs>
          <w:tab w:val="left" w:pos="802"/>
        </w:tabs>
        <w:kinsoku/>
        <w:overflowPunct/>
        <w:topLinePunct w:val="0"/>
        <w:autoSpaceDE/>
        <w:autoSpaceDN/>
        <w:bidi w:val="0"/>
        <w:adjustRightInd w:val="0"/>
        <w:snapToGrid w:val="0"/>
        <w:spacing w:line="586" w:lineRule="exact"/>
        <w:ind w:left="0" w:right="0" w:rightChars="0" w:firstLine="622"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②集中带量采购政策的调整；</w:t>
      </w:r>
    </w:p>
    <w:p>
      <w:pPr>
        <w:pStyle w:val="30"/>
        <w:keepNext w:val="0"/>
        <w:keepLines w:val="0"/>
        <w:pageBreakBefore w:val="0"/>
        <w:widowControl w:val="0"/>
        <w:tabs>
          <w:tab w:val="left" w:pos="802"/>
        </w:tabs>
        <w:kinsoku/>
        <w:overflowPunct/>
        <w:topLinePunct w:val="0"/>
        <w:autoSpaceDE/>
        <w:autoSpaceDN/>
        <w:bidi w:val="0"/>
        <w:adjustRightInd w:val="0"/>
        <w:snapToGrid w:val="0"/>
        <w:spacing w:line="586" w:lineRule="exact"/>
        <w:ind w:left="0" w:right="0" w:rightChars="0" w:firstLine="622"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③甲、乙、丙三方商定的事件。</w:t>
      </w:r>
    </w:p>
    <w:p>
      <w:pPr>
        <w:pStyle w:val="30"/>
        <w:keepNext w:val="0"/>
        <w:keepLines w:val="0"/>
        <w:pageBreakBefore w:val="0"/>
        <w:widowControl w:val="0"/>
        <w:tabs>
          <w:tab w:val="left" w:pos="802"/>
        </w:tabs>
        <w:kinsoku/>
        <w:overflowPunct/>
        <w:topLinePunct w:val="0"/>
        <w:autoSpaceDE/>
        <w:autoSpaceDN/>
        <w:bidi w:val="0"/>
        <w:adjustRightInd w:val="0"/>
        <w:snapToGrid w:val="0"/>
        <w:spacing w:line="586" w:lineRule="exact"/>
        <w:ind w:left="0" w:right="0" w:rightChars="0" w:firstLine="622"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eastAsia="zh-CN"/>
          <w14:textFill>
            <w14:solidFill>
              <w14:schemeClr w14:val="tx1"/>
            </w14:solidFill>
          </w14:textFill>
        </w:rPr>
        <w:t>（3）</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在不可抗力事件发生后，协议当事人应尽快以书面形式将不可抗力的情况和原因通知其他各方当事人，并应在事件发生后15日内，提供不可抗力详情及协议不能履行、或者部分不能履行、或者延期履行的理由的有效证明文件，此项证明文件应有不可抗力发生地区的公证机构出具。除其他各方当事人另行要求外，协议当事人应尽实际可能继续履行协议义务，以及寻求采取合理的方案履行不受不可抗力影响的其他事项。不可抗力事件影响消除后，甲、乙、丙三方可通过协商在合理的时间内达成进一步履行协议的法律文件。</w:t>
      </w:r>
    </w:p>
    <w:p>
      <w:pPr>
        <w:pStyle w:val="30"/>
        <w:keepNext w:val="0"/>
        <w:keepLines w:val="0"/>
        <w:pageBreakBefore w:val="0"/>
        <w:widowControl w:val="0"/>
        <w:tabs>
          <w:tab w:val="left" w:pos="802"/>
        </w:tabs>
        <w:kinsoku/>
        <w:overflowPunct/>
        <w:topLinePunct w:val="0"/>
        <w:autoSpaceDE/>
        <w:autoSpaceDN/>
        <w:bidi w:val="0"/>
        <w:adjustRightInd w:val="0"/>
        <w:snapToGrid w:val="0"/>
        <w:spacing w:line="586" w:lineRule="exact"/>
        <w:ind w:left="0" w:right="0" w:rightChars="0" w:firstLine="622" w:firstLineChars="200"/>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十八、争议的解决</w:t>
      </w:r>
    </w:p>
    <w:p>
      <w:pPr>
        <w:pStyle w:val="30"/>
        <w:keepNext w:val="0"/>
        <w:keepLines w:val="0"/>
        <w:pageBreakBefore w:val="0"/>
        <w:widowControl w:val="0"/>
        <w:tabs>
          <w:tab w:val="left" w:pos="802"/>
        </w:tabs>
        <w:kinsoku/>
        <w:overflowPunct/>
        <w:topLinePunct w:val="0"/>
        <w:autoSpaceDE/>
        <w:autoSpaceDN/>
        <w:bidi w:val="0"/>
        <w:adjustRightInd w:val="0"/>
        <w:snapToGrid w:val="0"/>
        <w:spacing w:line="586" w:lineRule="exact"/>
        <w:ind w:left="0" w:right="0" w:rightChars="0" w:firstLine="622"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甲方有权督促乙方、丙方严格履行协议义务，并追究乙方、丙方的违约责任。如果甲方发生违约行为，应当承担违约责任。</w:t>
      </w:r>
    </w:p>
    <w:p>
      <w:pPr>
        <w:pStyle w:val="30"/>
        <w:keepNext w:val="0"/>
        <w:keepLines w:val="0"/>
        <w:pageBreakBefore w:val="0"/>
        <w:widowControl w:val="0"/>
        <w:tabs>
          <w:tab w:val="left" w:pos="802"/>
        </w:tabs>
        <w:kinsoku/>
        <w:overflowPunct/>
        <w:topLinePunct w:val="0"/>
        <w:autoSpaceDE/>
        <w:autoSpaceDN/>
        <w:bidi w:val="0"/>
        <w:adjustRightInd w:val="0"/>
        <w:snapToGrid w:val="0"/>
        <w:spacing w:line="586" w:lineRule="exact"/>
        <w:ind w:left="0" w:right="0" w:rightChars="0" w:firstLine="622" w:firstLineChars="200"/>
        <w:textAlignment w:val="auto"/>
        <w:rPr>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因协议引起的或与本协议有关的任何争议，由三方当事人协商解决；也可以向有关部门申请调解。协商或调解不成的，任何一方当事人均可依照有关法律向甲方所在地的人民法院起诉。</w:t>
      </w:r>
    </w:p>
    <w:p>
      <w:pPr>
        <w:pStyle w:val="30"/>
        <w:keepNext w:val="0"/>
        <w:keepLines w:val="0"/>
        <w:pageBreakBefore w:val="0"/>
        <w:widowControl w:val="0"/>
        <w:tabs>
          <w:tab w:val="left" w:pos="802"/>
        </w:tabs>
        <w:kinsoku/>
        <w:overflowPunct/>
        <w:topLinePunct w:val="0"/>
        <w:autoSpaceDE/>
        <w:autoSpaceDN/>
        <w:bidi w:val="0"/>
        <w:adjustRightInd w:val="0"/>
        <w:snapToGrid w:val="0"/>
        <w:spacing w:line="586" w:lineRule="exact"/>
        <w:ind w:left="0" w:right="0" w:rightChars="0" w:firstLine="622" w:firstLineChars="200"/>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十九、协议的终止</w:t>
      </w:r>
    </w:p>
    <w:p>
      <w:pPr>
        <w:pStyle w:val="30"/>
        <w:keepNext w:val="0"/>
        <w:keepLines w:val="0"/>
        <w:pageBreakBefore w:val="0"/>
        <w:widowControl w:val="0"/>
        <w:tabs>
          <w:tab w:val="left" w:pos="802"/>
        </w:tabs>
        <w:kinsoku/>
        <w:overflowPunct/>
        <w:topLinePunct w:val="0"/>
        <w:autoSpaceDE/>
        <w:autoSpaceDN/>
        <w:bidi w:val="0"/>
        <w:adjustRightInd w:val="0"/>
        <w:snapToGrid w:val="0"/>
        <w:spacing w:line="586" w:lineRule="exact"/>
        <w:ind w:left="0" w:right="0" w:rightChars="0" w:firstLine="622"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eastAsia="zh-CN"/>
          <w14:textFill>
            <w14:solidFill>
              <w14:schemeClr w14:val="tx1"/>
            </w14:solidFill>
          </w14:textFill>
        </w:rPr>
        <w:t>（1）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在下述情况下，甲方可通过发出书面通知书的方式，部分或全部终止协议，且该终止协议的行为将不损害或影响甲方已经采取或将要采取的任何行动或补救措施的权利：</w:t>
      </w:r>
    </w:p>
    <w:p>
      <w:pPr>
        <w:pStyle w:val="30"/>
        <w:keepNext w:val="0"/>
        <w:keepLines w:val="0"/>
        <w:pageBreakBefore w:val="0"/>
        <w:widowControl w:val="0"/>
        <w:tabs>
          <w:tab w:val="left" w:pos="802"/>
        </w:tabs>
        <w:kinsoku/>
        <w:overflowPunct/>
        <w:topLinePunct w:val="0"/>
        <w:autoSpaceDE/>
        <w:autoSpaceDN/>
        <w:bidi w:val="0"/>
        <w:adjustRightInd w:val="0"/>
        <w:snapToGrid w:val="0"/>
        <w:spacing w:line="586" w:lineRule="exact"/>
        <w:ind w:left="0" w:right="0" w:rightChars="0" w:firstLine="622"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①如果乙方、丙方中任何一方未能在协议规定的限期或甲方同意延长的限期内提供部分或全部耗材；</w:t>
      </w:r>
    </w:p>
    <w:p>
      <w:pPr>
        <w:pStyle w:val="30"/>
        <w:keepNext w:val="0"/>
        <w:keepLines w:val="0"/>
        <w:pageBreakBefore w:val="0"/>
        <w:widowControl w:val="0"/>
        <w:tabs>
          <w:tab w:val="left" w:pos="802"/>
        </w:tabs>
        <w:kinsoku/>
        <w:overflowPunct/>
        <w:topLinePunct w:val="0"/>
        <w:autoSpaceDE/>
        <w:autoSpaceDN/>
        <w:bidi w:val="0"/>
        <w:adjustRightInd w:val="0"/>
        <w:snapToGrid w:val="0"/>
        <w:spacing w:line="586" w:lineRule="exact"/>
        <w:ind w:left="0" w:right="0" w:rightChars="0" w:firstLine="622"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②乙方、丙方中任何一方发生任何违约行为且甲方认为其采取的补救措施无效或不及时的情况；</w:t>
      </w:r>
    </w:p>
    <w:p>
      <w:pPr>
        <w:pStyle w:val="30"/>
        <w:keepNext w:val="0"/>
        <w:keepLines w:val="0"/>
        <w:pageBreakBefore w:val="0"/>
        <w:widowControl w:val="0"/>
        <w:tabs>
          <w:tab w:val="left" w:pos="802"/>
        </w:tabs>
        <w:kinsoku/>
        <w:overflowPunct/>
        <w:topLinePunct w:val="0"/>
        <w:autoSpaceDE/>
        <w:autoSpaceDN/>
        <w:bidi w:val="0"/>
        <w:adjustRightInd w:val="0"/>
        <w:snapToGrid w:val="0"/>
        <w:spacing w:line="586" w:lineRule="exact"/>
        <w:ind w:left="0" w:right="0" w:rightChars="0" w:firstLine="622"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③乙方、丙方中任何一方丧失必要的经营资质，不能再从事耗材生产或经营活动的情况；</w:t>
      </w:r>
    </w:p>
    <w:p>
      <w:pPr>
        <w:pStyle w:val="30"/>
        <w:keepNext w:val="0"/>
        <w:keepLines w:val="0"/>
        <w:pageBreakBefore w:val="0"/>
        <w:widowControl w:val="0"/>
        <w:tabs>
          <w:tab w:val="left" w:pos="802"/>
        </w:tabs>
        <w:kinsoku/>
        <w:overflowPunct/>
        <w:topLinePunct w:val="0"/>
        <w:autoSpaceDE/>
        <w:autoSpaceDN/>
        <w:bidi w:val="0"/>
        <w:adjustRightInd w:val="0"/>
        <w:snapToGrid w:val="0"/>
        <w:spacing w:line="586" w:lineRule="exact"/>
        <w:ind w:left="0" w:right="0" w:rightChars="0" w:firstLine="622"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④乙方、丙方中任何一方违反本协议约定，侵害第三方的专利权、商标权、保护期或商业秘密的情况；</w:t>
      </w:r>
    </w:p>
    <w:p>
      <w:pPr>
        <w:pStyle w:val="30"/>
        <w:keepNext w:val="0"/>
        <w:keepLines w:val="0"/>
        <w:pageBreakBefore w:val="0"/>
        <w:widowControl w:val="0"/>
        <w:tabs>
          <w:tab w:val="left" w:pos="802"/>
        </w:tabs>
        <w:kinsoku/>
        <w:overflowPunct/>
        <w:topLinePunct w:val="0"/>
        <w:autoSpaceDE/>
        <w:autoSpaceDN/>
        <w:bidi w:val="0"/>
        <w:adjustRightInd w:val="0"/>
        <w:snapToGrid w:val="0"/>
        <w:spacing w:line="586" w:lineRule="exact"/>
        <w:ind w:left="0" w:right="0" w:rightChars="0" w:firstLine="622"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⑤甲方认定乙方、丙方中任何一方在本协议的实施过程中有严重违法行为；</w:t>
      </w:r>
    </w:p>
    <w:p>
      <w:pPr>
        <w:pStyle w:val="30"/>
        <w:keepNext w:val="0"/>
        <w:keepLines w:val="0"/>
        <w:pageBreakBefore w:val="0"/>
        <w:widowControl w:val="0"/>
        <w:tabs>
          <w:tab w:val="left" w:pos="802"/>
        </w:tabs>
        <w:kinsoku/>
        <w:overflowPunct/>
        <w:topLinePunct w:val="0"/>
        <w:autoSpaceDE/>
        <w:autoSpaceDN/>
        <w:bidi w:val="0"/>
        <w:adjustRightInd w:val="0"/>
        <w:snapToGrid w:val="0"/>
        <w:spacing w:line="586" w:lineRule="exact"/>
        <w:ind w:left="0" w:right="0" w:rightChars="0" w:firstLine="622"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⑥甲方认为乙方、丙方中任何一方未能履行协议规定的其它义务的情形。</w:t>
      </w:r>
    </w:p>
    <w:p>
      <w:pPr>
        <w:pStyle w:val="30"/>
        <w:keepNext w:val="0"/>
        <w:keepLines w:val="0"/>
        <w:pageBreakBefore w:val="0"/>
        <w:widowControl w:val="0"/>
        <w:tabs>
          <w:tab w:val="left" w:pos="802"/>
        </w:tabs>
        <w:kinsoku/>
        <w:overflowPunct/>
        <w:topLinePunct w:val="0"/>
        <w:autoSpaceDE/>
        <w:autoSpaceDN/>
        <w:bidi w:val="0"/>
        <w:adjustRightInd w:val="0"/>
        <w:snapToGrid w:val="0"/>
        <w:spacing w:line="586" w:lineRule="exact"/>
        <w:ind w:left="0" w:right="0" w:rightChars="0" w:firstLine="622"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eastAsia="zh-CN"/>
          <w14:textFill>
            <w14:solidFill>
              <w14:schemeClr w14:val="tx1"/>
            </w14:solidFill>
          </w14:textFill>
        </w:rPr>
        <w:t>（2）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如果乙方、丙方中任何一方破产或丧失履行能力，甲方可在任何时候以书面通知的方式，提出终止协议而不承担任何违约责任。该终止协议的行为将不损害或影响甲方已经采取或将要采取的任何行动或补救措施的权利。</w:t>
      </w:r>
    </w:p>
    <w:p>
      <w:pPr>
        <w:pStyle w:val="30"/>
        <w:keepNext w:val="0"/>
        <w:keepLines w:val="0"/>
        <w:pageBreakBefore w:val="0"/>
        <w:widowControl w:val="0"/>
        <w:tabs>
          <w:tab w:val="left" w:pos="802"/>
        </w:tabs>
        <w:kinsoku/>
        <w:overflowPunct/>
        <w:topLinePunct w:val="0"/>
        <w:autoSpaceDE/>
        <w:autoSpaceDN/>
        <w:bidi w:val="0"/>
        <w:adjustRightInd w:val="0"/>
        <w:snapToGrid w:val="0"/>
        <w:spacing w:line="586" w:lineRule="exact"/>
        <w:ind w:left="0" w:right="0" w:rightChars="0" w:firstLine="622"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eastAsia="zh-CN"/>
          <w14:textFill>
            <w14:solidFill>
              <w14:schemeClr w14:val="tx1"/>
            </w14:solidFill>
          </w14:textFill>
        </w:rPr>
        <w:t>（</w:t>
      </w: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3</w:t>
      </w:r>
      <w:r>
        <w:rPr>
          <w:rFonts w:hint="eastAsia" w:ascii="楷体_GB2312" w:hAnsi="楷体_GB2312" w:eastAsia="楷体_GB2312" w:cs="楷体_GB2312"/>
          <w:b/>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在国家政策调整或不可抗力发生的情况下，甲、乙、丙三方可根据情况协商变更或终止本协议的履行。</w:t>
      </w:r>
    </w:p>
    <w:p>
      <w:pPr>
        <w:pStyle w:val="30"/>
        <w:keepNext w:val="0"/>
        <w:keepLines w:val="0"/>
        <w:pageBreakBefore w:val="0"/>
        <w:widowControl w:val="0"/>
        <w:tabs>
          <w:tab w:val="left" w:pos="802"/>
        </w:tabs>
        <w:kinsoku/>
        <w:overflowPunct/>
        <w:topLinePunct w:val="0"/>
        <w:autoSpaceDE/>
        <w:autoSpaceDN/>
        <w:bidi w:val="0"/>
        <w:adjustRightInd w:val="0"/>
        <w:snapToGrid w:val="0"/>
        <w:spacing w:line="586" w:lineRule="exact"/>
        <w:ind w:left="0" w:right="0" w:rightChars="0" w:firstLine="622"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eastAsia="zh-CN"/>
          <w14:textFill>
            <w14:solidFill>
              <w14:schemeClr w14:val="tx1"/>
            </w14:solidFill>
          </w14:textFill>
        </w:rPr>
        <w:t>（</w:t>
      </w: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4</w:t>
      </w:r>
      <w:r>
        <w:rPr>
          <w:rFonts w:hint="eastAsia" w:ascii="楷体_GB2312" w:hAnsi="楷体_GB2312" w:eastAsia="楷体_GB2312" w:cs="楷体_GB2312"/>
          <w:b/>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协议终止前约定履行但尚未履行的部分，除法律法规有明确规定不能继续履行的，甲、乙、丙三方应继续履行至结束。</w:t>
      </w:r>
    </w:p>
    <w:p>
      <w:pPr>
        <w:pStyle w:val="30"/>
        <w:keepNext w:val="0"/>
        <w:keepLines w:val="0"/>
        <w:pageBreakBefore w:val="0"/>
        <w:widowControl w:val="0"/>
        <w:tabs>
          <w:tab w:val="left" w:pos="802"/>
        </w:tabs>
        <w:kinsoku/>
        <w:overflowPunct/>
        <w:topLinePunct w:val="0"/>
        <w:autoSpaceDE/>
        <w:autoSpaceDN/>
        <w:bidi w:val="0"/>
        <w:adjustRightInd w:val="0"/>
        <w:snapToGrid w:val="0"/>
        <w:spacing w:line="586" w:lineRule="exact"/>
        <w:ind w:left="0" w:right="0" w:rightChars="0" w:firstLine="622" w:firstLineChars="200"/>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二十、协议修改与补充</w:t>
      </w:r>
    </w:p>
    <w:p>
      <w:pPr>
        <w:pStyle w:val="30"/>
        <w:keepNext w:val="0"/>
        <w:keepLines w:val="0"/>
        <w:pageBreakBefore w:val="0"/>
        <w:widowControl w:val="0"/>
        <w:tabs>
          <w:tab w:val="left" w:pos="802"/>
        </w:tabs>
        <w:kinsoku/>
        <w:overflowPunct/>
        <w:topLinePunct w:val="0"/>
        <w:autoSpaceDE/>
        <w:autoSpaceDN/>
        <w:bidi w:val="0"/>
        <w:adjustRightInd w:val="0"/>
        <w:snapToGrid w:val="0"/>
        <w:spacing w:line="586" w:lineRule="exact"/>
        <w:ind w:left="0" w:right="0" w:rightChars="0" w:firstLine="622" w:firstLineChars="200"/>
        <w:textAlignment w:val="auto"/>
        <w:rPr>
          <w:color w:val="000000" w:themeColor="text1"/>
          <w:sz w:val="32"/>
          <w:szCs w:val="32"/>
          <w:lang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eastAsia="zh-CN"/>
          <w14:textFill>
            <w14:solidFill>
              <w14:schemeClr w14:val="tx1"/>
            </w14:solidFill>
          </w14:textFill>
        </w:rPr>
        <w:t>（1）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本协议的条款不得有任何变化或修改。甲、乙、丙三方可根据需要就本协议未尽事宜另行签订补充协议作为本协议的附件，附件与本协议具有同等的法律效力。</w:t>
      </w:r>
    </w:p>
    <w:p>
      <w:pPr>
        <w:pStyle w:val="30"/>
        <w:keepNext w:val="0"/>
        <w:keepLines w:val="0"/>
        <w:pageBreakBefore w:val="0"/>
        <w:widowControl w:val="0"/>
        <w:tabs>
          <w:tab w:val="left" w:pos="802"/>
        </w:tabs>
        <w:kinsoku/>
        <w:overflowPunct/>
        <w:topLinePunct w:val="0"/>
        <w:autoSpaceDE/>
        <w:autoSpaceDN/>
        <w:bidi w:val="0"/>
        <w:adjustRightInd w:val="0"/>
        <w:snapToGrid w:val="0"/>
        <w:spacing w:line="586" w:lineRule="exact"/>
        <w:ind w:left="0" w:right="0" w:rightChars="0" w:firstLine="622"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eastAsia="zh-CN"/>
          <w14:textFill>
            <w14:solidFill>
              <w14:schemeClr w14:val="tx1"/>
            </w14:solidFill>
          </w14:textFill>
        </w:rPr>
        <w:t>（2）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如协议约定的采购数量不能满足临床使用需要，甲方可以追加采购数量，并另行签订三方协议，乙方、丙方原则上不得拒绝。</w:t>
      </w:r>
    </w:p>
    <w:p>
      <w:pPr>
        <w:pStyle w:val="30"/>
        <w:keepNext w:val="0"/>
        <w:keepLines w:val="0"/>
        <w:pageBreakBefore w:val="0"/>
        <w:widowControl w:val="0"/>
        <w:tabs>
          <w:tab w:val="left" w:pos="802"/>
        </w:tabs>
        <w:kinsoku/>
        <w:overflowPunct/>
        <w:topLinePunct w:val="0"/>
        <w:autoSpaceDE/>
        <w:autoSpaceDN/>
        <w:bidi w:val="0"/>
        <w:adjustRightInd w:val="0"/>
        <w:snapToGrid w:val="0"/>
        <w:spacing w:line="586" w:lineRule="exact"/>
        <w:ind w:left="0" w:right="0" w:rightChars="0" w:firstLine="622" w:firstLineChars="200"/>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二十一、其他</w:t>
      </w:r>
    </w:p>
    <w:p>
      <w:pPr>
        <w:pStyle w:val="30"/>
        <w:keepNext w:val="0"/>
        <w:keepLines w:val="0"/>
        <w:pageBreakBefore w:val="0"/>
        <w:widowControl w:val="0"/>
        <w:tabs>
          <w:tab w:val="left" w:pos="802"/>
        </w:tabs>
        <w:kinsoku/>
        <w:overflowPunct/>
        <w:topLinePunct w:val="0"/>
        <w:autoSpaceDE/>
        <w:autoSpaceDN/>
        <w:bidi w:val="0"/>
        <w:adjustRightInd w:val="0"/>
        <w:snapToGrid w:val="0"/>
        <w:spacing w:line="586" w:lineRule="exact"/>
        <w:ind w:left="0" w:right="0" w:rightChars="0" w:firstLine="622"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eastAsia="zh-CN"/>
          <w14:textFill>
            <w14:solidFill>
              <w14:schemeClr w14:val="tx1"/>
            </w14:solidFill>
          </w14:textFill>
        </w:rPr>
        <w:t>（1）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适用法律：本协议应按照中华人民共和国现行法律、法规和规章进行解释。</w:t>
      </w:r>
    </w:p>
    <w:p>
      <w:pPr>
        <w:pStyle w:val="30"/>
        <w:keepNext w:val="0"/>
        <w:keepLines w:val="0"/>
        <w:pageBreakBefore w:val="0"/>
        <w:widowControl w:val="0"/>
        <w:tabs>
          <w:tab w:val="left" w:pos="802"/>
        </w:tabs>
        <w:kinsoku/>
        <w:overflowPunct/>
        <w:topLinePunct w:val="0"/>
        <w:autoSpaceDE/>
        <w:autoSpaceDN/>
        <w:bidi w:val="0"/>
        <w:adjustRightInd w:val="0"/>
        <w:snapToGrid w:val="0"/>
        <w:spacing w:line="586" w:lineRule="exact"/>
        <w:ind w:left="0" w:right="0" w:rightChars="0" w:firstLine="622"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eastAsia="zh-CN"/>
          <w14:textFill>
            <w14:solidFill>
              <w14:schemeClr w14:val="tx1"/>
            </w14:solidFill>
          </w14:textFill>
        </w:rPr>
        <w:t>（2）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协议生效：本协议经三方法定代表人或授权代表签字并加盖公章后生效。</w:t>
      </w:r>
    </w:p>
    <w:p>
      <w:pPr>
        <w:pStyle w:val="30"/>
        <w:keepNext w:val="0"/>
        <w:keepLines w:val="0"/>
        <w:pageBreakBefore w:val="0"/>
        <w:widowControl w:val="0"/>
        <w:tabs>
          <w:tab w:val="left" w:pos="802"/>
        </w:tabs>
        <w:kinsoku/>
        <w:overflowPunct/>
        <w:topLinePunct w:val="0"/>
        <w:autoSpaceDE/>
        <w:autoSpaceDN/>
        <w:bidi w:val="0"/>
        <w:adjustRightInd w:val="0"/>
        <w:snapToGrid w:val="0"/>
        <w:spacing w:line="586" w:lineRule="exact"/>
        <w:ind w:left="0" w:right="0" w:rightChars="0" w:firstLine="622"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eastAsia="zh-CN"/>
          <w14:textFill>
            <w14:solidFill>
              <w14:schemeClr w14:val="tx1"/>
            </w14:solidFill>
          </w14:textFill>
        </w:rPr>
        <w:t>（3）</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主导语言：本协议以中文书写。</w:t>
      </w:r>
    </w:p>
    <w:p>
      <w:pPr>
        <w:pStyle w:val="30"/>
        <w:keepNext w:val="0"/>
        <w:keepLines w:val="0"/>
        <w:pageBreakBefore w:val="0"/>
        <w:widowControl w:val="0"/>
        <w:tabs>
          <w:tab w:val="left" w:pos="802"/>
        </w:tabs>
        <w:kinsoku/>
        <w:overflowPunct/>
        <w:topLinePunct w:val="0"/>
        <w:autoSpaceDE/>
        <w:autoSpaceDN/>
        <w:bidi w:val="0"/>
        <w:adjustRightInd w:val="0"/>
        <w:snapToGrid w:val="0"/>
        <w:spacing w:line="586" w:lineRule="exact"/>
        <w:ind w:left="0" w:right="0" w:rightChars="0" w:firstLine="622"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eastAsia="zh-CN"/>
          <w14:textFill>
            <w14:solidFill>
              <w14:schemeClr w14:val="tx1"/>
            </w14:solidFill>
          </w14:textFill>
        </w:rPr>
        <w:t>（4）</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本协议一式三份，甲、乙、丙三方各执一份。</w:t>
      </w:r>
    </w:p>
    <w:p>
      <w:pPr>
        <w:pStyle w:val="30"/>
        <w:keepNext w:val="0"/>
        <w:keepLines w:val="0"/>
        <w:pageBreakBefore w:val="0"/>
        <w:widowControl w:val="0"/>
        <w:tabs>
          <w:tab w:val="left" w:pos="802"/>
        </w:tabs>
        <w:kinsoku/>
        <w:overflowPunct/>
        <w:topLinePunct w:val="0"/>
        <w:autoSpaceDE/>
        <w:autoSpaceDN/>
        <w:bidi w:val="0"/>
        <w:adjustRightInd w:val="0"/>
        <w:snapToGrid w:val="0"/>
        <w:spacing w:line="586" w:lineRule="exact"/>
        <w:ind w:left="0" w:right="0" w:rightChars="0" w:firstLine="622"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（以下无正文）</w:t>
      </w:r>
    </w:p>
    <w:p>
      <w:pPr>
        <w:pStyle w:val="2"/>
        <w:spacing w:before="2"/>
        <w:rPr>
          <w:color w:val="000000" w:themeColor="text1"/>
          <w:sz w:val="27"/>
          <w:lang w:eastAsia="zh-CN"/>
          <w14:textFill>
            <w14:solidFill>
              <w14:schemeClr w14:val="tx1"/>
            </w14:solidFill>
          </w14:textFill>
        </w:rPr>
      </w:pPr>
    </w:p>
    <w:p>
      <w:pPr>
        <w:pStyle w:val="1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560" w:lineRule="exact"/>
        <w:jc w:val="both"/>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（本页为签字页）</w:t>
      </w:r>
    </w:p>
    <w:p>
      <w:pPr>
        <w:pStyle w:val="1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560" w:lineRule="exact"/>
        <w:ind w:firstLine="542" w:firstLineChars="200"/>
        <w:jc w:val="both"/>
        <w:rPr>
          <w:rFonts w:hint="eastAsia" w:ascii="仿宋_GB2312" w:hAnsi="仿宋_GB2312" w:eastAsia="仿宋_GB2312" w:cs="仿宋_GB2312"/>
          <w:color w:val="000000" w:themeColor="text1"/>
          <w:sz w:val="28"/>
          <w:szCs w:val="28"/>
          <w14:textFill>
            <w14:solidFill>
              <w14:schemeClr w14:val="tx1"/>
            </w14:solidFill>
          </w14:textFill>
        </w:rPr>
      </w:pPr>
    </w:p>
    <w:p>
      <w:pPr>
        <w:pStyle w:val="1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560" w:lineRule="exact"/>
        <w:jc w:val="both"/>
        <w:rPr>
          <w:rFonts w:hint="eastAsia" w:ascii="仿宋_GB2312" w:hAnsi="仿宋_GB2312" w:eastAsia="仿宋_GB2312" w:cs="仿宋_GB2312"/>
          <w:color w:val="000000" w:themeColor="text1"/>
          <w:sz w:val="28"/>
          <w:szCs w:val="28"/>
          <w14:textFill>
            <w14:solidFill>
              <w14:schemeClr w14:val="tx1"/>
            </w14:solidFill>
          </w14:textFill>
        </w:rPr>
      </w:pPr>
    </w:p>
    <w:tbl>
      <w:tblPr>
        <w:tblStyle w:val="10"/>
        <w:tblW w:w="894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471"/>
        <w:gridCol w:w="44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471" w:type="dxa"/>
          </w:tcPr>
          <w:p>
            <w:pPr>
              <w:pStyle w:val="14"/>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560" w:lineRule="exact"/>
              <w:jc w:val="both"/>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甲方（盖章）：</w:t>
            </w:r>
          </w:p>
          <w:p>
            <w:pPr>
              <w:pStyle w:val="14"/>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560" w:lineRule="exact"/>
              <w:jc w:val="both"/>
              <w:rPr>
                <w:rFonts w:hint="eastAsia" w:ascii="仿宋_GB2312" w:hAnsi="仿宋_GB2312" w:eastAsia="仿宋_GB2312" w:cs="仿宋_GB2312"/>
                <w:color w:val="000000" w:themeColor="text1"/>
                <w:sz w:val="28"/>
                <w:szCs w:val="28"/>
                <w:lang w:eastAsia="zh-CN"/>
                <w14:textFill>
                  <w14:solidFill>
                    <w14:schemeClr w14:val="tx1"/>
                  </w14:solidFill>
                </w14:textFill>
              </w:rPr>
            </w:pPr>
          </w:p>
        </w:tc>
        <w:tc>
          <w:tcPr>
            <w:tcW w:w="4471" w:type="dxa"/>
          </w:tcPr>
          <w:p>
            <w:pPr>
              <w:pStyle w:val="14"/>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560" w:lineRule="exact"/>
              <w:jc w:val="both"/>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乙方（盖章）：</w:t>
            </w:r>
          </w:p>
          <w:p>
            <w:pPr>
              <w:pStyle w:val="14"/>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560" w:lineRule="exact"/>
              <w:jc w:val="both"/>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471" w:type="dxa"/>
          </w:tcPr>
          <w:p>
            <w:pPr>
              <w:pStyle w:val="14"/>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560" w:lineRule="exact"/>
              <w:jc w:val="both"/>
              <w:rPr>
                <w:rFonts w:hint="eastAsia" w:ascii="仿宋_GB2312" w:hAnsi="仿宋_GB2312" w:eastAsia="仿宋_GB2312" w:cs="仿宋_GB2312"/>
                <w:color w:val="000000" w:themeColor="text1"/>
                <w:sz w:val="28"/>
                <w:szCs w:val="28"/>
                <w14:textFill>
                  <w14:solidFill>
                    <w14:schemeClr w14:val="tx1"/>
                  </w14:solidFill>
                </w14:textFill>
              </w:rPr>
            </w:pPr>
          </w:p>
        </w:tc>
        <w:tc>
          <w:tcPr>
            <w:tcW w:w="4471" w:type="dxa"/>
          </w:tcPr>
          <w:p>
            <w:pPr>
              <w:pStyle w:val="14"/>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560" w:lineRule="exact"/>
              <w:jc w:val="both"/>
              <w:rPr>
                <w:rFonts w:hint="eastAsia" w:ascii="仿宋_GB2312" w:hAnsi="仿宋_GB2312" w:eastAsia="仿宋_GB2312" w:cs="仿宋_GB2312"/>
                <w:color w:val="000000" w:themeColor="text1"/>
                <w:sz w:val="28"/>
                <w:szCs w:val="28"/>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471" w:type="dxa"/>
          </w:tcPr>
          <w:p>
            <w:pPr>
              <w:pStyle w:val="14"/>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560" w:lineRule="exact"/>
              <w:jc w:val="both"/>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签字日期：</w:t>
            </w:r>
            <w:r>
              <w:rPr>
                <w:rFonts w:hint="eastAsia" w:ascii="仿宋_GB2312" w:hAnsi="仿宋_GB2312" w:eastAsia="仿宋_GB2312" w:cs="仿宋_GB2312"/>
                <w:color w:val="000000" w:themeColor="text1"/>
                <w:sz w:val="28"/>
                <w:szCs w:val="28"/>
                <w:lang w:val="en-US"/>
                <w14:textFill>
                  <w14:solidFill>
                    <w14:schemeClr w14:val="tx1"/>
                  </w14:solidFill>
                </w14:textFill>
              </w:rPr>
              <w:t>____</w:t>
            </w:r>
            <w:r>
              <w:rPr>
                <w:rFonts w:hint="eastAsia" w:ascii="仿宋_GB2312" w:hAnsi="仿宋_GB2312" w:eastAsia="仿宋_GB2312" w:cs="仿宋_GB2312"/>
                <w:color w:val="000000" w:themeColor="text1"/>
                <w:sz w:val="28"/>
                <w:szCs w:val="28"/>
                <w14:textFill>
                  <w14:solidFill>
                    <w14:schemeClr w14:val="tx1"/>
                  </w14:solidFill>
                </w14:textFill>
              </w:rPr>
              <w:t>年</w:t>
            </w:r>
            <w:r>
              <w:rPr>
                <w:rFonts w:hint="eastAsia" w:ascii="仿宋_GB2312" w:hAnsi="仿宋_GB2312" w:eastAsia="仿宋_GB2312" w:cs="仿宋_GB2312"/>
                <w:color w:val="000000" w:themeColor="text1"/>
                <w:sz w:val="28"/>
                <w:szCs w:val="28"/>
                <w:lang w:val="en-US"/>
                <w14:textFill>
                  <w14:solidFill>
                    <w14:schemeClr w14:val="tx1"/>
                  </w14:solidFill>
                </w14:textFill>
              </w:rPr>
              <w:t>___</w:t>
            </w:r>
            <w:r>
              <w:rPr>
                <w:rFonts w:hint="eastAsia" w:ascii="仿宋_GB2312" w:hAnsi="仿宋_GB2312" w:eastAsia="仿宋_GB2312" w:cs="仿宋_GB2312"/>
                <w:color w:val="000000" w:themeColor="text1"/>
                <w:sz w:val="28"/>
                <w:szCs w:val="28"/>
                <w14:textFill>
                  <w14:solidFill>
                    <w14:schemeClr w14:val="tx1"/>
                  </w14:solidFill>
                </w14:textFill>
              </w:rPr>
              <w:t>月</w:t>
            </w:r>
            <w:r>
              <w:rPr>
                <w:rFonts w:hint="eastAsia" w:ascii="仿宋_GB2312" w:hAnsi="仿宋_GB2312" w:eastAsia="仿宋_GB2312" w:cs="仿宋_GB2312"/>
                <w:color w:val="000000" w:themeColor="text1"/>
                <w:sz w:val="28"/>
                <w:szCs w:val="28"/>
                <w:lang w:val="en-US"/>
                <w14:textFill>
                  <w14:solidFill>
                    <w14:schemeClr w14:val="tx1"/>
                  </w14:solidFill>
                </w14:textFill>
              </w:rPr>
              <w:t>___</w:t>
            </w:r>
            <w:r>
              <w:rPr>
                <w:rFonts w:hint="eastAsia" w:ascii="仿宋_GB2312" w:hAnsi="仿宋_GB2312" w:eastAsia="仿宋_GB2312" w:cs="仿宋_GB2312"/>
                <w:color w:val="000000" w:themeColor="text1"/>
                <w:sz w:val="28"/>
                <w:szCs w:val="28"/>
                <w14:textFill>
                  <w14:solidFill>
                    <w14:schemeClr w14:val="tx1"/>
                  </w14:solidFill>
                </w14:textFill>
              </w:rPr>
              <w:t>日</w:t>
            </w:r>
          </w:p>
        </w:tc>
        <w:tc>
          <w:tcPr>
            <w:tcW w:w="4471" w:type="dxa"/>
          </w:tcPr>
          <w:p>
            <w:pPr>
              <w:pStyle w:val="14"/>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560" w:lineRule="exact"/>
              <w:jc w:val="both"/>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签字日期：</w:t>
            </w:r>
            <w:r>
              <w:rPr>
                <w:rFonts w:hint="eastAsia" w:ascii="仿宋_GB2312" w:hAnsi="仿宋_GB2312" w:eastAsia="仿宋_GB2312" w:cs="仿宋_GB2312"/>
                <w:color w:val="000000" w:themeColor="text1"/>
                <w:sz w:val="28"/>
                <w:szCs w:val="28"/>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14:textFill>
                  <w14:solidFill>
                    <w14:schemeClr w14:val="tx1"/>
                  </w14:solidFill>
                </w14:textFill>
              </w:rPr>
              <w:t>年</w:t>
            </w:r>
            <w:r>
              <w:rPr>
                <w:rFonts w:hint="eastAsia" w:ascii="仿宋_GB2312" w:hAnsi="仿宋_GB2312" w:eastAsia="仿宋_GB2312" w:cs="仿宋_GB2312"/>
                <w:color w:val="000000" w:themeColor="text1"/>
                <w:sz w:val="28"/>
                <w:szCs w:val="28"/>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14:textFill>
                  <w14:solidFill>
                    <w14:schemeClr w14:val="tx1"/>
                  </w14:solidFill>
                </w14:textFill>
              </w:rPr>
              <w:t>月</w:t>
            </w:r>
            <w:r>
              <w:rPr>
                <w:rFonts w:hint="eastAsia" w:ascii="仿宋_GB2312" w:hAnsi="仿宋_GB2312" w:eastAsia="仿宋_GB2312" w:cs="仿宋_GB2312"/>
                <w:color w:val="000000" w:themeColor="text1"/>
                <w:sz w:val="28"/>
                <w:szCs w:val="28"/>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14:textFill>
                  <w14:solidFill>
                    <w14:schemeClr w14:val="tx1"/>
                  </w14:solidFill>
                </w14:textFill>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471" w:type="dxa"/>
          </w:tcPr>
          <w:p>
            <w:pPr>
              <w:pStyle w:val="14"/>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560" w:lineRule="exact"/>
              <w:jc w:val="both"/>
              <w:rPr>
                <w:rFonts w:hint="eastAsia" w:ascii="仿宋_GB2312" w:hAnsi="仿宋_GB2312" w:eastAsia="仿宋_GB2312" w:cs="仿宋_GB2312"/>
                <w:color w:val="000000" w:themeColor="text1"/>
                <w:sz w:val="28"/>
                <w:szCs w:val="28"/>
                <w14:textFill>
                  <w14:solidFill>
                    <w14:schemeClr w14:val="tx1"/>
                  </w14:solidFill>
                </w14:textFill>
              </w:rPr>
            </w:pPr>
          </w:p>
          <w:p>
            <w:pPr>
              <w:pStyle w:val="14"/>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560" w:lineRule="exact"/>
              <w:jc w:val="both"/>
              <w:rPr>
                <w:rFonts w:hint="eastAsia" w:ascii="仿宋_GB2312" w:hAnsi="仿宋_GB2312" w:eastAsia="仿宋_GB2312" w:cs="仿宋_GB2312"/>
                <w:color w:val="000000" w:themeColor="text1"/>
                <w:sz w:val="28"/>
                <w:szCs w:val="28"/>
                <w14:textFill>
                  <w14:solidFill>
                    <w14:schemeClr w14:val="tx1"/>
                  </w14:solidFill>
                </w14:textFill>
              </w:rPr>
            </w:pPr>
          </w:p>
          <w:p>
            <w:pPr>
              <w:pStyle w:val="14"/>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560" w:lineRule="exact"/>
              <w:jc w:val="both"/>
              <w:rPr>
                <w:rFonts w:hint="eastAsia" w:ascii="仿宋_GB2312" w:hAnsi="仿宋_GB2312" w:eastAsia="仿宋_GB2312" w:cs="仿宋_GB2312"/>
                <w:color w:val="000000" w:themeColor="text1"/>
                <w:sz w:val="28"/>
                <w:szCs w:val="28"/>
                <w14:textFill>
                  <w14:solidFill>
                    <w14:schemeClr w14:val="tx1"/>
                  </w14:solidFill>
                </w14:textFill>
              </w:rPr>
            </w:pPr>
          </w:p>
        </w:tc>
        <w:tc>
          <w:tcPr>
            <w:tcW w:w="4471" w:type="dxa"/>
          </w:tcPr>
          <w:p>
            <w:pPr>
              <w:pStyle w:val="14"/>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560" w:lineRule="exact"/>
              <w:jc w:val="both"/>
              <w:rPr>
                <w:rFonts w:hint="eastAsia" w:ascii="仿宋_GB2312" w:hAnsi="仿宋_GB2312" w:eastAsia="仿宋_GB2312" w:cs="仿宋_GB2312"/>
                <w:color w:val="000000" w:themeColor="text1"/>
                <w:sz w:val="28"/>
                <w:szCs w:val="28"/>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471" w:type="dxa"/>
          </w:tcPr>
          <w:p>
            <w:pPr>
              <w:pStyle w:val="14"/>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560" w:lineRule="exact"/>
              <w:jc w:val="both"/>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丙方（盖章）：</w:t>
            </w:r>
          </w:p>
          <w:p>
            <w:pPr>
              <w:pStyle w:val="14"/>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560" w:lineRule="exact"/>
              <w:jc w:val="both"/>
              <w:rPr>
                <w:rFonts w:hint="eastAsia" w:ascii="仿宋_GB2312" w:hAnsi="仿宋_GB2312" w:eastAsia="仿宋_GB2312" w:cs="仿宋_GB2312"/>
                <w:color w:val="000000" w:themeColor="text1"/>
                <w:sz w:val="28"/>
                <w:szCs w:val="28"/>
                <w14:textFill>
                  <w14:solidFill>
                    <w14:schemeClr w14:val="tx1"/>
                  </w14:solidFill>
                </w14:textFill>
              </w:rPr>
            </w:pPr>
          </w:p>
        </w:tc>
        <w:tc>
          <w:tcPr>
            <w:tcW w:w="4471" w:type="dxa"/>
          </w:tcPr>
          <w:p>
            <w:pPr>
              <w:pStyle w:val="14"/>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560" w:lineRule="exact"/>
              <w:jc w:val="both"/>
              <w:rPr>
                <w:rFonts w:hint="eastAsia" w:ascii="仿宋_GB2312" w:hAnsi="仿宋_GB2312" w:eastAsia="仿宋_GB2312" w:cs="仿宋_GB2312"/>
                <w:color w:val="000000" w:themeColor="text1"/>
                <w:sz w:val="28"/>
                <w:szCs w:val="28"/>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471" w:type="dxa"/>
          </w:tcPr>
          <w:p>
            <w:pPr>
              <w:pStyle w:val="14"/>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560" w:lineRule="exact"/>
              <w:jc w:val="both"/>
              <w:rPr>
                <w:rFonts w:hint="eastAsia" w:ascii="仿宋_GB2312" w:hAnsi="仿宋_GB2312" w:eastAsia="仿宋_GB2312" w:cs="仿宋_GB2312"/>
                <w:color w:val="000000" w:themeColor="text1"/>
                <w:sz w:val="28"/>
                <w:szCs w:val="28"/>
                <w14:textFill>
                  <w14:solidFill>
                    <w14:schemeClr w14:val="tx1"/>
                  </w14:solidFill>
                </w14:textFill>
              </w:rPr>
            </w:pPr>
          </w:p>
        </w:tc>
        <w:tc>
          <w:tcPr>
            <w:tcW w:w="4471" w:type="dxa"/>
          </w:tcPr>
          <w:p>
            <w:pPr>
              <w:pStyle w:val="14"/>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560" w:lineRule="exact"/>
              <w:jc w:val="both"/>
              <w:rPr>
                <w:rFonts w:hint="eastAsia" w:ascii="仿宋_GB2312" w:hAnsi="仿宋_GB2312" w:eastAsia="仿宋_GB2312" w:cs="仿宋_GB2312"/>
                <w:color w:val="000000" w:themeColor="text1"/>
                <w:sz w:val="28"/>
                <w:szCs w:val="28"/>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471" w:type="dxa"/>
          </w:tcPr>
          <w:p>
            <w:pPr>
              <w:pStyle w:val="14"/>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560" w:lineRule="exact"/>
              <w:jc w:val="both"/>
              <w:rPr>
                <w:rFonts w:hint="eastAsia" w:ascii="仿宋_GB2312" w:hAnsi="仿宋_GB2312" w:eastAsia="仿宋_GB2312" w:cs="仿宋_GB2312"/>
                <w:color w:val="000000" w:themeColor="text1"/>
                <w:sz w:val="28"/>
                <w:szCs w:val="28"/>
                <w14:textFill>
                  <w14:solidFill>
                    <w14:schemeClr w14:val="tx1"/>
                  </w14:solidFill>
                </w14:textFill>
              </w:rPr>
            </w:pPr>
          </w:p>
        </w:tc>
        <w:tc>
          <w:tcPr>
            <w:tcW w:w="4471" w:type="dxa"/>
          </w:tcPr>
          <w:p>
            <w:pPr>
              <w:pStyle w:val="14"/>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560" w:lineRule="exact"/>
              <w:jc w:val="both"/>
              <w:rPr>
                <w:rFonts w:hint="eastAsia" w:ascii="仿宋_GB2312" w:hAnsi="仿宋_GB2312" w:eastAsia="仿宋_GB2312" w:cs="仿宋_GB2312"/>
                <w:color w:val="000000" w:themeColor="text1"/>
                <w:sz w:val="28"/>
                <w:szCs w:val="28"/>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471" w:type="dxa"/>
          </w:tcPr>
          <w:p>
            <w:pPr>
              <w:pStyle w:val="14"/>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560" w:lineRule="exact"/>
              <w:jc w:val="both"/>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签字日期：</w:t>
            </w:r>
            <w:r>
              <w:rPr>
                <w:rFonts w:hint="eastAsia" w:ascii="仿宋_GB2312" w:hAnsi="仿宋_GB2312" w:eastAsia="仿宋_GB2312" w:cs="仿宋_GB2312"/>
                <w:color w:val="000000" w:themeColor="text1"/>
                <w:sz w:val="28"/>
                <w:szCs w:val="28"/>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14:textFill>
                  <w14:solidFill>
                    <w14:schemeClr w14:val="tx1"/>
                  </w14:solidFill>
                </w14:textFill>
              </w:rPr>
              <w:t>年</w:t>
            </w:r>
            <w:r>
              <w:rPr>
                <w:rFonts w:hint="eastAsia" w:ascii="仿宋_GB2312" w:hAnsi="仿宋_GB2312" w:eastAsia="仿宋_GB2312" w:cs="仿宋_GB2312"/>
                <w:color w:val="000000" w:themeColor="text1"/>
                <w:sz w:val="28"/>
                <w:szCs w:val="28"/>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14:textFill>
                  <w14:solidFill>
                    <w14:schemeClr w14:val="tx1"/>
                  </w14:solidFill>
                </w14:textFill>
              </w:rPr>
              <w:t>月</w:t>
            </w:r>
            <w:r>
              <w:rPr>
                <w:rFonts w:hint="eastAsia" w:ascii="仿宋_GB2312" w:hAnsi="仿宋_GB2312" w:eastAsia="仿宋_GB2312" w:cs="仿宋_GB2312"/>
                <w:color w:val="000000" w:themeColor="text1"/>
                <w:sz w:val="28"/>
                <w:szCs w:val="28"/>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14:textFill>
                  <w14:solidFill>
                    <w14:schemeClr w14:val="tx1"/>
                  </w14:solidFill>
                </w14:textFill>
              </w:rPr>
              <w:t>日</w:t>
            </w:r>
          </w:p>
        </w:tc>
        <w:tc>
          <w:tcPr>
            <w:tcW w:w="4471" w:type="dxa"/>
          </w:tcPr>
          <w:p>
            <w:pPr>
              <w:pStyle w:val="14"/>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560" w:lineRule="exact"/>
              <w:jc w:val="both"/>
              <w:rPr>
                <w:rFonts w:hint="eastAsia" w:ascii="仿宋_GB2312" w:hAnsi="仿宋_GB2312" w:eastAsia="仿宋_GB2312" w:cs="仿宋_GB2312"/>
                <w:color w:val="000000" w:themeColor="text1"/>
                <w:sz w:val="28"/>
                <w:szCs w:val="28"/>
                <w14:textFill>
                  <w14:solidFill>
                    <w14:schemeClr w14:val="tx1"/>
                  </w14:solidFill>
                </w14:textFill>
              </w:rPr>
            </w:pPr>
          </w:p>
        </w:tc>
      </w:tr>
    </w:tbl>
    <w:p>
      <w:pPr>
        <w:pStyle w:val="1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560" w:lineRule="exact"/>
        <w:ind w:firstLine="422" w:firstLineChars="200"/>
        <w:rPr>
          <w:rFonts w:hint="eastAsia" w:ascii="仿宋_GB2312" w:hAnsi="仿宋_GB2312" w:eastAsia="仿宋_GB2312" w:cs="仿宋_GB2312"/>
          <w:color w:val="000000" w:themeColor="text1"/>
          <w14:textFill>
            <w14:solidFill>
              <w14:schemeClr w14:val="tx1"/>
            </w14:solidFill>
          </w14:textFill>
        </w:rPr>
      </w:pPr>
    </w:p>
    <w:sectPr>
      <w:footerReference r:id="rId3" w:type="default"/>
      <w:pgSz w:w="11900" w:h="16840"/>
      <w:pgMar w:top="2098" w:right="1531" w:bottom="1984" w:left="1531" w:header="851" w:footer="992" w:gutter="0"/>
      <w:pgNumType w:start="1"/>
      <w:cols w:space="0" w:num="1"/>
      <w:docGrid w:type="linesAndChars" w:linePitch="549" w:charSpace="-187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swiss"/>
    <w:pitch w:val="default"/>
    <w:sig w:usb0="FFFFFFFF" w:usb1="E9FFFFFF" w:usb2="0000003F" w:usb3="00000000" w:csb0="603F01FF" w:csb1="FFFF0000"/>
  </w:font>
  <w:font w:name="Helvetica Neue">
    <w:altName w:val="微软雅黑"/>
    <w:panose1 w:val="00000000000000000000"/>
    <w:charset w:val="00"/>
    <w:family w:val="auto"/>
    <w:pitch w:val="default"/>
    <w:sig w:usb0="00000000" w:usb1="00000000" w:usb2="00000000" w:usb3="00000000" w:csb0="00040001" w:csb1="00000000"/>
  </w:font>
  <w:font w:name="方正小标宋简体">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黑体_GBK">
    <w:panose1 w:val="03000509000000000000"/>
    <w:charset w:val="86"/>
    <w:family w:val="auto"/>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Meiryo UI">
    <w:panose1 w:val="020B0604030504040204"/>
    <w:charset w:val="80"/>
    <w:family w:val="auto"/>
    <w:pitch w:val="default"/>
    <w:sig w:usb0="E10102FF" w:usb1="EAC7FFFF" w:usb2="00010012" w:usb3="00000000" w:csb0="6002009F" w:csb1="DFD70000"/>
  </w:font>
  <w:font w:name="Malgun Gothic">
    <w:panose1 w:val="020B0503020000020004"/>
    <w:charset w:val="81"/>
    <w:family w:val="auto"/>
    <w:pitch w:val="default"/>
    <w:sig w:usb0="9000002F" w:usb1="29D77CFB" w:usb2="00000012" w:usb3="00000000" w:csb0="00080001" w:csb1="00000000"/>
  </w:font>
  <w:font w:name="MS Gothic">
    <w:panose1 w:val="020B0609070205080204"/>
    <w:charset w:val="80"/>
    <w:family w:val="auto"/>
    <w:pitch w:val="default"/>
    <w:sig w:usb0="E00002FF" w:usb1="6AC7FDFB" w:usb2="08000012" w:usb3="00000000" w:csb0="4002009F" w:csb1="DFD70000"/>
  </w:font>
  <w:font w:name="MS PGothic">
    <w:panose1 w:val="020B0600070205080204"/>
    <w:charset w:val="80"/>
    <w:family w:val="auto"/>
    <w:pitch w:val="default"/>
    <w:sig w:usb0="E00002FF" w:usb1="6AC7FDFB" w:usb2="08000012" w:usb3="00000000" w:csb0="4002009F" w:csb1="DFD7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pPr>
    <w:r>
      <w:fldChar w:fldCharType="begin"/>
    </w:r>
    <w:r>
      <w:instrText xml:space="preserve"> PAGE </w:instrText>
    </w:r>
    <w:r>
      <w:fldChar w:fldCharType="separate"/>
    </w:r>
    <w:r>
      <w:t>1</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ACECA99"/>
    <w:multiLevelType w:val="singleLevel"/>
    <w:tmpl w:val="FACECA99"/>
    <w:lvl w:ilvl="0" w:tentative="0">
      <w:start w:val="1"/>
      <w:numFmt w:val="decimal"/>
      <w:suff w:val="nothing"/>
      <w:lvlText w:val="（%1）"/>
      <w:lvlJc w:val="left"/>
      <w:pPr>
        <w:ind w:left="0" w:firstLine="0"/>
      </w:pPr>
      <w:rPr>
        <w:rFonts w:hint="default" w:ascii="楷体_GB2312" w:hAnsi="楷体_GB2312" w:eastAsia="楷体_GB2312" w:cs="楷体_GB2312"/>
        <w:b/>
        <w:bC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HorizontalSpacing w:val="291"/>
  <w:drawingGridVerticalSpacing w:val="54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E5OGY3NDg3YTY5NjZlNGM1Yzc1YmRjNWFjODI0YmYifQ=="/>
  </w:docVars>
  <w:rsids>
    <w:rsidRoot w:val="33EA1FF8"/>
    <w:rsid w:val="0000513F"/>
    <w:rsid w:val="0001057E"/>
    <w:rsid w:val="0001280C"/>
    <w:rsid w:val="000179A8"/>
    <w:rsid w:val="000359A5"/>
    <w:rsid w:val="00040173"/>
    <w:rsid w:val="00042DC1"/>
    <w:rsid w:val="00046316"/>
    <w:rsid w:val="00082822"/>
    <w:rsid w:val="00090D59"/>
    <w:rsid w:val="00095A83"/>
    <w:rsid w:val="000A2006"/>
    <w:rsid w:val="000A53A4"/>
    <w:rsid w:val="000F4BD7"/>
    <w:rsid w:val="000F7E42"/>
    <w:rsid w:val="00110A90"/>
    <w:rsid w:val="00115F78"/>
    <w:rsid w:val="001446E6"/>
    <w:rsid w:val="00155D7A"/>
    <w:rsid w:val="00172D70"/>
    <w:rsid w:val="00173585"/>
    <w:rsid w:val="00180572"/>
    <w:rsid w:val="001942E4"/>
    <w:rsid w:val="00196FBD"/>
    <w:rsid w:val="00204E70"/>
    <w:rsid w:val="00217F85"/>
    <w:rsid w:val="00224712"/>
    <w:rsid w:val="00232842"/>
    <w:rsid w:val="00273A45"/>
    <w:rsid w:val="00274D75"/>
    <w:rsid w:val="00275075"/>
    <w:rsid w:val="002831BD"/>
    <w:rsid w:val="00284BA2"/>
    <w:rsid w:val="002B7BCF"/>
    <w:rsid w:val="002C6542"/>
    <w:rsid w:val="002E2AB8"/>
    <w:rsid w:val="002F39AA"/>
    <w:rsid w:val="0032044D"/>
    <w:rsid w:val="0032678E"/>
    <w:rsid w:val="0034603E"/>
    <w:rsid w:val="00356E79"/>
    <w:rsid w:val="00366CA0"/>
    <w:rsid w:val="00371EFF"/>
    <w:rsid w:val="003C4DF1"/>
    <w:rsid w:val="003C645A"/>
    <w:rsid w:val="003E28F4"/>
    <w:rsid w:val="00404264"/>
    <w:rsid w:val="00410BD5"/>
    <w:rsid w:val="00410F8E"/>
    <w:rsid w:val="004207DF"/>
    <w:rsid w:val="004259E0"/>
    <w:rsid w:val="004413A5"/>
    <w:rsid w:val="00446BE0"/>
    <w:rsid w:val="00452030"/>
    <w:rsid w:val="00453BEC"/>
    <w:rsid w:val="00457C96"/>
    <w:rsid w:val="00460547"/>
    <w:rsid w:val="00477AB3"/>
    <w:rsid w:val="00480692"/>
    <w:rsid w:val="004877F7"/>
    <w:rsid w:val="004912F1"/>
    <w:rsid w:val="004C1929"/>
    <w:rsid w:val="004D151B"/>
    <w:rsid w:val="004D1675"/>
    <w:rsid w:val="004D69DA"/>
    <w:rsid w:val="00527560"/>
    <w:rsid w:val="0053278C"/>
    <w:rsid w:val="00565FD2"/>
    <w:rsid w:val="0059777E"/>
    <w:rsid w:val="005D68CA"/>
    <w:rsid w:val="005F3156"/>
    <w:rsid w:val="00605A0E"/>
    <w:rsid w:val="00642EF2"/>
    <w:rsid w:val="00670B7C"/>
    <w:rsid w:val="006979AF"/>
    <w:rsid w:val="006A7711"/>
    <w:rsid w:val="006B0362"/>
    <w:rsid w:val="006B1647"/>
    <w:rsid w:val="006B5590"/>
    <w:rsid w:val="006B6FE2"/>
    <w:rsid w:val="006C5368"/>
    <w:rsid w:val="006F549C"/>
    <w:rsid w:val="00707F03"/>
    <w:rsid w:val="00736F59"/>
    <w:rsid w:val="00737AAC"/>
    <w:rsid w:val="0075165D"/>
    <w:rsid w:val="0079727A"/>
    <w:rsid w:val="007A319A"/>
    <w:rsid w:val="007A3E88"/>
    <w:rsid w:val="007A6767"/>
    <w:rsid w:val="007A7F6D"/>
    <w:rsid w:val="007B437A"/>
    <w:rsid w:val="007B65AC"/>
    <w:rsid w:val="007C3082"/>
    <w:rsid w:val="007D77F5"/>
    <w:rsid w:val="007F1DF7"/>
    <w:rsid w:val="007F3E12"/>
    <w:rsid w:val="0080050C"/>
    <w:rsid w:val="00803F80"/>
    <w:rsid w:val="00823981"/>
    <w:rsid w:val="00825AC2"/>
    <w:rsid w:val="00841DA8"/>
    <w:rsid w:val="00843726"/>
    <w:rsid w:val="00860831"/>
    <w:rsid w:val="00871302"/>
    <w:rsid w:val="00894C4E"/>
    <w:rsid w:val="009045F0"/>
    <w:rsid w:val="009052AE"/>
    <w:rsid w:val="00947357"/>
    <w:rsid w:val="00950275"/>
    <w:rsid w:val="00955738"/>
    <w:rsid w:val="00967591"/>
    <w:rsid w:val="00974B9D"/>
    <w:rsid w:val="00993E66"/>
    <w:rsid w:val="009A2EC4"/>
    <w:rsid w:val="009B1C1F"/>
    <w:rsid w:val="009C171A"/>
    <w:rsid w:val="009C56AB"/>
    <w:rsid w:val="009D2697"/>
    <w:rsid w:val="009E5C8F"/>
    <w:rsid w:val="00A05AE9"/>
    <w:rsid w:val="00A24B86"/>
    <w:rsid w:val="00A4220F"/>
    <w:rsid w:val="00A7231D"/>
    <w:rsid w:val="00A750A4"/>
    <w:rsid w:val="00A77A02"/>
    <w:rsid w:val="00A94202"/>
    <w:rsid w:val="00AB3AB3"/>
    <w:rsid w:val="00AB6273"/>
    <w:rsid w:val="00AD445E"/>
    <w:rsid w:val="00AE46D1"/>
    <w:rsid w:val="00B04A16"/>
    <w:rsid w:val="00B16C02"/>
    <w:rsid w:val="00B17B81"/>
    <w:rsid w:val="00B3104E"/>
    <w:rsid w:val="00B76120"/>
    <w:rsid w:val="00B774F1"/>
    <w:rsid w:val="00B82398"/>
    <w:rsid w:val="00B87720"/>
    <w:rsid w:val="00BB2FA2"/>
    <w:rsid w:val="00BC1364"/>
    <w:rsid w:val="00BC1586"/>
    <w:rsid w:val="00BC1C4B"/>
    <w:rsid w:val="00BD001C"/>
    <w:rsid w:val="00BD6FDE"/>
    <w:rsid w:val="00BE68EE"/>
    <w:rsid w:val="00C026FC"/>
    <w:rsid w:val="00C1153A"/>
    <w:rsid w:val="00C16484"/>
    <w:rsid w:val="00C46264"/>
    <w:rsid w:val="00C5212D"/>
    <w:rsid w:val="00C71E9E"/>
    <w:rsid w:val="00CB1233"/>
    <w:rsid w:val="00CB510E"/>
    <w:rsid w:val="00CC2E6B"/>
    <w:rsid w:val="00CE20EE"/>
    <w:rsid w:val="00D3600F"/>
    <w:rsid w:val="00D36BD0"/>
    <w:rsid w:val="00D40731"/>
    <w:rsid w:val="00DA134F"/>
    <w:rsid w:val="00DA6075"/>
    <w:rsid w:val="00DC3B89"/>
    <w:rsid w:val="00DE6A71"/>
    <w:rsid w:val="00DF57B3"/>
    <w:rsid w:val="00E206B5"/>
    <w:rsid w:val="00E471FE"/>
    <w:rsid w:val="00E90BB7"/>
    <w:rsid w:val="00E916D0"/>
    <w:rsid w:val="00EA463B"/>
    <w:rsid w:val="00EA5846"/>
    <w:rsid w:val="00EB24E5"/>
    <w:rsid w:val="00EC710A"/>
    <w:rsid w:val="00EC74F0"/>
    <w:rsid w:val="00ED05C6"/>
    <w:rsid w:val="00ED1D4E"/>
    <w:rsid w:val="00EE2070"/>
    <w:rsid w:val="00F163FC"/>
    <w:rsid w:val="00F2482E"/>
    <w:rsid w:val="00F3168D"/>
    <w:rsid w:val="00F33248"/>
    <w:rsid w:val="00F62ADE"/>
    <w:rsid w:val="00F65064"/>
    <w:rsid w:val="00F711E3"/>
    <w:rsid w:val="00F760F3"/>
    <w:rsid w:val="00F949F8"/>
    <w:rsid w:val="00FA39B1"/>
    <w:rsid w:val="00FD394C"/>
    <w:rsid w:val="00FE23AA"/>
    <w:rsid w:val="00FF7EAE"/>
    <w:rsid w:val="01134BE1"/>
    <w:rsid w:val="019B36B5"/>
    <w:rsid w:val="04922CC1"/>
    <w:rsid w:val="05974012"/>
    <w:rsid w:val="0A6071C9"/>
    <w:rsid w:val="0A7D1260"/>
    <w:rsid w:val="0CCA750B"/>
    <w:rsid w:val="0CF31AC1"/>
    <w:rsid w:val="0D692839"/>
    <w:rsid w:val="1195197D"/>
    <w:rsid w:val="11B41CB1"/>
    <w:rsid w:val="12D469A6"/>
    <w:rsid w:val="14762D3D"/>
    <w:rsid w:val="156C736A"/>
    <w:rsid w:val="15C826FC"/>
    <w:rsid w:val="18EC2575"/>
    <w:rsid w:val="1B68787E"/>
    <w:rsid w:val="1EAC3FEF"/>
    <w:rsid w:val="1EBF41D4"/>
    <w:rsid w:val="1F631696"/>
    <w:rsid w:val="1F882E35"/>
    <w:rsid w:val="207D067D"/>
    <w:rsid w:val="20983709"/>
    <w:rsid w:val="21D33F69"/>
    <w:rsid w:val="221C35A3"/>
    <w:rsid w:val="230E181E"/>
    <w:rsid w:val="26FE09C5"/>
    <w:rsid w:val="272F5EBD"/>
    <w:rsid w:val="27812F79"/>
    <w:rsid w:val="288E0F4E"/>
    <w:rsid w:val="2AFB3580"/>
    <w:rsid w:val="2DA27874"/>
    <w:rsid w:val="2E7C1194"/>
    <w:rsid w:val="2FCE2B17"/>
    <w:rsid w:val="304A05EC"/>
    <w:rsid w:val="320C3B05"/>
    <w:rsid w:val="320E0EF0"/>
    <w:rsid w:val="324A2389"/>
    <w:rsid w:val="327A2F2F"/>
    <w:rsid w:val="33403BE0"/>
    <w:rsid w:val="33983F21"/>
    <w:rsid w:val="33EA1FF8"/>
    <w:rsid w:val="344B0158"/>
    <w:rsid w:val="349630E7"/>
    <w:rsid w:val="34AF2ECF"/>
    <w:rsid w:val="362F3B3C"/>
    <w:rsid w:val="38240B5B"/>
    <w:rsid w:val="38586B57"/>
    <w:rsid w:val="388E2A0A"/>
    <w:rsid w:val="38F7BDD6"/>
    <w:rsid w:val="39945892"/>
    <w:rsid w:val="3A233BEC"/>
    <w:rsid w:val="3BFF555C"/>
    <w:rsid w:val="3FC75019"/>
    <w:rsid w:val="40412CD9"/>
    <w:rsid w:val="41FE3024"/>
    <w:rsid w:val="424845D3"/>
    <w:rsid w:val="42672AE3"/>
    <w:rsid w:val="438020AF"/>
    <w:rsid w:val="439E31C8"/>
    <w:rsid w:val="44025894"/>
    <w:rsid w:val="46F00F2E"/>
    <w:rsid w:val="47485C1A"/>
    <w:rsid w:val="474A6C5C"/>
    <w:rsid w:val="47947ED7"/>
    <w:rsid w:val="47FD0069"/>
    <w:rsid w:val="482C3363"/>
    <w:rsid w:val="48467779"/>
    <w:rsid w:val="49315CD4"/>
    <w:rsid w:val="4A071157"/>
    <w:rsid w:val="4C0222EC"/>
    <w:rsid w:val="4D342B06"/>
    <w:rsid w:val="4EEC684A"/>
    <w:rsid w:val="4EF96E72"/>
    <w:rsid w:val="504C354E"/>
    <w:rsid w:val="50AB619A"/>
    <w:rsid w:val="51275918"/>
    <w:rsid w:val="52AD3FB1"/>
    <w:rsid w:val="53307402"/>
    <w:rsid w:val="53CC6C4A"/>
    <w:rsid w:val="546250DA"/>
    <w:rsid w:val="54CD4A28"/>
    <w:rsid w:val="550A7A2A"/>
    <w:rsid w:val="56666849"/>
    <w:rsid w:val="56DF65B4"/>
    <w:rsid w:val="57B52768"/>
    <w:rsid w:val="58E840A2"/>
    <w:rsid w:val="5B8554BA"/>
    <w:rsid w:val="5BFFC6C7"/>
    <w:rsid w:val="5C69772C"/>
    <w:rsid w:val="5CA2740B"/>
    <w:rsid w:val="5D7F4AFB"/>
    <w:rsid w:val="5FEF526A"/>
    <w:rsid w:val="60A800F7"/>
    <w:rsid w:val="626D2213"/>
    <w:rsid w:val="647F4C5F"/>
    <w:rsid w:val="64907668"/>
    <w:rsid w:val="65E31580"/>
    <w:rsid w:val="65F95ADB"/>
    <w:rsid w:val="663B07FB"/>
    <w:rsid w:val="6BD7FDDE"/>
    <w:rsid w:val="6C095DC8"/>
    <w:rsid w:val="6D6B267F"/>
    <w:rsid w:val="6EAE516B"/>
    <w:rsid w:val="71AF7915"/>
    <w:rsid w:val="723055BB"/>
    <w:rsid w:val="739313A2"/>
    <w:rsid w:val="743D1A3F"/>
    <w:rsid w:val="75A3684C"/>
    <w:rsid w:val="7A4E3666"/>
    <w:rsid w:val="7ACC4282"/>
    <w:rsid w:val="7B612882"/>
    <w:rsid w:val="7BD01932"/>
    <w:rsid w:val="B577D130"/>
    <w:rsid w:val="D6FF18CF"/>
    <w:rsid w:val="FEFEF320"/>
    <w:rsid w:val="FFAC096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仿宋" w:asciiTheme="minorHAnsi" w:hAnsiTheme="minorHAnsi" w:cstheme="minorBidi"/>
      <w:kern w:val="2"/>
      <w:sz w:val="30"/>
      <w:szCs w:val="24"/>
      <w:lang w:val="en-US" w:eastAsia="zh-CN" w:bidi="ar-SA"/>
    </w:rPr>
  </w:style>
  <w:style w:type="paragraph" w:styleId="3">
    <w:name w:val="heading 1"/>
    <w:basedOn w:val="1"/>
    <w:next w:val="1"/>
    <w:qFormat/>
    <w:uiPriority w:val="9"/>
    <w:pPr>
      <w:ind w:left="300"/>
      <w:outlineLvl w:val="0"/>
    </w:pPr>
    <w:rPr>
      <w:sz w:val="28"/>
      <w:szCs w:val="28"/>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rPr>
      <w:sz w:val="24"/>
      <w:szCs w:val="24"/>
    </w:rPr>
  </w:style>
  <w:style w:type="paragraph" w:styleId="4">
    <w:name w:val="annotation text"/>
    <w:basedOn w:val="1"/>
    <w:link w:val="21"/>
    <w:qFormat/>
    <w:uiPriority w:val="0"/>
    <w:pPr>
      <w:jc w:val="left"/>
    </w:pPr>
  </w:style>
  <w:style w:type="paragraph" w:styleId="5">
    <w:name w:val="Balloon Text"/>
    <w:basedOn w:val="1"/>
    <w:link w:val="20"/>
    <w:qFormat/>
    <w:uiPriority w:val="0"/>
    <w:rPr>
      <w:sz w:val="18"/>
      <w:szCs w:val="18"/>
    </w:rPr>
  </w:style>
  <w:style w:type="paragraph" w:styleId="6">
    <w:name w:val="footer"/>
    <w:basedOn w:val="1"/>
    <w:link w:val="19"/>
    <w:qFormat/>
    <w:uiPriority w:val="0"/>
    <w:pPr>
      <w:tabs>
        <w:tab w:val="center" w:pos="4153"/>
        <w:tab w:val="right" w:pos="8306"/>
      </w:tabs>
      <w:snapToGrid w:val="0"/>
      <w:jc w:val="left"/>
    </w:pPr>
    <w:rPr>
      <w:sz w:val="18"/>
      <w:szCs w:val="18"/>
    </w:rPr>
  </w:style>
  <w:style w:type="paragraph" w:styleId="7">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styleId="8">
    <w:name w:val="annotation subject"/>
    <w:basedOn w:val="4"/>
    <w:next w:val="4"/>
    <w:link w:val="22"/>
    <w:qFormat/>
    <w:uiPriority w:val="0"/>
    <w:rPr>
      <w:b/>
      <w:bCs/>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annotation reference"/>
    <w:basedOn w:val="11"/>
    <w:qFormat/>
    <w:uiPriority w:val="0"/>
    <w:rPr>
      <w:sz w:val="21"/>
      <w:szCs w:val="21"/>
    </w:rPr>
  </w:style>
  <w:style w:type="paragraph" w:customStyle="1" w:styleId="13">
    <w:name w:val="正文 A"/>
    <w:qFormat/>
    <w:uiPriority w:val="0"/>
    <w:pPr>
      <w:widowControl w:val="0"/>
      <w:jc w:val="both"/>
    </w:pPr>
    <w:rPr>
      <w:rFonts w:ascii="Calibri" w:hAnsi="Calibri" w:eastAsia="Calibri" w:cs="Calibri"/>
      <w:kern w:val="2"/>
      <w:sz w:val="21"/>
      <w:szCs w:val="21"/>
      <w:lang w:val="en-US" w:eastAsia="zh-CN" w:bidi="ar-SA"/>
    </w:rPr>
  </w:style>
  <w:style w:type="paragraph" w:customStyle="1" w:styleId="14">
    <w:name w:val="默认"/>
    <w:qFormat/>
    <w:uiPriority w:val="0"/>
    <w:rPr>
      <w:rFonts w:hint="eastAsia" w:ascii="Arial Unicode MS" w:hAnsi="Arial Unicode MS" w:eastAsia="Arial Unicode MS" w:cs="Arial Unicode MS"/>
      <w:sz w:val="22"/>
      <w:szCs w:val="22"/>
      <w:lang w:val="zh-CN" w:eastAsia="zh-CN" w:bidi="ar-SA"/>
    </w:rPr>
  </w:style>
  <w:style w:type="paragraph" w:customStyle="1" w:styleId="15">
    <w:name w:val="标题 41"/>
    <w:qFormat/>
    <w:uiPriority w:val="0"/>
    <w:pPr>
      <w:widowControl w:val="0"/>
      <w:jc w:val="both"/>
    </w:pPr>
    <w:rPr>
      <w:rFonts w:ascii="Calibri" w:hAnsi="Calibri" w:eastAsia="Calibri" w:cs="Calibri"/>
      <w:sz w:val="21"/>
      <w:szCs w:val="22"/>
      <w:lang w:val="zh-CN" w:eastAsia="zh-CN" w:bidi="ar-SA"/>
    </w:rPr>
  </w:style>
  <w:style w:type="paragraph" w:customStyle="1" w:styleId="16">
    <w:name w:val="页眉与页脚"/>
    <w:qFormat/>
    <w:uiPriority w:val="0"/>
    <w:pPr>
      <w:tabs>
        <w:tab w:val="right" w:pos="9020"/>
      </w:tabs>
    </w:pPr>
    <w:rPr>
      <w:rFonts w:ascii="Helvetica Neue" w:hAnsi="Helvetica Neue" w:eastAsia="Arial Unicode MS" w:cs="Arial Unicode MS"/>
      <w:sz w:val="24"/>
      <w:szCs w:val="24"/>
      <w:lang w:val="en-US" w:eastAsia="zh-CN" w:bidi="ar-SA"/>
    </w:rPr>
  </w:style>
  <w:style w:type="paragraph" w:customStyle="1" w:styleId="17">
    <w:name w:val="页脚 Char Char"/>
    <w:qFormat/>
    <w:uiPriority w:val="0"/>
    <w:pPr>
      <w:widowControl w:val="0"/>
      <w:tabs>
        <w:tab w:val="center" w:pos="4153"/>
        <w:tab w:val="right" w:pos="8306"/>
      </w:tabs>
    </w:pPr>
    <w:rPr>
      <w:rFonts w:ascii="Calibri" w:hAnsi="Calibri" w:eastAsia="Calibri" w:cs="Calibri"/>
      <w:kern w:val="2"/>
      <w:sz w:val="18"/>
      <w:szCs w:val="18"/>
      <w:lang w:val="en-US" w:eastAsia="zh-CN" w:bidi="ar-SA"/>
    </w:rPr>
  </w:style>
  <w:style w:type="character" w:customStyle="1" w:styleId="18">
    <w:name w:val="页眉 Char"/>
    <w:basedOn w:val="11"/>
    <w:link w:val="7"/>
    <w:qFormat/>
    <w:uiPriority w:val="0"/>
    <w:rPr>
      <w:rFonts w:eastAsia="仿宋"/>
      <w:kern w:val="2"/>
      <w:sz w:val="18"/>
      <w:szCs w:val="18"/>
    </w:rPr>
  </w:style>
  <w:style w:type="character" w:customStyle="1" w:styleId="19">
    <w:name w:val="页脚 Char"/>
    <w:basedOn w:val="11"/>
    <w:link w:val="6"/>
    <w:qFormat/>
    <w:uiPriority w:val="0"/>
    <w:rPr>
      <w:rFonts w:eastAsia="仿宋"/>
      <w:kern w:val="2"/>
      <w:sz w:val="18"/>
      <w:szCs w:val="18"/>
    </w:rPr>
  </w:style>
  <w:style w:type="character" w:customStyle="1" w:styleId="20">
    <w:name w:val="批注框文本 Char"/>
    <w:basedOn w:val="11"/>
    <w:link w:val="5"/>
    <w:qFormat/>
    <w:uiPriority w:val="0"/>
    <w:rPr>
      <w:rFonts w:eastAsia="仿宋"/>
      <w:kern w:val="2"/>
      <w:sz w:val="18"/>
      <w:szCs w:val="18"/>
    </w:rPr>
  </w:style>
  <w:style w:type="character" w:customStyle="1" w:styleId="21">
    <w:name w:val="批注文字 Char"/>
    <w:basedOn w:val="11"/>
    <w:link w:val="4"/>
    <w:qFormat/>
    <w:uiPriority w:val="0"/>
    <w:rPr>
      <w:rFonts w:eastAsia="仿宋"/>
      <w:kern w:val="2"/>
      <w:sz w:val="30"/>
      <w:szCs w:val="24"/>
    </w:rPr>
  </w:style>
  <w:style w:type="character" w:customStyle="1" w:styleId="22">
    <w:name w:val="批注主题 Char"/>
    <w:basedOn w:val="21"/>
    <w:link w:val="8"/>
    <w:qFormat/>
    <w:uiPriority w:val="0"/>
    <w:rPr>
      <w:rFonts w:eastAsia="仿宋"/>
      <w:b/>
      <w:bCs/>
      <w:kern w:val="2"/>
      <w:sz w:val="30"/>
      <w:szCs w:val="24"/>
    </w:rPr>
  </w:style>
  <w:style w:type="character" w:customStyle="1" w:styleId="23">
    <w:name w:val="font21"/>
    <w:basedOn w:val="11"/>
    <w:qFormat/>
    <w:uiPriority w:val="0"/>
    <w:rPr>
      <w:rFonts w:hint="eastAsia" w:ascii="仿宋" w:hAnsi="仿宋" w:eastAsia="仿宋" w:cs="仿宋"/>
      <w:color w:val="000000"/>
      <w:sz w:val="20"/>
      <w:szCs w:val="20"/>
      <w:u w:val="none"/>
    </w:rPr>
  </w:style>
  <w:style w:type="character" w:customStyle="1" w:styleId="24">
    <w:name w:val="font41"/>
    <w:basedOn w:val="11"/>
    <w:qFormat/>
    <w:uiPriority w:val="0"/>
    <w:rPr>
      <w:rFonts w:hint="eastAsia" w:ascii="仿宋" w:hAnsi="仿宋" w:eastAsia="仿宋" w:cs="仿宋"/>
      <w:color w:val="000000"/>
      <w:sz w:val="20"/>
      <w:szCs w:val="20"/>
      <w:u w:val="single"/>
    </w:rPr>
  </w:style>
  <w:style w:type="character" w:customStyle="1" w:styleId="25">
    <w:name w:val="font61"/>
    <w:basedOn w:val="11"/>
    <w:qFormat/>
    <w:uiPriority w:val="0"/>
    <w:rPr>
      <w:rFonts w:hint="eastAsia" w:ascii="仿宋" w:hAnsi="仿宋" w:eastAsia="仿宋" w:cs="仿宋"/>
      <w:color w:val="000000"/>
      <w:sz w:val="20"/>
      <w:szCs w:val="20"/>
      <w:u w:val="single"/>
    </w:rPr>
  </w:style>
  <w:style w:type="character" w:customStyle="1" w:styleId="26">
    <w:name w:val="font51"/>
    <w:basedOn w:val="11"/>
    <w:qFormat/>
    <w:uiPriority w:val="0"/>
    <w:rPr>
      <w:rFonts w:hint="eastAsia" w:ascii="仿宋" w:hAnsi="仿宋" w:eastAsia="仿宋" w:cs="仿宋"/>
      <w:color w:val="000000"/>
      <w:sz w:val="20"/>
      <w:szCs w:val="20"/>
      <w:u w:val="single"/>
    </w:rPr>
  </w:style>
  <w:style w:type="character" w:customStyle="1" w:styleId="27">
    <w:name w:val="font31"/>
    <w:basedOn w:val="11"/>
    <w:qFormat/>
    <w:uiPriority w:val="0"/>
    <w:rPr>
      <w:rFonts w:hint="eastAsia" w:ascii="仿宋" w:hAnsi="仿宋" w:eastAsia="仿宋" w:cs="仿宋"/>
      <w:color w:val="000000"/>
      <w:sz w:val="20"/>
      <w:szCs w:val="20"/>
      <w:u w:val="single"/>
    </w:rPr>
  </w:style>
  <w:style w:type="paragraph" w:customStyle="1" w:styleId="28">
    <w:name w:val="Table Paragraph"/>
    <w:basedOn w:val="1"/>
    <w:qFormat/>
    <w:uiPriority w:val="1"/>
    <w:pPr>
      <w:spacing w:before="180"/>
      <w:ind w:left="221"/>
      <w:jc w:val="center"/>
    </w:pPr>
  </w:style>
  <w:style w:type="table" w:customStyle="1" w:styleId="29">
    <w:name w:val="Table Normal"/>
    <w:semiHidden/>
    <w:unhideWhenUsed/>
    <w:qFormat/>
    <w:uiPriority w:val="2"/>
    <w:tblPr>
      <w:tblCellMar>
        <w:top w:w="0" w:type="dxa"/>
        <w:left w:w="0" w:type="dxa"/>
        <w:bottom w:w="0" w:type="dxa"/>
        <w:right w:w="0" w:type="dxa"/>
      </w:tblCellMar>
    </w:tblPr>
  </w:style>
  <w:style w:type="paragraph" w:styleId="30">
    <w:name w:val="List Paragraph"/>
    <w:basedOn w:val="1"/>
    <w:qFormat/>
    <w:uiPriority w:val="1"/>
    <w:pPr>
      <w:snapToGrid w:val="0"/>
      <w:spacing w:line="360" w:lineRule="auto"/>
      <w:ind w:left="-493" w:firstLine="454"/>
    </w:pPr>
    <w:rPr>
      <w:snapToGrid w:val="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D99314-8237-4F90-9211-8FB4BCD9FD63}">
  <ds:schemaRefs/>
</ds:datastoreItem>
</file>

<file path=docProps/app.xml><?xml version="1.0" encoding="utf-8"?>
<Properties xmlns="http://schemas.openxmlformats.org/officeDocument/2006/extended-properties" xmlns:vt="http://schemas.openxmlformats.org/officeDocument/2006/docPropsVTypes">
  <Template>Normal</Template>
  <Pages>14</Pages>
  <Words>5644</Words>
  <Characters>5654</Characters>
  <Lines>34</Lines>
  <Paragraphs>9</Paragraphs>
  <TotalTime>51</TotalTime>
  <ScaleCrop>false</ScaleCrop>
  <LinksUpToDate>false</LinksUpToDate>
  <CharactersWithSpaces>5681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2020-03-24T08:06:00Z</dcterms:created>
  <dc:creator>Administrator</dc:creator>
  <cp:lastModifiedBy>微风细雨</cp:lastModifiedBy>
  <dcterms:modified xsi:type="dcterms:W3CDTF">2023-07-31T09:24:52Z</dcterms:modified>
  <dc:title>福建省贯彻落实国家药品集中采购和使用试点</dc:title>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0FF5E22D8586436FB5AD6298627890B0_13</vt:lpwstr>
  </property>
</Properties>
</file>