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2023年台州市公立医院医疗服务价格</w:t>
      </w:r>
    </w:p>
    <w:p>
      <w:pPr>
        <w:spacing w:line="6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动态调整方案</w:t>
      </w:r>
    </w:p>
    <w:p>
      <w:pPr>
        <w:spacing w:line="6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pStyle w:val="3"/>
        <w:spacing w:after="0" w:line="600" w:lineRule="exact"/>
        <w:ind w:left="0" w:leftChars="0" w:firstLine="0" w:firstLineChars="0"/>
        <w:rPr>
          <w:rFonts w:cs="Times New Roman"/>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为进一步深化医疗服务价格改革，开展新一轮医疗服务价格动态调整工作，根据《国家医疗保障局办公室关于进一步做好医疗服务价格管理工作的通知》（医保办发〔2022〕16号）、《浙江省医疗保障局 浙江省卫生健康委员会 浙江省财政厅 浙江省市场监督管理局关于建立医疗服务价格动态调整机制的实施意见》（浙医保联发〔2021〕20号）和《浙江省医疗保障局关于启动2023年 医疗服务价格动态调整工作的通知》（浙医保发〔2023〕33号）等相关文件精神，结合台州市实际，制定本方案。</w:t>
      </w:r>
    </w:p>
    <w:p>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经典黑体简" w:cs="仿宋_GB2312"/>
          <w:sz w:val="32"/>
          <w:szCs w:val="32"/>
          <w:lang w:eastAsia="zh-CN"/>
        </w:rPr>
      </w:pPr>
      <w:r>
        <w:rPr>
          <w:rFonts w:hint="eastAsia" w:ascii="仿宋_GB2312" w:hAnsi="仿宋_GB2312" w:eastAsia="仿宋_GB2312" w:cs="仿宋_GB2312"/>
          <w:sz w:val="32"/>
          <w:szCs w:val="32"/>
          <w:lang w:eastAsia="zh-CN"/>
        </w:rPr>
        <w:t>　</w:t>
      </w:r>
      <w:r>
        <w:rPr>
          <w:rFonts w:hint="eastAsia" w:ascii="经典黑体简" w:hAnsi="经典黑体简" w:eastAsia="经典黑体简" w:cs="经典黑体简"/>
          <w:sz w:val="32"/>
          <w:szCs w:val="32"/>
          <w:lang w:val="en-US" w:eastAsia="zh-CN"/>
        </w:rPr>
        <w:t>一、指导思想</w:t>
      </w:r>
    </w:p>
    <w:p>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以习近平新时代中国特色社会主义思想为指导，全面贯彻落实党的二十大精神，坚持以人民健康为中心，以临床价值为导向，稳妥推进医疗服务价格调整改革，逐步理顺医疗服务比价关系，合理体现技术劳务价值，支持医疗技术进步，促进医疗机构主动规范服务行为，引导医疗卫生事业高质量发展，保障人民群众获得高质量、有效率、能负担的医疗卫生服务。</w:t>
      </w:r>
    </w:p>
    <w:p>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经典黑体简" w:hAnsi="经典黑体简" w:eastAsia="经典黑体简" w:cs="经典黑体简"/>
          <w:sz w:val="32"/>
          <w:szCs w:val="32"/>
          <w:lang w:val="en-US" w:eastAsia="zh-CN"/>
        </w:rPr>
      </w:pPr>
      <w:r>
        <w:rPr>
          <w:rFonts w:hint="eastAsia" w:ascii="仿宋_GB2312" w:hAnsi="仿宋_GB2312" w:eastAsia="仿宋_GB2312" w:cs="仿宋_GB2312"/>
          <w:sz w:val="32"/>
          <w:szCs w:val="32"/>
          <w:lang w:eastAsia="zh-CN"/>
        </w:rPr>
        <w:t>　　</w:t>
      </w:r>
      <w:r>
        <w:rPr>
          <w:rFonts w:hint="eastAsia" w:ascii="经典黑体简" w:hAnsi="经典黑体简" w:eastAsia="经典黑体简" w:cs="经典黑体简"/>
          <w:sz w:val="32"/>
          <w:szCs w:val="32"/>
          <w:lang w:eastAsia="zh-CN"/>
        </w:rPr>
        <w:t>二、</w:t>
      </w:r>
      <w:r>
        <w:rPr>
          <w:rFonts w:hint="eastAsia" w:ascii="经典黑体简" w:hAnsi="经典黑体简" w:eastAsia="经典黑体简" w:cs="经典黑体简"/>
          <w:sz w:val="32"/>
          <w:szCs w:val="32"/>
          <w:lang w:val="en-US" w:eastAsia="zh-CN"/>
        </w:rPr>
        <w:t>基本原则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caps w:val="0"/>
          <w:color w:val="000000"/>
          <w:spacing w:val="0"/>
          <w:kern w:val="0"/>
          <w:sz w:val="32"/>
          <w:szCs w:val="32"/>
          <w:shd w:val="clear" w:fill="FFFFFF"/>
          <w:lang w:val="en-US" w:eastAsia="zh-CN" w:bidi="ar"/>
        </w:rPr>
        <w:t>　　</w:t>
      </w:r>
      <w:r>
        <w:rPr>
          <w:rFonts w:hint="eastAsia" w:ascii="楷体_GB2312" w:hAnsi="楷体_GB2312" w:eastAsia="楷体_GB2312" w:cs="楷体_GB2312"/>
          <w:i w:val="0"/>
          <w:caps w:val="0"/>
          <w:color w:val="000000"/>
          <w:spacing w:val="0"/>
          <w:kern w:val="0"/>
          <w:sz w:val="32"/>
          <w:szCs w:val="32"/>
          <w:shd w:val="clear" w:fill="FFFFFF"/>
          <w:lang w:val="en-US" w:eastAsia="zh-CN" w:bidi="ar"/>
        </w:rPr>
        <w:t>（一）坚持总量控制，结构优化。</w:t>
      </w:r>
      <w:r>
        <w:rPr>
          <w:rFonts w:hint="eastAsia" w:ascii="仿宋_GB2312" w:hAnsi="仿宋_GB2312" w:eastAsia="仿宋_GB2312" w:cs="仿宋_GB2312"/>
          <w:i w:val="0"/>
          <w:caps w:val="0"/>
          <w:color w:val="000000"/>
          <w:spacing w:val="0"/>
          <w:kern w:val="0"/>
          <w:sz w:val="32"/>
          <w:szCs w:val="32"/>
          <w:shd w:val="clear" w:fill="FFFFFF"/>
          <w:lang w:val="en-US" w:eastAsia="zh-CN" w:bidi="ar"/>
        </w:rPr>
        <w:t>严格遵照调价程序，综合考虑我市经济社会发展、医保基金收支、医疗费用增长、居民收入消费水平等因素，合理遴选项目，调增、调降相结合，优化项目价格结构，总量控制结构调整，逐步理顺医疗服务比价关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i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　　（二）坚持三医联动，统筹推进。</w:t>
      </w:r>
      <w:r>
        <w:rPr>
          <w:rFonts w:hint="eastAsia" w:ascii="仿宋_GB2312" w:hAnsi="仿宋_GB2312" w:eastAsia="仿宋_GB2312" w:cs="仿宋_GB2312"/>
          <w:i w:val="0"/>
          <w:caps w:val="0"/>
          <w:color w:val="000000"/>
          <w:spacing w:val="0"/>
          <w:kern w:val="0"/>
          <w:sz w:val="32"/>
          <w:szCs w:val="32"/>
          <w:shd w:val="clear" w:fill="FFFFFF"/>
          <w:lang w:val="en-US" w:eastAsia="zh-CN" w:bidi="ar"/>
        </w:rPr>
        <w:t>坚持医保、医疗、医药协同发展和治理，兼顾医、保、患三者平衡，确保医保基金安全可控、公立医院良性发展、群众总体负担不增加。价格调整与医保支付方式改革、规范医疗技术管理、薪酬制度改革、综合监管相互衔接、统筹推进。</w:t>
      </w:r>
    </w:p>
    <w:p>
      <w:pPr>
        <w:pStyle w:val="3"/>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经典黑体简" w:hAnsi="经典黑体简" w:eastAsia="经典黑体简" w:cs="经典黑体简"/>
          <w:sz w:val="32"/>
          <w:szCs w:val="32"/>
          <w:lang w:val="en-US" w:eastAsia="zh-CN"/>
        </w:rPr>
      </w:pPr>
      <w:r>
        <w:rPr>
          <w:rFonts w:hint="eastAsia" w:ascii="楷体_GB2312" w:hAnsi="楷体_GB2312" w:eastAsia="楷体_GB2312" w:cs="楷体_GB2312"/>
          <w:sz w:val="32"/>
          <w:szCs w:val="32"/>
          <w:lang w:val="en-US" w:eastAsia="zh-CN"/>
        </w:rPr>
        <w:t>　　（三）坚持问题导向，突出重点。</w:t>
      </w:r>
      <w:r>
        <w:rPr>
          <w:rFonts w:hint="eastAsia" w:ascii="仿宋_GB2312" w:hAnsi="仿宋_GB2312" w:eastAsia="仿宋_GB2312" w:cs="仿宋_GB2312"/>
          <w:sz w:val="32"/>
          <w:szCs w:val="32"/>
          <w:lang w:val="en-US" w:eastAsia="zh-CN"/>
        </w:rPr>
        <w:t>调增体现临床技术劳务价值的技术操作、手术、治疗、中医等项目价格，兼顾医疗技术发展，突出向高技术、高难度、高风险的手术类项目倾斜，助推“医学高峰”建设，促进医疗资源合理配置；降低部分比价关系不够合理的检验、治疗、手术等项目价格。</w:t>
      </w:r>
    </w:p>
    <w:p>
      <w:pPr>
        <w:pStyle w:val="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经典黑体简" w:hAnsi="经典黑体简" w:eastAsia="经典黑体简" w:cs="经典黑体简"/>
          <w:sz w:val="32"/>
          <w:szCs w:val="32"/>
          <w:lang w:val="en-US" w:eastAsia="zh-CN"/>
        </w:rPr>
      </w:pPr>
      <w:r>
        <w:rPr>
          <w:rFonts w:hint="eastAsia" w:ascii="经典黑体简" w:hAnsi="经典黑体简" w:eastAsia="经典黑体简" w:cs="经典黑体简"/>
          <w:sz w:val="32"/>
          <w:szCs w:val="32"/>
          <w:lang w:val="en-US" w:eastAsia="zh-CN"/>
        </w:rPr>
        <w:t>　　三、实施范围</w:t>
      </w:r>
    </w:p>
    <w:p>
      <w:pPr>
        <w:pStyle w:val="3"/>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经典黑体简" w:hAnsi="经典黑体简" w:eastAsia="仿宋_GB2312" w:cs="经典黑体简"/>
          <w:sz w:val="32"/>
          <w:szCs w:val="32"/>
          <w:lang w:val="en-US" w:eastAsia="zh-CN"/>
        </w:rPr>
      </w:pPr>
      <w:r>
        <w:rPr>
          <w:rFonts w:hint="eastAsia" w:ascii="经典黑体简" w:hAnsi="经典黑体简" w:eastAsia="经典黑体简" w:cs="经典黑体简"/>
          <w:sz w:val="32"/>
          <w:szCs w:val="32"/>
          <w:lang w:val="en-US" w:eastAsia="zh-CN"/>
        </w:rPr>
        <w:t>　　</w:t>
      </w:r>
      <w:r>
        <w:rPr>
          <w:rFonts w:ascii="Times New Roman" w:hAnsi="Times New Roman" w:eastAsia="仿宋_GB2312" w:cs="Times New Roman"/>
          <w:sz w:val="32"/>
          <w:szCs w:val="32"/>
        </w:rPr>
        <w:t>台州市级及各县（市、区）级公立医院</w:t>
      </w:r>
      <w:r>
        <w:rPr>
          <w:rFonts w:hint="eastAsia" w:eastAsia="仿宋_GB2312" w:cs="Times New Roman"/>
          <w:sz w:val="32"/>
          <w:szCs w:val="32"/>
          <w:lang w:eastAsia="zh-CN"/>
        </w:rPr>
        <w:t>。</w:t>
      </w:r>
    </w:p>
    <w:p>
      <w:pPr>
        <w:pStyle w:val="3"/>
        <w:keepNext w:val="0"/>
        <w:keepLines w:val="0"/>
        <w:pageBreakBefore w:val="0"/>
        <w:numPr>
          <w:numId w:val="0"/>
        </w:numPr>
        <w:kinsoku/>
        <w:wordWrap/>
        <w:overflowPunct/>
        <w:topLinePunct w:val="0"/>
        <w:autoSpaceDE/>
        <w:autoSpaceDN/>
        <w:bidi w:val="0"/>
        <w:adjustRightInd/>
        <w:snapToGrid/>
        <w:spacing w:line="360" w:lineRule="auto"/>
        <w:ind w:firstLine="640" w:firstLineChars="200"/>
        <w:textAlignment w:val="auto"/>
        <w:rPr>
          <w:rFonts w:hint="eastAsia" w:ascii="经典黑体简" w:hAnsi="经典黑体简" w:eastAsia="经典黑体简" w:cs="经典黑体简"/>
          <w:sz w:val="32"/>
          <w:szCs w:val="32"/>
          <w:lang w:val="en-US" w:eastAsia="zh-CN"/>
        </w:rPr>
      </w:pPr>
      <w:r>
        <w:rPr>
          <w:rFonts w:hint="eastAsia" w:ascii="经典黑体简" w:hAnsi="经典黑体简" w:eastAsia="经典黑体简" w:cs="经典黑体简"/>
          <w:sz w:val="32"/>
          <w:szCs w:val="32"/>
          <w:lang w:val="en-US" w:eastAsia="zh-CN"/>
        </w:rPr>
        <w:t>四、调整内容</w:t>
      </w:r>
    </w:p>
    <w:p>
      <w:pPr>
        <w:ind w:firstLine="600" w:firstLineChars="200"/>
        <w:rPr>
          <w:rFonts w:hint="eastAsia" w:ascii="仿宋_GB2312" w:hAnsi="仿宋_GB2312" w:eastAsia="仿宋_GB2312" w:cs="仿宋_GB2312"/>
          <w:sz w:val="32"/>
          <w:szCs w:val="32"/>
          <w:lang w:val="en-US" w:eastAsia="zh-CN"/>
        </w:rPr>
      </w:pPr>
      <w:r>
        <w:rPr>
          <w:rFonts w:hint="eastAsia" w:ascii="宋体" w:eastAsia="宋体" w:cs="宋体"/>
          <w:kern w:val="0"/>
          <w:sz w:val="30"/>
          <w:szCs w:val="30"/>
          <w:lang w:val="zh-CN"/>
        </w:rPr>
        <w:t>本次调整项目数共</w:t>
      </w:r>
      <w:r>
        <w:rPr>
          <w:rFonts w:ascii="宋体" w:eastAsia="宋体" w:cs="宋体"/>
          <w:kern w:val="0"/>
          <w:sz w:val="30"/>
          <w:szCs w:val="30"/>
          <w:lang w:val="zh-CN"/>
        </w:rPr>
        <w:t>459</w:t>
      </w:r>
      <w:r>
        <w:rPr>
          <w:rFonts w:hint="eastAsia" w:ascii="宋体" w:eastAsia="宋体" w:cs="宋体"/>
          <w:kern w:val="0"/>
          <w:sz w:val="30"/>
          <w:szCs w:val="30"/>
          <w:lang w:val="zh-CN"/>
        </w:rPr>
        <w:t>项，其中调增项目</w:t>
      </w:r>
      <w:r>
        <w:rPr>
          <w:rFonts w:ascii="宋体" w:eastAsia="宋体" w:cs="宋体"/>
          <w:kern w:val="0"/>
          <w:sz w:val="30"/>
          <w:szCs w:val="30"/>
          <w:lang w:val="zh-CN"/>
        </w:rPr>
        <w:t>94</w:t>
      </w:r>
      <w:r>
        <w:rPr>
          <w:rFonts w:hint="eastAsia" w:ascii="宋体" w:eastAsia="宋体" w:cs="宋体"/>
          <w:kern w:val="0"/>
          <w:sz w:val="30"/>
          <w:szCs w:val="30"/>
          <w:lang w:val="zh-CN"/>
        </w:rPr>
        <w:t>项，平均调价幅度</w:t>
      </w:r>
      <w:r>
        <w:rPr>
          <w:rFonts w:ascii="宋体" w:eastAsia="宋体" w:cs="宋体"/>
          <w:kern w:val="0"/>
          <w:sz w:val="30"/>
          <w:szCs w:val="30"/>
          <w:lang w:val="zh-CN"/>
        </w:rPr>
        <w:t>24.75%</w:t>
      </w:r>
      <w:r>
        <w:rPr>
          <w:rFonts w:hint="eastAsia" w:ascii="宋体" w:eastAsia="宋体" w:cs="宋体"/>
          <w:kern w:val="0"/>
          <w:sz w:val="30"/>
          <w:szCs w:val="30"/>
          <w:lang w:val="zh-CN"/>
        </w:rPr>
        <w:t>。调降项目</w:t>
      </w:r>
      <w:r>
        <w:rPr>
          <w:rFonts w:ascii="宋体" w:eastAsia="宋体" w:cs="宋体"/>
          <w:kern w:val="0"/>
          <w:sz w:val="30"/>
          <w:szCs w:val="30"/>
          <w:lang w:val="zh-CN"/>
        </w:rPr>
        <w:t>365</w:t>
      </w:r>
      <w:r>
        <w:rPr>
          <w:rFonts w:hint="eastAsia" w:ascii="宋体" w:eastAsia="宋体" w:cs="宋体"/>
          <w:kern w:val="0"/>
          <w:sz w:val="30"/>
          <w:szCs w:val="30"/>
          <w:lang w:val="zh-CN"/>
        </w:rPr>
        <w:t>项，平均调价幅度</w:t>
      </w:r>
      <w:r>
        <w:rPr>
          <w:rFonts w:ascii="宋体" w:eastAsia="宋体" w:cs="宋体"/>
          <w:kern w:val="0"/>
          <w:sz w:val="30"/>
          <w:szCs w:val="30"/>
          <w:lang w:val="zh-CN"/>
        </w:rPr>
        <w:t>-7.51</w:t>
      </w:r>
      <w:r>
        <w:rPr>
          <w:rFonts w:hint="eastAsia" w:ascii="宋体" w:eastAsia="宋体" w:cs="宋体"/>
          <w:kern w:val="0"/>
          <w:sz w:val="30"/>
          <w:szCs w:val="30"/>
          <w:lang w:val="zh-CN"/>
        </w:rPr>
        <w:t>％。</w:t>
      </w:r>
      <w:r>
        <w:rPr>
          <w:rFonts w:hint="eastAsia" w:ascii="宋体" w:eastAsia="宋体" w:cs="宋体"/>
          <w:b/>
          <w:kern w:val="0"/>
          <w:sz w:val="30"/>
          <w:szCs w:val="30"/>
          <w:lang w:val="zh-CN"/>
        </w:rPr>
        <w:t>调增项目：</w:t>
      </w:r>
      <w:r>
        <w:rPr>
          <w:rFonts w:hint="eastAsia" w:ascii="宋体" w:eastAsia="宋体" w:cs="宋体"/>
          <w:kern w:val="0"/>
          <w:sz w:val="30"/>
          <w:szCs w:val="30"/>
          <w:lang w:val="zh-CN"/>
        </w:rPr>
        <w:t>综合医疗服务类</w:t>
      </w:r>
      <w:r>
        <w:rPr>
          <w:rFonts w:ascii="宋体" w:eastAsia="宋体" w:cs="宋体"/>
          <w:kern w:val="0"/>
          <w:sz w:val="30"/>
          <w:szCs w:val="30"/>
          <w:lang w:val="zh-CN"/>
        </w:rPr>
        <w:t>2</w:t>
      </w:r>
      <w:r>
        <w:rPr>
          <w:rFonts w:hint="eastAsia" w:ascii="宋体" w:eastAsia="宋体" w:cs="宋体"/>
          <w:kern w:val="0"/>
          <w:sz w:val="30"/>
          <w:szCs w:val="30"/>
          <w:lang w:val="zh-CN"/>
        </w:rPr>
        <w:t>项、医技检查类</w:t>
      </w:r>
      <w:r>
        <w:rPr>
          <w:rFonts w:ascii="宋体" w:eastAsia="宋体" w:cs="宋体"/>
          <w:kern w:val="0"/>
          <w:sz w:val="30"/>
          <w:szCs w:val="30"/>
          <w:lang w:val="zh-CN"/>
        </w:rPr>
        <w:t>11</w:t>
      </w:r>
      <w:r>
        <w:rPr>
          <w:rFonts w:hint="eastAsia" w:ascii="宋体" w:eastAsia="宋体" w:cs="宋体"/>
          <w:kern w:val="0"/>
          <w:sz w:val="30"/>
          <w:szCs w:val="30"/>
          <w:lang w:val="zh-CN"/>
        </w:rPr>
        <w:t>项、临床诊疗类</w:t>
      </w:r>
      <w:r>
        <w:rPr>
          <w:rFonts w:ascii="宋体" w:eastAsia="宋体" w:cs="宋体"/>
          <w:kern w:val="0"/>
          <w:sz w:val="30"/>
          <w:szCs w:val="30"/>
          <w:lang w:val="zh-CN"/>
        </w:rPr>
        <w:t>7</w:t>
      </w:r>
      <w:r>
        <w:rPr>
          <w:rFonts w:hint="eastAsia" w:ascii="宋体" w:eastAsia="宋体" w:cs="宋体"/>
          <w:kern w:val="0"/>
          <w:sz w:val="30"/>
          <w:szCs w:val="30"/>
          <w:lang w:val="zh-CN"/>
        </w:rPr>
        <w:t>项、手术治疗类</w:t>
      </w:r>
      <w:r>
        <w:rPr>
          <w:rFonts w:ascii="宋体" w:eastAsia="宋体" w:cs="宋体"/>
          <w:kern w:val="0"/>
          <w:sz w:val="30"/>
          <w:szCs w:val="30"/>
          <w:lang w:val="zh-CN"/>
        </w:rPr>
        <w:t>72</w:t>
      </w:r>
      <w:r>
        <w:rPr>
          <w:rFonts w:hint="eastAsia" w:ascii="宋体" w:eastAsia="宋体" w:cs="宋体"/>
          <w:kern w:val="0"/>
          <w:sz w:val="30"/>
          <w:szCs w:val="30"/>
          <w:lang w:val="zh-CN"/>
        </w:rPr>
        <w:t>项、中医及民族医诊疗类</w:t>
      </w:r>
      <w:r>
        <w:rPr>
          <w:rFonts w:ascii="宋体" w:eastAsia="宋体" w:cs="宋体"/>
          <w:kern w:val="0"/>
          <w:sz w:val="30"/>
          <w:szCs w:val="30"/>
          <w:lang w:val="zh-CN"/>
        </w:rPr>
        <w:t>2</w:t>
      </w:r>
      <w:r>
        <w:rPr>
          <w:rFonts w:hint="eastAsia" w:ascii="宋体" w:eastAsia="宋体" w:cs="宋体"/>
          <w:kern w:val="0"/>
          <w:sz w:val="30"/>
          <w:szCs w:val="30"/>
          <w:lang w:val="zh-CN"/>
        </w:rPr>
        <w:t>项。</w:t>
      </w:r>
      <w:r>
        <w:rPr>
          <w:rFonts w:hint="eastAsia" w:ascii="宋体" w:eastAsia="宋体" w:cs="宋体"/>
          <w:b/>
          <w:kern w:val="0"/>
          <w:sz w:val="30"/>
          <w:szCs w:val="30"/>
          <w:lang w:val="zh-CN"/>
        </w:rPr>
        <w:t>调降项目：</w:t>
      </w:r>
      <w:r>
        <w:rPr>
          <w:rFonts w:hint="eastAsia" w:ascii="宋体" w:eastAsia="宋体" w:cs="宋体"/>
          <w:kern w:val="0"/>
          <w:sz w:val="30"/>
          <w:szCs w:val="30"/>
          <w:lang w:val="zh-CN"/>
        </w:rPr>
        <w:t>检验类</w:t>
      </w:r>
      <w:r>
        <w:rPr>
          <w:rFonts w:ascii="宋体" w:eastAsia="宋体" w:cs="宋体"/>
          <w:kern w:val="0"/>
          <w:sz w:val="30"/>
          <w:szCs w:val="30"/>
          <w:lang w:val="zh-CN"/>
        </w:rPr>
        <w:t>4</w:t>
      </w:r>
      <w:r>
        <w:rPr>
          <w:rFonts w:hint="eastAsia" w:ascii="宋体" w:eastAsia="宋体" w:cs="宋体"/>
          <w:kern w:val="0"/>
          <w:sz w:val="30"/>
          <w:szCs w:val="30"/>
          <w:lang w:val="zh-CN"/>
        </w:rPr>
        <w:t>项、临床诊疗类</w:t>
      </w:r>
      <w:r>
        <w:rPr>
          <w:rFonts w:ascii="宋体" w:eastAsia="宋体" w:cs="宋体"/>
          <w:kern w:val="0"/>
          <w:sz w:val="30"/>
          <w:szCs w:val="30"/>
          <w:lang w:val="zh-CN"/>
        </w:rPr>
        <w:t>17</w:t>
      </w:r>
      <w:r>
        <w:rPr>
          <w:rFonts w:hint="eastAsia" w:ascii="宋体" w:eastAsia="宋体" w:cs="宋体"/>
          <w:kern w:val="0"/>
          <w:sz w:val="30"/>
          <w:szCs w:val="30"/>
          <w:lang w:val="zh-CN"/>
        </w:rPr>
        <w:t>项、手术治疗类</w:t>
      </w:r>
      <w:r>
        <w:rPr>
          <w:rFonts w:ascii="宋体" w:eastAsia="宋体" w:cs="宋体"/>
          <w:kern w:val="0"/>
          <w:sz w:val="30"/>
          <w:szCs w:val="30"/>
          <w:lang w:val="zh-CN"/>
        </w:rPr>
        <w:t>327</w:t>
      </w:r>
      <w:r>
        <w:rPr>
          <w:rFonts w:hint="eastAsia" w:ascii="宋体" w:eastAsia="宋体" w:cs="宋体"/>
          <w:kern w:val="0"/>
          <w:sz w:val="30"/>
          <w:szCs w:val="30"/>
          <w:lang w:val="zh-CN"/>
        </w:rPr>
        <w:t>项、物理治疗与康复类</w:t>
      </w:r>
      <w:r>
        <w:rPr>
          <w:rFonts w:ascii="宋体" w:eastAsia="宋体" w:cs="宋体"/>
          <w:kern w:val="0"/>
          <w:sz w:val="30"/>
          <w:szCs w:val="30"/>
          <w:lang w:val="zh-CN"/>
        </w:rPr>
        <w:t>7</w:t>
      </w:r>
      <w:r>
        <w:rPr>
          <w:rFonts w:hint="eastAsia" w:ascii="宋体" w:eastAsia="宋体" w:cs="宋体"/>
          <w:kern w:val="0"/>
          <w:sz w:val="30"/>
          <w:szCs w:val="30"/>
          <w:lang w:val="zh-CN"/>
        </w:rPr>
        <w:t>项、中医及民族医诊疗类1</w:t>
      </w:r>
      <w:r>
        <w:rPr>
          <w:rFonts w:ascii="宋体" w:eastAsia="宋体" w:cs="宋体"/>
          <w:kern w:val="0"/>
          <w:sz w:val="30"/>
          <w:szCs w:val="30"/>
          <w:lang w:val="zh-CN"/>
        </w:rPr>
        <w:t>0</w:t>
      </w:r>
      <w:r>
        <w:rPr>
          <w:rFonts w:hint="eastAsia" w:ascii="宋体" w:eastAsia="宋体" w:cs="宋体"/>
          <w:kern w:val="0"/>
          <w:sz w:val="30"/>
          <w:szCs w:val="30"/>
          <w:lang w:val="zh-CN"/>
        </w:rPr>
        <w:t>项</w:t>
      </w:r>
      <w:r>
        <w:rPr>
          <w:rFonts w:hint="eastAsia" w:ascii="仿宋_GB2312" w:hAnsi="仿宋_GB2312" w:eastAsia="仿宋_GB2312" w:cs="仿宋_GB2312"/>
          <w:sz w:val="32"/>
          <w:szCs w:val="32"/>
          <w:lang w:val="en-US" w:eastAsia="zh-CN"/>
        </w:rPr>
        <w:t>（具体项目价格调整情况详见附件）。</w:t>
      </w:r>
    </w:p>
    <w:p>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经典黑体简" w:hAnsi="经典黑体简" w:eastAsia="经典黑体简" w:cs="经典黑体简"/>
          <w:sz w:val="32"/>
          <w:szCs w:val="32"/>
          <w:lang w:val="en-US" w:eastAsia="zh-CN"/>
        </w:rPr>
      </w:pPr>
      <w:r>
        <w:rPr>
          <w:rFonts w:hint="eastAsia" w:ascii="经典黑体简" w:hAnsi="经典黑体简" w:eastAsia="经典黑体简" w:cs="经典黑体简"/>
          <w:sz w:val="32"/>
          <w:szCs w:val="32"/>
          <w:lang w:val="en-US" w:eastAsia="zh-CN"/>
        </w:rPr>
        <w:t>　　五、执行时间</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　</w:t>
      </w:r>
      <w:r>
        <w:rPr>
          <w:rFonts w:hint="eastAsia" w:ascii="仿宋_GB2312" w:hAnsi="Times New Roman" w:eastAsia="仿宋_GB2312" w:cs="Times New Roman"/>
          <w:sz w:val="32"/>
          <w:szCs w:val="32"/>
        </w:rPr>
        <w:t>本方案自202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日起实施。</w:t>
      </w:r>
    </w:p>
    <w:p>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经典黑体简" w:hAnsi="经典黑体简" w:eastAsia="经典黑体简" w:cs="经典黑体简"/>
          <w:sz w:val="32"/>
          <w:szCs w:val="32"/>
          <w:lang w:val="en-US" w:eastAsia="zh-CN"/>
        </w:rPr>
      </w:pPr>
      <w:r>
        <w:rPr>
          <w:rFonts w:hint="eastAsia" w:ascii="经典黑体简" w:hAnsi="经典黑体简" w:eastAsia="经典黑体简" w:cs="经典黑体简"/>
          <w:sz w:val="32"/>
          <w:szCs w:val="32"/>
          <w:lang w:val="en-US" w:eastAsia="zh-CN"/>
        </w:rPr>
        <w:t>　　六、保障措施</w:t>
      </w:r>
    </w:p>
    <w:p>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（一）提高政治站位，加强组织领导。</w:t>
      </w:r>
      <w:r>
        <w:rPr>
          <w:rFonts w:hint="eastAsia" w:ascii="仿宋_GB2312" w:hAnsi="仿宋_GB2312" w:eastAsia="仿宋_GB2312" w:cs="仿宋_GB2312"/>
          <w:sz w:val="32"/>
          <w:szCs w:val="32"/>
          <w:lang w:val="en-US" w:eastAsia="zh-CN"/>
        </w:rPr>
        <w:t>医疗服务价格动态调整是“三医”联动改革的重要内容，涉及面广、影响大、情况复杂，关系广大群众切身利益。各单位要进一步提高政治站位，高度重视、切实领导、精心组织、压实责任、稳步推进，确保价格调整工作平稳落地实施。</w:t>
      </w:r>
    </w:p>
    <w:p>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（二）强化价格监测，加强风险防控。</w:t>
      </w:r>
      <w:r>
        <w:rPr>
          <w:rFonts w:hint="eastAsia" w:ascii="仿宋_GB2312" w:hAnsi="仿宋_GB2312" w:eastAsia="仿宋_GB2312" w:cs="仿宋_GB2312"/>
          <w:sz w:val="32"/>
          <w:szCs w:val="32"/>
          <w:lang w:val="en-US" w:eastAsia="zh-CN"/>
        </w:rPr>
        <w:t>提升风险意识，对调价涉及的公立医院医疗服务价格和医保基金运行情况实行动态监测，及时分析研判，做好调价风险防控，确保价格调整工作平稳有序。</w:t>
      </w:r>
    </w:p>
    <w:p>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（三）加强日常监管，强化监督检查。</w:t>
      </w:r>
      <w:r>
        <w:rPr>
          <w:rFonts w:hint="eastAsia" w:ascii="仿宋_GB2312" w:hAnsi="仿宋_GB2312" w:eastAsia="仿宋_GB2312" w:cs="仿宋_GB2312"/>
          <w:sz w:val="32"/>
          <w:szCs w:val="32"/>
          <w:lang w:val="en-US" w:eastAsia="zh-CN"/>
        </w:rPr>
        <w:t>针对价格调整，制定政策措施，不断规范公立医院</w:t>
      </w:r>
      <w:bookmarkStart w:id="0" w:name="_GoBack"/>
      <w:bookmarkEnd w:id="0"/>
      <w:r>
        <w:rPr>
          <w:rFonts w:hint="eastAsia" w:ascii="仿宋_GB2312" w:hAnsi="仿宋_GB2312" w:eastAsia="仿宋_GB2312" w:cs="仿宋_GB2312"/>
          <w:sz w:val="32"/>
          <w:szCs w:val="32"/>
          <w:lang w:val="en-US" w:eastAsia="zh-CN"/>
        </w:rPr>
        <w:t>诊疗行为，促进合理诊疗、合理用药、合理检查。加强基金监管，强化对医疗机构的日常监督检查，严肃查处违法违规行为，确保医保基金安全运行。</w:t>
      </w:r>
    </w:p>
    <w:p>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经典黑体简" w:hAnsi="经典黑体简" w:eastAsia="经典黑体简" w:cs="经典黑体简"/>
          <w:sz w:val="32"/>
          <w:szCs w:val="32"/>
          <w:lang w:val="en-US" w:eastAsia="zh-CN"/>
        </w:rPr>
      </w:pPr>
      <w:r>
        <w:rPr>
          <w:rFonts w:hint="eastAsia" w:ascii="仿宋_GB2312" w:hAnsi="仿宋_GB2312" w:eastAsia="仿宋_GB2312" w:cs="仿宋_GB2312"/>
          <w:sz w:val="32"/>
          <w:szCs w:val="32"/>
          <w:lang w:val="en-US" w:eastAsia="zh-CN"/>
        </w:rPr>
        <w:t>　</w:t>
      </w:r>
      <w:r>
        <w:rPr>
          <w:rFonts w:hint="eastAsia" w:ascii="楷体_GB2312" w:hAnsi="楷体_GB2312" w:eastAsia="楷体_GB2312" w:cs="楷体_GB2312"/>
          <w:sz w:val="32"/>
          <w:szCs w:val="32"/>
          <w:lang w:val="en-US" w:eastAsia="zh-CN"/>
        </w:rPr>
        <w:t>（四）强化政策解读，加强宣传引导。</w:t>
      </w:r>
      <w:r>
        <w:rPr>
          <w:rFonts w:hint="eastAsia" w:ascii="仿宋_GB2312" w:hAnsi="仿宋_GB2312" w:eastAsia="仿宋_GB2312" w:cs="仿宋_GB2312"/>
          <w:sz w:val="32"/>
          <w:szCs w:val="32"/>
          <w:lang w:val="en-US" w:eastAsia="zh-CN"/>
        </w:rPr>
        <w:t>强化政策解读，增强医疗机构和医务人员对政策的把握能力，促进医疗机构转变发展方式，通过完善自我管理，强化降本增效，减少资源浪费，保障政策顺利实施。加强宣传引导，积极回应社会关切，持续营造良好舆论氛围。</w:t>
      </w:r>
    </w:p>
    <w:p>
      <w:pPr>
        <w:pStyle w:val="3"/>
        <w:keepNext w:val="0"/>
        <w:keepLines w:val="0"/>
        <w:pageBreakBefore w:val="0"/>
        <w:kinsoku/>
        <w:wordWrap/>
        <w:overflowPunct/>
        <w:topLinePunct w:val="0"/>
        <w:autoSpaceDE/>
        <w:autoSpaceDN/>
        <w:bidi w:val="0"/>
        <w:adjustRightInd/>
        <w:snapToGrid/>
        <w:spacing w:line="360" w:lineRule="auto"/>
        <w:textAlignment w:val="auto"/>
        <w:rPr>
          <w:rFonts w:hint="eastAsia" w:ascii="经典黑体简" w:hAnsi="经典黑体简" w:eastAsia="经典黑体简" w:cs="经典黑体简"/>
          <w:sz w:val="32"/>
          <w:szCs w:val="32"/>
          <w:lang w:val="en-US" w:eastAsia="zh-CN"/>
        </w:rPr>
      </w:pPr>
    </w:p>
    <w:p>
      <w:pPr>
        <w:pStyle w:val="3"/>
        <w:rPr>
          <w:rFonts w:hint="eastAsia" w:ascii="仿宋_GB2312" w:hAnsi="仿宋_GB2312" w:eastAsia="仿宋_GB2312" w:cs="仿宋_GB2312"/>
          <w:sz w:val="32"/>
          <w:szCs w:val="32"/>
        </w:rPr>
      </w:pPr>
    </w:p>
    <w:p>
      <w:pPr>
        <w:pStyle w:val="3"/>
        <w:rPr>
          <w:rFonts w:hint="eastAsia"/>
        </w:rPr>
      </w:pPr>
    </w:p>
    <w:p/>
    <w:sectPr>
      <w:footerReference r:id="rId3" w:type="default"/>
      <w:pgSz w:w="11906" w:h="16838"/>
      <w:pgMar w:top="2024" w:right="1616" w:bottom="2024" w:left="161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eastAsiaTheme="minorEastAsia"/>
        <w:lang w:val="en-US" w:eastAsia="zh"/>
      </w:rP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MyMjkxZWFjYzM4YTBmYmYxNTUxM2Y4YjhkNGYwYWQifQ=="/>
  </w:docVars>
  <w:rsids>
    <w:rsidRoot w:val="1D9772C0"/>
    <w:rsid w:val="00036BFB"/>
    <w:rsid w:val="001B5777"/>
    <w:rsid w:val="0024307F"/>
    <w:rsid w:val="00256ABA"/>
    <w:rsid w:val="002C48E6"/>
    <w:rsid w:val="002D27E9"/>
    <w:rsid w:val="00313ED7"/>
    <w:rsid w:val="00413A42"/>
    <w:rsid w:val="004731F0"/>
    <w:rsid w:val="004E5B4F"/>
    <w:rsid w:val="00584546"/>
    <w:rsid w:val="00682FBD"/>
    <w:rsid w:val="008A1F12"/>
    <w:rsid w:val="00B04BB9"/>
    <w:rsid w:val="00BE55F1"/>
    <w:rsid w:val="00BF3021"/>
    <w:rsid w:val="00CD111B"/>
    <w:rsid w:val="00D4601F"/>
    <w:rsid w:val="00DB1255"/>
    <w:rsid w:val="00E47893"/>
    <w:rsid w:val="00FA5951"/>
    <w:rsid w:val="00FB556C"/>
    <w:rsid w:val="01B72A29"/>
    <w:rsid w:val="021C15C9"/>
    <w:rsid w:val="02456DCD"/>
    <w:rsid w:val="02D04535"/>
    <w:rsid w:val="02E65BF5"/>
    <w:rsid w:val="03645AA0"/>
    <w:rsid w:val="0368597E"/>
    <w:rsid w:val="04700D80"/>
    <w:rsid w:val="058858BD"/>
    <w:rsid w:val="068301F6"/>
    <w:rsid w:val="073A1CDE"/>
    <w:rsid w:val="07A3703C"/>
    <w:rsid w:val="080E0C40"/>
    <w:rsid w:val="0824190D"/>
    <w:rsid w:val="08555E8D"/>
    <w:rsid w:val="09B36186"/>
    <w:rsid w:val="0AF57E11"/>
    <w:rsid w:val="0B223FFD"/>
    <w:rsid w:val="0B5D7BAD"/>
    <w:rsid w:val="0B935861"/>
    <w:rsid w:val="0BB521F0"/>
    <w:rsid w:val="0CEE0CE4"/>
    <w:rsid w:val="0E005219"/>
    <w:rsid w:val="0E7F7B19"/>
    <w:rsid w:val="0F120DBD"/>
    <w:rsid w:val="0F395F64"/>
    <w:rsid w:val="0F8A7658"/>
    <w:rsid w:val="107821E3"/>
    <w:rsid w:val="11483DB9"/>
    <w:rsid w:val="11F15756"/>
    <w:rsid w:val="12033501"/>
    <w:rsid w:val="12063AA2"/>
    <w:rsid w:val="12FF4D1A"/>
    <w:rsid w:val="13E6317A"/>
    <w:rsid w:val="15847A06"/>
    <w:rsid w:val="16266E3C"/>
    <w:rsid w:val="172F4D42"/>
    <w:rsid w:val="177F2B7C"/>
    <w:rsid w:val="1780377F"/>
    <w:rsid w:val="17847371"/>
    <w:rsid w:val="18D034B0"/>
    <w:rsid w:val="192C64A3"/>
    <w:rsid w:val="193A0DAF"/>
    <w:rsid w:val="1B0C0125"/>
    <w:rsid w:val="1B607607"/>
    <w:rsid w:val="1D9772C0"/>
    <w:rsid w:val="1DAE3EF6"/>
    <w:rsid w:val="1DB23F93"/>
    <w:rsid w:val="1EBD58BF"/>
    <w:rsid w:val="1FBC06EE"/>
    <w:rsid w:val="20693037"/>
    <w:rsid w:val="20D17200"/>
    <w:rsid w:val="21070BB0"/>
    <w:rsid w:val="225A0D88"/>
    <w:rsid w:val="23042167"/>
    <w:rsid w:val="23D43CAC"/>
    <w:rsid w:val="240F5613"/>
    <w:rsid w:val="25BB4B1C"/>
    <w:rsid w:val="25D15C31"/>
    <w:rsid w:val="262D6698"/>
    <w:rsid w:val="263B42C2"/>
    <w:rsid w:val="26551630"/>
    <w:rsid w:val="278D5E88"/>
    <w:rsid w:val="279D78E7"/>
    <w:rsid w:val="2861731E"/>
    <w:rsid w:val="28C12AA9"/>
    <w:rsid w:val="29003384"/>
    <w:rsid w:val="297B0E86"/>
    <w:rsid w:val="29D237A4"/>
    <w:rsid w:val="2A8B197C"/>
    <w:rsid w:val="2B9556D4"/>
    <w:rsid w:val="2BB628B2"/>
    <w:rsid w:val="2BDE2294"/>
    <w:rsid w:val="2CE71F8F"/>
    <w:rsid w:val="2CE76919"/>
    <w:rsid w:val="2D150459"/>
    <w:rsid w:val="2D4D4B45"/>
    <w:rsid w:val="2D7715B9"/>
    <w:rsid w:val="2E52785F"/>
    <w:rsid w:val="2F9257C7"/>
    <w:rsid w:val="300D7E15"/>
    <w:rsid w:val="30FE3F40"/>
    <w:rsid w:val="31071807"/>
    <w:rsid w:val="31515F81"/>
    <w:rsid w:val="322E1E05"/>
    <w:rsid w:val="32B03D34"/>
    <w:rsid w:val="335119CE"/>
    <w:rsid w:val="33FB2824"/>
    <w:rsid w:val="34357247"/>
    <w:rsid w:val="35AE49F1"/>
    <w:rsid w:val="36640385"/>
    <w:rsid w:val="36830C9A"/>
    <w:rsid w:val="36EB2B59"/>
    <w:rsid w:val="372C35F3"/>
    <w:rsid w:val="373D2D8E"/>
    <w:rsid w:val="37461062"/>
    <w:rsid w:val="37E4281C"/>
    <w:rsid w:val="3A6B4E0D"/>
    <w:rsid w:val="3AB13CB9"/>
    <w:rsid w:val="3ADD6F84"/>
    <w:rsid w:val="3B975788"/>
    <w:rsid w:val="3C576C51"/>
    <w:rsid w:val="3DD33774"/>
    <w:rsid w:val="3DF67C00"/>
    <w:rsid w:val="3DFF1D90"/>
    <w:rsid w:val="3E3A7756"/>
    <w:rsid w:val="3E7A088B"/>
    <w:rsid w:val="3EE91A20"/>
    <w:rsid w:val="3F6B3701"/>
    <w:rsid w:val="3F9F06C9"/>
    <w:rsid w:val="3FDF007A"/>
    <w:rsid w:val="405D14DA"/>
    <w:rsid w:val="40B84E2B"/>
    <w:rsid w:val="415A4A9F"/>
    <w:rsid w:val="417D1F3A"/>
    <w:rsid w:val="41961128"/>
    <w:rsid w:val="419C0B3F"/>
    <w:rsid w:val="42023C51"/>
    <w:rsid w:val="426A761F"/>
    <w:rsid w:val="427C0228"/>
    <w:rsid w:val="441B4F56"/>
    <w:rsid w:val="44483A86"/>
    <w:rsid w:val="44A328E9"/>
    <w:rsid w:val="44B47F2A"/>
    <w:rsid w:val="44D81C01"/>
    <w:rsid w:val="457F704B"/>
    <w:rsid w:val="46AA0070"/>
    <w:rsid w:val="46DC369B"/>
    <w:rsid w:val="47A11F01"/>
    <w:rsid w:val="47FD1155"/>
    <w:rsid w:val="48214C77"/>
    <w:rsid w:val="49486182"/>
    <w:rsid w:val="49A732B8"/>
    <w:rsid w:val="49B03671"/>
    <w:rsid w:val="49B65D82"/>
    <w:rsid w:val="49C66DF6"/>
    <w:rsid w:val="4A165544"/>
    <w:rsid w:val="4AB648DE"/>
    <w:rsid w:val="4B512D1D"/>
    <w:rsid w:val="4D11668F"/>
    <w:rsid w:val="4D540F10"/>
    <w:rsid w:val="4DDE338A"/>
    <w:rsid w:val="503C7983"/>
    <w:rsid w:val="50D406CF"/>
    <w:rsid w:val="51103525"/>
    <w:rsid w:val="517F140F"/>
    <w:rsid w:val="51AF58BE"/>
    <w:rsid w:val="524A7D12"/>
    <w:rsid w:val="535C00E6"/>
    <w:rsid w:val="5373EB95"/>
    <w:rsid w:val="53A509D4"/>
    <w:rsid w:val="53EC78EE"/>
    <w:rsid w:val="547A5F1E"/>
    <w:rsid w:val="54B31BF3"/>
    <w:rsid w:val="55E53ED6"/>
    <w:rsid w:val="56453C7D"/>
    <w:rsid w:val="56AE2637"/>
    <w:rsid w:val="56F02D4F"/>
    <w:rsid w:val="57F06634"/>
    <w:rsid w:val="587468EF"/>
    <w:rsid w:val="59342B5B"/>
    <w:rsid w:val="59BA6CFD"/>
    <w:rsid w:val="5AE6778F"/>
    <w:rsid w:val="5B3E3AC2"/>
    <w:rsid w:val="5C5C329C"/>
    <w:rsid w:val="5CA66120"/>
    <w:rsid w:val="5D4D61D9"/>
    <w:rsid w:val="5D99791E"/>
    <w:rsid w:val="5DE14BAF"/>
    <w:rsid w:val="5DE66442"/>
    <w:rsid w:val="5E8715C9"/>
    <w:rsid w:val="5EA76477"/>
    <w:rsid w:val="5F304D51"/>
    <w:rsid w:val="5FFB0239"/>
    <w:rsid w:val="60934D78"/>
    <w:rsid w:val="61B5141C"/>
    <w:rsid w:val="62BC4A12"/>
    <w:rsid w:val="65114C53"/>
    <w:rsid w:val="65AA2D6C"/>
    <w:rsid w:val="65DA0F6F"/>
    <w:rsid w:val="66757E13"/>
    <w:rsid w:val="669B475A"/>
    <w:rsid w:val="673664E3"/>
    <w:rsid w:val="678FE8CB"/>
    <w:rsid w:val="67F30632"/>
    <w:rsid w:val="697D4314"/>
    <w:rsid w:val="6A3431B1"/>
    <w:rsid w:val="6A9F5031"/>
    <w:rsid w:val="6B313570"/>
    <w:rsid w:val="6B6C7DD6"/>
    <w:rsid w:val="6BE03FDD"/>
    <w:rsid w:val="6C1D44E8"/>
    <w:rsid w:val="6C8351A7"/>
    <w:rsid w:val="6CC52268"/>
    <w:rsid w:val="6D8D201E"/>
    <w:rsid w:val="6DF98C8C"/>
    <w:rsid w:val="6E311AD8"/>
    <w:rsid w:val="6F0E2A6F"/>
    <w:rsid w:val="6F5DB107"/>
    <w:rsid w:val="6F6A33F4"/>
    <w:rsid w:val="6FC52319"/>
    <w:rsid w:val="70063405"/>
    <w:rsid w:val="703805AF"/>
    <w:rsid w:val="70896DF5"/>
    <w:rsid w:val="70897F71"/>
    <w:rsid w:val="712B13E5"/>
    <w:rsid w:val="71BF2A7D"/>
    <w:rsid w:val="73215529"/>
    <w:rsid w:val="73972AAE"/>
    <w:rsid w:val="74453BAD"/>
    <w:rsid w:val="750D72BC"/>
    <w:rsid w:val="75A06A92"/>
    <w:rsid w:val="76BE2195"/>
    <w:rsid w:val="76BF1563"/>
    <w:rsid w:val="779B72C8"/>
    <w:rsid w:val="78B82627"/>
    <w:rsid w:val="78FE20FB"/>
    <w:rsid w:val="794A7795"/>
    <w:rsid w:val="79F46C8A"/>
    <w:rsid w:val="7A457A76"/>
    <w:rsid w:val="7AB25F45"/>
    <w:rsid w:val="7B3D7768"/>
    <w:rsid w:val="7B943EC8"/>
    <w:rsid w:val="7BAA7074"/>
    <w:rsid w:val="7C1A5EF5"/>
    <w:rsid w:val="7D793146"/>
    <w:rsid w:val="7EDD360E"/>
    <w:rsid w:val="7F001BFE"/>
    <w:rsid w:val="7FA91AD4"/>
    <w:rsid w:val="DADE787C"/>
    <w:rsid w:val="DBFFE0F2"/>
    <w:rsid w:val="E7B77465"/>
    <w:rsid w:val="ECFAB48A"/>
    <w:rsid w:val="EDEDEE00"/>
    <w:rsid w:val="EFFB88C3"/>
    <w:rsid w:val="EFFD3BDE"/>
    <w:rsid w:val="F1DF8D20"/>
    <w:rsid w:val="F2B37CA9"/>
    <w:rsid w:val="F37CA707"/>
    <w:rsid w:val="F4DF4FBD"/>
    <w:rsid w:val="F7FC3958"/>
    <w:rsid w:val="FEB6D1B6"/>
    <w:rsid w:val="FFDF7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semiHidden/>
    <w:unhideWhenUsed/>
    <w:qFormat/>
    <w:uiPriority w:val="99"/>
    <w:pPr>
      <w:spacing w:after="120"/>
    </w:pPr>
  </w:style>
  <w:style w:type="paragraph" w:styleId="3">
    <w:name w:val="Body Text First Indent"/>
    <w:basedOn w:val="2"/>
    <w:link w:val="14"/>
    <w:qFormat/>
    <w:uiPriority w:val="99"/>
    <w:pPr>
      <w:ind w:firstLine="420" w:firstLineChars="100"/>
    </w:pPr>
    <w:rPr>
      <w:rFonts w:ascii="Times New Roman" w:hAnsi="Times New Roman" w:eastAsia="宋体"/>
      <w:kern w:val="0"/>
      <w:sz w:val="20"/>
      <w:szCs w:val="20"/>
    </w:rPr>
  </w:style>
  <w:style w:type="paragraph" w:styleId="4">
    <w:name w:val="Balloon Text"/>
    <w:basedOn w:val="1"/>
    <w:link w:val="16"/>
    <w:qFormat/>
    <w:uiPriority w:val="0"/>
    <w:rPr>
      <w:sz w:val="18"/>
      <w:szCs w:val="18"/>
    </w:rPr>
  </w:style>
  <w:style w:type="paragraph" w:styleId="5">
    <w:name w:val="footer"/>
    <w:basedOn w:val="1"/>
    <w:link w:val="42"/>
    <w:unhideWhenUsed/>
    <w:qFormat/>
    <w:uiPriority w:val="99"/>
    <w:pPr>
      <w:tabs>
        <w:tab w:val="center" w:pos="4153"/>
        <w:tab w:val="right" w:pos="8306"/>
      </w:tabs>
      <w:snapToGrid w:val="0"/>
      <w:jc w:val="left"/>
    </w:pPr>
    <w:rPr>
      <w:sz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b/>
    </w:rPr>
  </w:style>
  <w:style w:type="character" w:styleId="11">
    <w:name w:val="FollowedHyperlink"/>
    <w:basedOn w:val="9"/>
    <w:unhideWhenUsed/>
    <w:qFormat/>
    <w:uiPriority w:val="99"/>
    <w:rPr>
      <w:color w:val="800080"/>
      <w:u w:val="single"/>
    </w:rPr>
  </w:style>
  <w:style w:type="character" w:styleId="12">
    <w:name w:val="Hyperlink"/>
    <w:basedOn w:val="9"/>
    <w:unhideWhenUsed/>
    <w:qFormat/>
    <w:uiPriority w:val="99"/>
    <w:rPr>
      <w:color w:val="0000FF"/>
      <w:u w:val="single"/>
    </w:rPr>
  </w:style>
  <w:style w:type="character" w:customStyle="1" w:styleId="13">
    <w:name w:val="正文文本 Char"/>
    <w:basedOn w:val="9"/>
    <w:link w:val="2"/>
    <w:semiHidden/>
    <w:qFormat/>
    <w:uiPriority w:val="99"/>
    <w:rPr>
      <w:rFonts w:asciiTheme="minorHAnsi" w:hAnsiTheme="minorHAnsi" w:eastAsiaTheme="minorEastAsia" w:cstheme="minorBidi"/>
      <w:kern w:val="2"/>
      <w:sz w:val="21"/>
      <w:szCs w:val="22"/>
    </w:rPr>
  </w:style>
  <w:style w:type="character" w:customStyle="1" w:styleId="14">
    <w:name w:val="正文首行缩进 Char"/>
    <w:basedOn w:val="13"/>
    <w:link w:val="3"/>
    <w:qFormat/>
    <w:uiPriority w:val="99"/>
  </w:style>
  <w:style w:type="character" w:customStyle="1" w:styleId="15">
    <w:name w:val="页眉 Char"/>
    <w:basedOn w:val="9"/>
    <w:link w:val="6"/>
    <w:qFormat/>
    <w:uiPriority w:val="0"/>
    <w:rPr>
      <w:rFonts w:asciiTheme="minorHAnsi" w:hAnsiTheme="minorHAnsi" w:eastAsiaTheme="minorEastAsia" w:cstheme="minorBidi"/>
      <w:kern w:val="2"/>
      <w:sz w:val="18"/>
      <w:szCs w:val="18"/>
    </w:rPr>
  </w:style>
  <w:style w:type="character" w:customStyle="1" w:styleId="16">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8">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9">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xl69"/>
    <w:basedOn w:val="1"/>
    <w:qFormat/>
    <w:uiPriority w:val="0"/>
    <w:pPr>
      <w:widowControl/>
      <w:pBdr>
        <w:bottom w:val="single" w:color="auto" w:sz="4" w:space="0"/>
      </w:pBdr>
      <w:spacing w:before="100" w:beforeAutospacing="1" w:after="100" w:afterAutospacing="1"/>
      <w:jc w:val="center"/>
    </w:pPr>
    <w:rPr>
      <w:rFonts w:ascii="宋体" w:hAnsi="宋体" w:eastAsia="宋体" w:cs="宋体"/>
      <w:kern w:val="0"/>
      <w:sz w:val="36"/>
      <w:szCs w:val="36"/>
    </w:rPr>
  </w:style>
  <w:style w:type="paragraph" w:customStyle="1" w:styleId="22">
    <w:name w:val="xl70"/>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36"/>
      <w:szCs w:val="36"/>
    </w:rPr>
  </w:style>
  <w:style w:type="paragraph" w:customStyle="1" w:styleId="23">
    <w:name w:val="xl7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24">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2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0"/>
      <w:szCs w:val="20"/>
    </w:rPr>
  </w:style>
  <w:style w:type="paragraph" w:customStyle="1" w:styleId="3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6">
    <w:name w:val="xl84"/>
    <w:basedOn w:val="1"/>
    <w:qFormat/>
    <w:uiPriority w:val="0"/>
    <w:pPr>
      <w:widowControl/>
      <w:spacing w:before="100" w:beforeAutospacing="1" w:after="100" w:afterAutospacing="1"/>
      <w:jc w:val="center"/>
    </w:pPr>
    <w:rPr>
      <w:rFonts w:ascii="宋体" w:hAnsi="宋体" w:eastAsia="宋体" w:cs="宋体"/>
      <w:kern w:val="0"/>
      <w:sz w:val="36"/>
      <w:szCs w:val="36"/>
    </w:rPr>
  </w:style>
  <w:style w:type="paragraph" w:customStyle="1" w:styleId="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paragraph" w:customStyle="1" w:styleId="38">
    <w:name w:val="xl8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39">
    <w:name w:val="xl8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4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4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0"/>
      <w:szCs w:val="20"/>
    </w:rPr>
  </w:style>
  <w:style w:type="character" w:customStyle="1" w:styleId="42">
    <w:name w:val="页脚 Char"/>
    <w:basedOn w:val="9"/>
    <w:link w:val="5"/>
    <w:qFormat/>
    <w:uiPriority w:val="99"/>
    <w:rPr>
      <w:rFonts w:asciiTheme="minorHAnsi" w:hAnsiTheme="minorHAnsi" w:eastAsiaTheme="minorEastAsia" w:cstheme="minorBidi"/>
      <w:kern w:val="2"/>
      <w:sz w:val="18"/>
      <w:szCs w:val="22"/>
    </w:rPr>
  </w:style>
  <w:style w:type="paragraph" w:customStyle="1" w:styleId="43">
    <w:name w:val="无间隔1"/>
    <w:qFormat/>
    <w:uiPriority w:val="0"/>
    <w:pPr>
      <w:widowControl w:val="0"/>
      <w:jc w:val="both"/>
    </w:pPr>
    <w:rPr>
      <w:rFonts w:ascii="Calibri" w:hAnsi="Calibri" w:eastAsia="仿宋_GB2312"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6445</Words>
  <Characters>36740</Characters>
  <Lines>306</Lines>
  <Paragraphs>86</Paragraphs>
  <TotalTime>3</TotalTime>
  <ScaleCrop>false</ScaleCrop>
  <LinksUpToDate>false</LinksUpToDate>
  <CharactersWithSpaces>43099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2021-01-01T17:03:00Z</dcterms:created>
  <dc:creator>黄军定</dc:creator>
  <cp:lastModifiedBy>Administrator</cp:lastModifiedBy>
  <cp:lastPrinted>2021-01-02T00:16:00Z</cp:lastPrinted>
  <dcterms:modified xsi:type="dcterms:W3CDTF">2023-12-07T03:34:59Z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887E51D41B304756BE00FF39ADF245F9_12</vt:lpwstr>
  </property>
</Properties>
</file>