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C2F41" w14:textId="77777777" w:rsidR="00347203" w:rsidRPr="00D85E07" w:rsidRDefault="00347203" w:rsidP="00347203">
      <w:pPr>
        <w:widowControl w:val="0"/>
        <w:autoSpaceDE w:val="0"/>
        <w:autoSpaceDN w:val="0"/>
        <w:adjustRightInd w:val="0"/>
        <w:snapToGrid w:val="0"/>
        <w:ind w:firstLineChars="0" w:firstLine="0"/>
        <w:jc w:val="center"/>
        <w:rPr>
          <w:rFonts w:cs="Times New Roman"/>
          <w:b/>
          <w:bCs/>
          <w:sz w:val="24"/>
          <w:szCs w:val="24"/>
        </w:rPr>
      </w:pPr>
      <w:bookmarkStart w:id="0" w:name="_Hlk124320410"/>
      <w:r w:rsidRPr="00D85E07">
        <w:rPr>
          <w:rFonts w:cs="Times New Roman" w:hint="eastAsia"/>
          <w:b/>
          <w:bCs/>
          <w:sz w:val="24"/>
          <w:szCs w:val="24"/>
        </w:rPr>
        <w:t>4</w:t>
      </w:r>
      <w:r w:rsidRPr="00D85E07">
        <w:rPr>
          <w:rFonts w:cs="Times New Roman"/>
          <w:b/>
          <w:bCs/>
          <w:sz w:val="24"/>
          <w:szCs w:val="24"/>
        </w:rPr>
        <w:t xml:space="preserve">209 </w:t>
      </w:r>
      <w:r w:rsidRPr="00D85E07">
        <w:rPr>
          <w:rFonts w:cs="Times New Roman"/>
          <w:b/>
          <w:bCs/>
          <w:sz w:val="24"/>
          <w:szCs w:val="24"/>
        </w:rPr>
        <w:t>药包材环氧乙烷测定法</w:t>
      </w:r>
    </w:p>
    <w:p w14:paraId="53DDC008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本法适用于采用环氧乙烷灭菌的药包材中环氧乙烷残留量的测定。</w:t>
      </w:r>
    </w:p>
    <w:p w14:paraId="7D1CD090" w14:textId="4BFD9C54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本法在一定温度下，用水萃取</w:t>
      </w:r>
      <w:r w:rsidR="00BB7AC6" w:rsidRPr="008D2D8B">
        <w:rPr>
          <w:rFonts w:cs="Times New Roman" w:hint="eastAsia"/>
          <w:szCs w:val="21"/>
        </w:rPr>
        <w:t>试样</w:t>
      </w:r>
      <w:r w:rsidRPr="008D2D8B">
        <w:rPr>
          <w:rFonts w:cs="Times New Roman" w:hint="eastAsia"/>
          <w:szCs w:val="21"/>
        </w:rPr>
        <w:t>中所含环氧乙烷，用顶空气相色谱法测定环氧乙烷的含量。</w:t>
      </w:r>
    </w:p>
    <w:p w14:paraId="76D6DE01" w14:textId="4B0BBCD9" w:rsidR="00A82FAA" w:rsidRPr="008D2D8B" w:rsidRDefault="00A82FAA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B526AE">
        <w:rPr>
          <w:rFonts w:cs="Times New Roman" w:hint="eastAsia"/>
          <w:color w:val="FF0000"/>
          <w:szCs w:val="21"/>
        </w:rPr>
        <w:t>本法照气相色谱法（通则</w:t>
      </w:r>
      <w:r w:rsidRPr="00B526AE">
        <w:rPr>
          <w:rFonts w:cs="Times New Roman" w:hint="eastAsia"/>
          <w:color w:val="FF0000"/>
          <w:szCs w:val="21"/>
        </w:rPr>
        <w:t>0</w:t>
      </w:r>
      <w:r w:rsidRPr="00B526AE">
        <w:rPr>
          <w:rFonts w:cs="Times New Roman"/>
          <w:color w:val="FF0000"/>
          <w:szCs w:val="21"/>
        </w:rPr>
        <w:t>521</w:t>
      </w:r>
      <w:r w:rsidRPr="00B526AE">
        <w:rPr>
          <w:rFonts w:cs="Times New Roman" w:hint="eastAsia"/>
          <w:color w:val="FF0000"/>
          <w:szCs w:val="21"/>
        </w:rPr>
        <w:t>）测定</w:t>
      </w:r>
      <w:r w:rsidRPr="008D2D8B">
        <w:rPr>
          <w:rFonts w:cs="Times New Roman" w:hint="eastAsia"/>
          <w:szCs w:val="21"/>
        </w:rPr>
        <w:t>。</w:t>
      </w:r>
    </w:p>
    <w:p w14:paraId="557A2676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色谱柱</w:t>
      </w:r>
      <w:r w:rsidRPr="008D2D8B">
        <w:rPr>
          <w:rFonts w:cs="Times New Roman"/>
          <w:szCs w:val="21"/>
        </w:rPr>
        <w:t xml:space="preserve"> </w:t>
      </w:r>
    </w:p>
    <w:p w14:paraId="4A226A56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可选用能满足分离要求的毛细管柱。</w:t>
      </w:r>
    </w:p>
    <w:p w14:paraId="25564D8B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8D2D8B">
        <w:rPr>
          <w:rFonts w:cs="Times New Roman" w:hint="eastAsia"/>
          <w:b/>
          <w:bCs/>
          <w:szCs w:val="21"/>
        </w:rPr>
        <w:t>系统适用性试验</w:t>
      </w:r>
    </w:p>
    <w:p w14:paraId="7AE9A156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（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）用环氧乙烷峰计算，毛细管色谱柱的理论塔板数一般不低于</w:t>
      </w:r>
      <w:r w:rsidRPr="008D2D8B">
        <w:rPr>
          <w:rFonts w:cs="Times New Roman"/>
          <w:szCs w:val="21"/>
        </w:rPr>
        <w:t>5000</w:t>
      </w:r>
      <w:r w:rsidRPr="008D2D8B">
        <w:rPr>
          <w:rFonts w:cs="Times New Roman" w:hint="eastAsia"/>
          <w:szCs w:val="21"/>
        </w:rPr>
        <w:t>。</w:t>
      </w:r>
    </w:p>
    <w:p w14:paraId="6FDF6A42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（</w:t>
      </w:r>
      <w:r w:rsidRPr="008D2D8B">
        <w:rPr>
          <w:rFonts w:cs="Times New Roman"/>
          <w:szCs w:val="21"/>
        </w:rPr>
        <w:t>2</w:t>
      </w:r>
      <w:r w:rsidRPr="008D2D8B">
        <w:rPr>
          <w:rFonts w:cs="Times New Roman" w:hint="eastAsia"/>
          <w:szCs w:val="21"/>
        </w:rPr>
        <w:t>）色谱图中，环氧乙烷峰与其相邻色谱峰的分离度应大于</w:t>
      </w:r>
      <w:r w:rsidRPr="008D2D8B">
        <w:rPr>
          <w:rFonts w:cs="Times New Roman"/>
          <w:szCs w:val="21"/>
        </w:rPr>
        <w:t>1.5</w:t>
      </w:r>
      <w:r w:rsidRPr="008D2D8B">
        <w:rPr>
          <w:rFonts w:cs="Times New Roman" w:hint="eastAsia"/>
          <w:szCs w:val="21"/>
        </w:rPr>
        <w:t>。</w:t>
      </w:r>
    </w:p>
    <w:p w14:paraId="3C349E96" w14:textId="7B1598F0" w:rsidR="005C01E3" w:rsidRPr="00B526AE" w:rsidRDefault="005C01E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color w:val="FF0000"/>
          <w:szCs w:val="21"/>
        </w:rPr>
      </w:pPr>
      <w:r w:rsidRPr="00B526AE">
        <w:rPr>
          <w:rFonts w:cs="Times New Roman" w:hint="eastAsia"/>
          <w:color w:val="FF0000"/>
          <w:szCs w:val="21"/>
        </w:rPr>
        <w:t>（</w:t>
      </w:r>
      <w:r w:rsidR="00BB7AC6" w:rsidRPr="00B526AE">
        <w:rPr>
          <w:rFonts w:cs="Times New Roman"/>
          <w:color w:val="FF0000"/>
          <w:szCs w:val="21"/>
        </w:rPr>
        <w:t>3</w:t>
      </w:r>
      <w:r w:rsidRPr="00B526AE">
        <w:rPr>
          <w:rFonts w:cs="Times New Roman" w:hint="eastAsia"/>
          <w:color w:val="FF0000"/>
          <w:szCs w:val="21"/>
        </w:rPr>
        <w:t>）对照品溶液连续进样</w:t>
      </w:r>
      <w:r w:rsidRPr="00B526AE">
        <w:rPr>
          <w:rFonts w:cs="Times New Roman" w:hint="eastAsia"/>
          <w:color w:val="FF0000"/>
          <w:szCs w:val="21"/>
        </w:rPr>
        <w:t>5</w:t>
      </w:r>
      <w:r w:rsidRPr="00B526AE">
        <w:rPr>
          <w:rFonts w:cs="Times New Roman" w:hint="eastAsia"/>
          <w:color w:val="FF0000"/>
          <w:szCs w:val="21"/>
        </w:rPr>
        <w:t>次，所得环氧乙烷峰面积的</w:t>
      </w:r>
      <w:r w:rsidRPr="00B526AE">
        <w:rPr>
          <w:rFonts w:cs="Times New Roman" w:hint="eastAsia"/>
          <w:color w:val="FF0000"/>
          <w:szCs w:val="21"/>
        </w:rPr>
        <w:t>RSD</w:t>
      </w:r>
      <w:r w:rsidRPr="00B526AE">
        <w:rPr>
          <w:rFonts w:cs="Times New Roman" w:hint="eastAsia"/>
          <w:color w:val="FF0000"/>
          <w:szCs w:val="21"/>
        </w:rPr>
        <w:t>应不大于</w:t>
      </w:r>
      <w:r w:rsidRPr="00B526AE">
        <w:rPr>
          <w:rFonts w:cs="Times New Roman" w:hint="eastAsia"/>
          <w:color w:val="FF0000"/>
          <w:szCs w:val="21"/>
        </w:rPr>
        <w:t>1</w:t>
      </w:r>
      <w:r w:rsidRPr="00B526AE">
        <w:rPr>
          <w:rFonts w:cs="Times New Roman"/>
          <w:color w:val="FF0000"/>
          <w:szCs w:val="21"/>
        </w:rPr>
        <w:t>0</w:t>
      </w:r>
      <w:r w:rsidRPr="00B526AE">
        <w:rPr>
          <w:rFonts w:cs="Times New Roman" w:hint="eastAsia"/>
          <w:color w:val="FF0000"/>
          <w:szCs w:val="21"/>
        </w:rPr>
        <w:t>%</w:t>
      </w:r>
      <w:r w:rsidRPr="00B526AE">
        <w:rPr>
          <w:rFonts w:cs="Times New Roman" w:hint="eastAsia"/>
          <w:color w:val="FF0000"/>
          <w:szCs w:val="21"/>
        </w:rPr>
        <w:t>。</w:t>
      </w:r>
    </w:p>
    <w:p w14:paraId="33875FE0" w14:textId="352334B4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（</w:t>
      </w:r>
      <w:r w:rsidR="00BB7AC6" w:rsidRPr="008D2D8B">
        <w:rPr>
          <w:rFonts w:cs="Times New Roman"/>
          <w:szCs w:val="21"/>
        </w:rPr>
        <w:t>4</w:t>
      </w:r>
      <w:r w:rsidRPr="008D2D8B">
        <w:rPr>
          <w:rFonts w:cs="Times New Roman" w:hint="eastAsia"/>
          <w:szCs w:val="21"/>
        </w:rPr>
        <w:t>）仪器的检出限或</w:t>
      </w:r>
      <w:proofErr w:type="gramStart"/>
      <w:r w:rsidRPr="008D2D8B">
        <w:rPr>
          <w:rFonts w:cs="Times New Roman" w:hint="eastAsia"/>
          <w:szCs w:val="21"/>
        </w:rPr>
        <w:t>定量限应不</w:t>
      </w:r>
      <w:proofErr w:type="gramEnd"/>
      <w:r w:rsidRPr="008D2D8B">
        <w:rPr>
          <w:rFonts w:cs="Times New Roman" w:hint="eastAsia"/>
          <w:szCs w:val="21"/>
        </w:rPr>
        <w:t>低于限度要求。</w:t>
      </w:r>
    </w:p>
    <w:p w14:paraId="6B75EC0A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proofErr w:type="gramStart"/>
      <w:r w:rsidRPr="008D2D8B">
        <w:rPr>
          <w:rFonts w:cs="Times New Roman" w:hint="eastAsia"/>
          <w:b/>
          <w:bCs/>
          <w:szCs w:val="21"/>
        </w:rPr>
        <w:t>供试品溶液</w:t>
      </w:r>
      <w:proofErr w:type="gramEnd"/>
      <w:r w:rsidRPr="008D2D8B">
        <w:rPr>
          <w:rFonts w:cs="Times New Roman" w:hint="eastAsia"/>
          <w:b/>
          <w:bCs/>
          <w:szCs w:val="21"/>
        </w:rPr>
        <w:t>的制备</w:t>
      </w:r>
    </w:p>
    <w:p w14:paraId="25ED2968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的制备应在取样后立即进行。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的</w:t>
      </w:r>
      <w:r w:rsidRPr="008D2D8B">
        <w:rPr>
          <w:rFonts w:cs="Times New Roman"/>
          <w:szCs w:val="21"/>
        </w:rPr>
        <w:t>制备方法</w:t>
      </w:r>
      <w:r w:rsidRPr="008D2D8B">
        <w:rPr>
          <w:rFonts w:cs="Times New Roman" w:hint="eastAsia"/>
          <w:szCs w:val="21"/>
        </w:rPr>
        <w:t>为</w:t>
      </w:r>
      <w:r w:rsidRPr="008D2D8B">
        <w:rPr>
          <w:rFonts w:cs="Times New Roman"/>
          <w:szCs w:val="21"/>
        </w:rPr>
        <w:t>：</w:t>
      </w:r>
    </w:p>
    <w:p w14:paraId="165A324E" w14:textId="7F42332C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方法</w:t>
      </w:r>
      <w:proofErr w:type="gramStart"/>
      <w:r w:rsidRPr="008D2D8B">
        <w:rPr>
          <w:rFonts w:cs="Times New Roman" w:hint="eastAsia"/>
          <w:szCs w:val="21"/>
        </w:rPr>
        <w:t>一</w:t>
      </w:r>
      <w:proofErr w:type="gramEnd"/>
      <w:r w:rsidRPr="008D2D8B">
        <w:rPr>
          <w:rFonts w:cs="Times New Roman" w:hint="eastAsia"/>
          <w:szCs w:val="21"/>
        </w:rPr>
        <w:t>：将</w:t>
      </w:r>
      <w:r w:rsidR="00BB7AC6" w:rsidRPr="008D2D8B">
        <w:rPr>
          <w:rFonts w:cs="Times New Roman" w:hint="eastAsia"/>
          <w:szCs w:val="21"/>
        </w:rPr>
        <w:t>试样</w:t>
      </w:r>
      <w:r w:rsidRPr="008D2D8B">
        <w:rPr>
          <w:rFonts w:cs="Times New Roman" w:hint="eastAsia"/>
          <w:szCs w:val="21"/>
        </w:rPr>
        <w:t>截为不超过</w:t>
      </w:r>
      <w:r w:rsidRPr="008D2D8B">
        <w:rPr>
          <w:rFonts w:cs="Times New Roman"/>
          <w:szCs w:val="21"/>
        </w:rPr>
        <w:t>5mm</w:t>
      </w:r>
      <w:r w:rsidRPr="008D2D8B">
        <w:rPr>
          <w:rFonts w:cs="Times New Roman" w:hint="eastAsia"/>
          <w:szCs w:val="21"/>
        </w:rPr>
        <w:t>的碎块，称取</w:t>
      </w:r>
      <w:r w:rsidRPr="008D2D8B">
        <w:rPr>
          <w:rFonts w:cs="Times New Roman"/>
          <w:szCs w:val="21"/>
        </w:rPr>
        <w:t>1.0g</w:t>
      </w:r>
      <w:r w:rsidRPr="008D2D8B">
        <w:rPr>
          <w:rFonts w:cs="Times New Roman" w:hint="eastAsia"/>
          <w:szCs w:val="21"/>
        </w:rPr>
        <w:t>放入</w:t>
      </w:r>
      <w:r w:rsidRPr="008D2D8B">
        <w:rPr>
          <w:rFonts w:cs="Times New Roman"/>
          <w:szCs w:val="21"/>
        </w:rPr>
        <w:t>20ml</w:t>
      </w:r>
      <w:r w:rsidRPr="008D2D8B">
        <w:rPr>
          <w:rFonts w:cs="Times New Roman" w:hint="eastAsia"/>
          <w:szCs w:val="21"/>
        </w:rPr>
        <w:t>顶空瓶中</w:t>
      </w:r>
      <w:r w:rsidR="005E0608" w:rsidRPr="008D2D8B">
        <w:rPr>
          <w:rFonts w:cs="Times New Roman" w:hint="eastAsia"/>
          <w:szCs w:val="21"/>
        </w:rPr>
        <w:t>，</w:t>
      </w:r>
      <w:r w:rsidR="005E0608" w:rsidRPr="00B526AE">
        <w:rPr>
          <w:rFonts w:cs="Times New Roman" w:hint="eastAsia"/>
          <w:color w:val="FF0000"/>
          <w:szCs w:val="21"/>
        </w:rPr>
        <w:t>然后精密</w:t>
      </w:r>
      <w:r w:rsidRPr="00B526AE">
        <w:rPr>
          <w:rFonts w:cs="Times New Roman" w:hint="eastAsia"/>
          <w:color w:val="FF0000"/>
          <w:szCs w:val="21"/>
        </w:rPr>
        <w:t>加</w:t>
      </w:r>
      <w:r w:rsidR="005E0608" w:rsidRPr="00B526AE">
        <w:rPr>
          <w:rFonts w:cs="Times New Roman" w:hint="eastAsia"/>
          <w:color w:val="FF0000"/>
          <w:szCs w:val="21"/>
        </w:rPr>
        <w:t>入</w:t>
      </w:r>
      <w:r w:rsidRPr="00B526AE">
        <w:rPr>
          <w:rFonts w:cs="Times New Roman" w:hint="eastAsia"/>
          <w:color w:val="FF0000"/>
          <w:szCs w:val="21"/>
        </w:rPr>
        <w:t>水</w:t>
      </w:r>
      <w:r w:rsidR="005E0608" w:rsidRPr="00B526AE">
        <w:rPr>
          <w:rFonts w:cs="Times New Roman"/>
          <w:color w:val="FF0000"/>
          <w:szCs w:val="21"/>
        </w:rPr>
        <w:t>5ml</w:t>
      </w:r>
      <w:r w:rsidRPr="00B526AE">
        <w:rPr>
          <w:rFonts w:cs="Times New Roman" w:hint="eastAsia"/>
          <w:color w:val="FF0000"/>
          <w:szCs w:val="21"/>
        </w:rPr>
        <w:t>，立即</w:t>
      </w:r>
      <w:r w:rsidR="005E0608" w:rsidRPr="00B526AE">
        <w:rPr>
          <w:rFonts w:cs="Times New Roman" w:hint="eastAsia"/>
          <w:color w:val="FF0000"/>
          <w:szCs w:val="21"/>
        </w:rPr>
        <w:t>密封</w:t>
      </w:r>
      <w:r w:rsidRPr="00B526AE">
        <w:rPr>
          <w:rFonts w:cs="Times New Roman" w:hint="eastAsia"/>
          <w:color w:val="FF0000"/>
          <w:szCs w:val="21"/>
        </w:rPr>
        <w:t>。</w:t>
      </w:r>
    </w:p>
    <w:p w14:paraId="1D48A4AB" w14:textId="759A4098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方法二</w:t>
      </w:r>
      <w:r w:rsidRPr="008D2D8B">
        <w:rPr>
          <w:rFonts w:cs="Times New Roman"/>
          <w:szCs w:val="21"/>
        </w:rPr>
        <w:t>：</w:t>
      </w:r>
      <w:r w:rsidRPr="008D2D8B">
        <w:rPr>
          <w:rFonts w:cs="Times New Roman" w:hint="eastAsia"/>
          <w:szCs w:val="21"/>
        </w:rPr>
        <w:t>对于容器类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Pr="008D2D8B">
        <w:rPr>
          <w:rFonts w:cs="Times New Roman" w:hint="eastAsia"/>
          <w:szCs w:val="21"/>
        </w:rPr>
        <w:t>，</w:t>
      </w:r>
      <w:r w:rsidR="005E0608" w:rsidRPr="00B526AE">
        <w:rPr>
          <w:rFonts w:cs="Times New Roman" w:hint="eastAsia"/>
          <w:color w:val="FF0000"/>
          <w:szCs w:val="21"/>
        </w:rPr>
        <w:t>加</w:t>
      </w:r>
      <w:r w:rsidRPr="00B526AE">
        <w:rPr>
          <w:rFonts w:cs="Times New Roman" w:hint="eastAsia"/>
          <w:color w:val="FF0000"/>
          <w:szCs w:val="21"/>
        </w:rPr>
        <w:t>入标示装量的水</w:t>
      </w:r>
      <w:r w:rsidRPr="008D2D8B">
        <w:rPr>
          <w:rFonts w:cs="Times New Roman" w:hint="eastAsia"/>
          <w:szCs w:val="21"/>
        </w:rPr>
        <w:t>，在</w:t>
      </w:r>
      <w:r w:rsidRPr="008D2D8B">
        <w:rPr>
          <w:rFonts w:cs="Times New Roman"/>
          <w:szCs w:val="21"/>
        </w:rPr>
        <w:t>37</w:t>
      </w:r>
      <w:r w:rsidRPr="008D2D8B">
        <w:rPr>
          <w:rFonts w:cs="Times New Roman" w:hint="eastAsia"/>
          <w:szCs w:val="21"/>
        </w:rPr>
        <w:t>℃±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℃条件下恒温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小时得到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。</w:t>
      </w:r>
      <w:r w:rsidR="005E0608" w:rsidRPr="00B526AE">
        <w:rPr>
          <w:rFonts w:cs="Times New Roman" w:hint="eastAsia"/>
          <w:color w:val="FF0000"/>
          <w:szCs w:val="21"/>
        </w:rPr>
        <w:t>精密量</w:t>
      </w:r>
      <w:proofErr w:type="gramStart"/>
      <w:r w:rsidRPr="00B526AE">
        <w:rPr>
          <w:rFonts w:cs="Times New Roman" w:hint="eastAsia"/>
          <w:color w:val="FF0000"/>
          <w:szCs w:val="21"/>
        </w:rPr>
        <w:t>取供试品</w:t>
      </w:r>
      <w:proofErr w:type="gramEnd"/>
      <w:r w:rsidRPr="00B526AE">
        <w:rPr>
          <w:rFonts w:cs="Times New Roman" w:hint="eastAsia"/>
          <w:color w:val="FF0000"/>
          <w:szCs w:val="21"/>
        </w:rPr>
        <w:t>溶液</w:t>
      </w:r>
      <w:r w:rsidR="005E0608" w:rsidRPr="00B526AE">
        <w:rPr>
          <w:rFonts w:cs="Times New Roman"/>
          <w:color w:val="FF0000"/>
          <w:szCs w:val="21"/>
        </w:rPr>
        <w:t>5ml</w:t>
      </w:r>
      <w:r w:rsidR="005E0608" w:rsidRPr="00B526AE">
        <w:rPr>
          <w:rFonts w:cs="Times New Roman" w:hint="eastAsia"/>
          <w:color w:val="FF0000"/>
          <w:szCs w:val="21"/>
        </w:rPr>
        <w:t>，置</w:t>
      </w:r>
      <w:r w:rsidRPr="00B526AE">
        <w:rPr>
          <w:rFonts w:cs="Times New Roman"/>
          <w:color w:val="FF0000"/>
          <w:szCs w:val="21"/>
        </w:rPr>
        <w:t>20ml</w:t>
      </w:r>
      <w:r w:rsidRPr="00B526AE">
        <w:rPr>
          <w:rFonts w:cs="Times New Roman" w:hint="eastAsia"/>
          <w:color w:val="FF0000"/>
          <w:szCs w:val="21"/>
        </w:rPr>
        <w:t>顶空瓶中，立即</w:t>
      </w:r>
      <w:r w:rsidR="009522E6" w:rsidRPr="00B526AE">
        <w:rPr>
          <w:rFonts w:cs="Times New Roman" w:hint="eastAsia"/>
          <w:color w:val="FF0000"/>
          <w:szCs w:val="21"/>
        </w:rPr>
        <w:t>密封</w:t>
      </w:r>
      <w:r w:rsidRPr="008D2D8B">
        <w:rPr>
          <w:rFonts w:cs="Times New Roman" w:hint="eastAsia"/>
          <w:szCs w:val="21"/>
        </w:rPr>
        <w:t>。</w:t>
      </w:r>
    </w:p>
    <w:p w14:paraId="06E1EECB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8D2D8B">
        <w:rPr>
          <w:rFonts w:cs="Times New Roman" w:hint="eastAsia"/>
          <w:b/>
          <w:bCs/>
          <w:szCs w:val="21"/>
        </w:rPr>
        <w:t>测定法</w:t>
      </w:r>
    </w:p>
    <w:p w14:paraId="24929DD7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测定方法一般采用第一法；当第一法测定结果不符合规定时，应采用第二法进行复验或测定；当存在干扰峰或不能判定是否为目标物时，采用第三法对环氧乙烷进行定性验证。</w:t>
      </w:r>
    </w:p>
    <w:p w14:paraId="27BE0E82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8D2D8B">
        <w:rPr>
          <w:rFonts w:cs="Times New Roman" w:hint="eastAsia"/>
          <w:b/>
          <w:bCs/>
          <w:szCs w:val="21"/>
        </w:rPr>
        <w:t>第一法（外标法）</w:t>
      </w:r>
    </w:p>
    <w:p w14:paraId="413F5D0E" w14:textId="28022CBD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色谱条件</w:t>
      </w:r>
      <w:r w:rsidRPr="008D2D8B">
        <w:rPr>
          <w:rFonts w:cs="Times New Roman"/>
          <w:b/>
          <w:bCs/>
          <w:szCs w:val="21"/>
        </w:rPr>
        <w:t xml:space="preserve">  </w:t>
      </w:r>
      <w:bookmarkStart w:id="1" w:name="_Hlk149211849"/>
      <w:r w:rsidR="00F614DD" w:rsidRPr="00B526AE">
        <w:rPr>
          <w:rFonts w:cs="Times New Roman" w:hint="eastAsia"/>
          <w:color w:val="FF0000"/>
          <w:szCs w:val="21"/>
        </w:rPr>
        <w:t>固定液为</w:t>
      </w:r>
      <w:r w:rsidR="00914419" w:rsidRPr="00B526AE">
        <w:rPr>
          <w:rFonts w:cs="Times New Roman" w:hint="eastAsia"/>
          <w:color w:val="FF0000"/>
          <w:szCs w:val="21"/>
        </w:rPr>
        <w:t>(</w:t>
      </w:r>
      <w:r w:rsidR="00F614DD" w:rsidRPr="00B526AE">
        <w:rPr>
          <w:rFonts w:cs="Times New Roman" w:hint="eastAsia"/>
          <w:color w:val="FF0000"/>
          <w:szCs w:val="21"/>
        </w:rPr>
        <w:t>6%</w:t>
      </w:r>
      <w:r w:rsidR="00914419" w:rsidRPr="00B526AE">
        <w:rPr>
          <w:rFonts w:cs="Times New Roman" w:hint="eastAsia"/>
          <w:color w:val="FF0000"/>
          <w:szCs w:val="21"/>
        </w:rPr>
        <w:t>)</w:t>
      </w:r>
      <w:proofErr w:type="gramStart"/>
      <w:r w:rsidR="00F614DD" w:rsidRPr="00B526AE">
        <w:rPr>
          <w:rFonts w:cs="Times New Roman" w:hint="eastAsia"/>
          <w:color w:val="FF0000"/>
          <w:szCs w:val="21"/>
        </w:rPr>
        <w:t>氰丙基</w:t>
      </w:r>
      <w:proofErr w:type="gramEnd"/>
      <w:r w:rsidR="00F614DD" w:rsidRPr="00B526AE">
        <w:rPr>
          <w:rFonts w:cs="Times New Roman" w:hint="eastAsia"/>
          <w:color w:val="FF0000"/>
          <w:szCs w:val="21"/>
        </w:rPr>
        <w:t>苯基</w:t>
      </w:r>
      <w:r w:rsidR="00F614DD" w:rsidRPr="00B526AE">
        <w:rPr>
          <w:rFonts w:cs="Times New Roman" w:hint="eastAsia"/>
          <w:color w:val="FF0000"/>
          <w:szCs w:val="21"/>
        </w:rPr>
        <w:t>-</w:t>
      </w:r>
      <w:r w:rsidR="00914419" w:rsidRPr="00B526AE">
        <w:rPr>
          <w:rFonts w:cs="Times New Roman" w:hint="eastAsia"/>
          <w:color w:val="FF0000"/>
          <w:szCs w:val="21"/>
        </w:rPr>
        <w:t>(</w:t>
      </w:r>
      <w:r w:rsidR="00F614DD" w:rsidRPr="00B526AE">
        <w:rPr>
          <w:rFonts w:cs="Times New Roman"/>
          <w:color w:val="FF0000"/>
          <w:szCs w:val="21"/>
        </w:rPr>
        <w:t>94</w:t>
      </w:r>
      <w:r w:rsidR="00F614DD" w:rsidRPr="00B526AE">
        <w:rPr>
          <w:rFonts w:cs="Times New Roman" w:hint="eastAsia"/>
          <w:color w:val="FF0000"/>
          <w:szCs w:val="21"/>
        </w:rPr>
        <w:t>%</w:t>
      </w:r>
      <w:r w:rsidR="00914419" w:rsidRPr="00B526AE">
        <w:rPr>
          <w:rFonts w:cs="Times New Roman"/>
          <w:color w:val="FF0000"/>
          <w:szCs w:val="21"/>
        </w:rPr>
        <w:t>)</w:t>
      </w:r>
      <w:r w:rsidR="00F614DD" w:rsidRPr="00B526AE">
        <w:rPr>
          <w:rFonts w:cs="Times New Roman" w:hint="eastAsia"/>
          <w:color w:val="FF0000"/>
          <w:szCs w:val="21"/>
        </w:rPr>
        <w:t>二甲基聚硅氧烷</w:t>
      </w:r>
      <w:r w:rsidR="00FF211E" w:rsidRPr="00B526AE">
        <w:rPr>
          <w:rFonts w:cs="Times New Roman" w:hint="eastAsia"/>
          <w:color w:val="FF0000"/>
          <w:szCs w:val="21"/>
        </w:rPr>
        <w:t>的</w:t>
      </w:r>
      <w:r w:rsidR="00F614DD" w:rsidRPr="00B526AE">
        <w:rPr>
          <w:rFonts w:cs="Times New Roman" w:hint="eastAsia"/>
          <w:color w:val="FF0000"/>
          <w:szCs w:val="21"/>
        </w:rPr>
        <w:t>毛细管柱</w:t>
      </w:r>
      <w:r w:rsidR="00FF211E" w:rsidRPr="00B526AE">
        <w:rPr>
          <w:rFonts w:cs="Times New Roman" w:hint="eastAsia"/>
          <w:color w:val="FF0000"/>
          <w:szCs w:val="21"/>
        </w:rPr>
        <w:t>（</w:t>
      </w:r>
      <w:r w:rsidR="00FF211E" w:rsidRPr="00B526AE">
        <w:rPr>
          <w:rFonts w:cs="Times New Roman"/>
          <w:bCs/>
          <w:color w:val="FF0000"/>
          <w:szCs w:val="21"/>
        </w:rPr>
        <w:t>30m</w:t>
      </w:r>
      <w:r w:rsidR="00FF211E" w:rsidRPr="00B526AE">
        <w:rPr>
          <w:rFonts w:cs="Times New Roman" w:hint="eastAsia"/>
          <w:bCs/>
          <w:color w:val="FF0000"/>
          <w:szCs w:val="21"/>
        </w:rPr>
        <w:t>×</w:t>
      </w:r>
      <w:r w:rsidR="00FF211E" w:rsidRPr="00B526AE">
        <w:rPr>
          <w:rFonts w:cs="Times New Roman"/>
          <w:bCs/>
          <w:color w:val="FF0000"/>
          <w:szCs w:val="21"/>
        </w:rPr>
        <w:t>0.25mm</w:t>
      </w:r>
      <w:r w:rsidR="00FF211E" w:rsidRPr="00B526AE">
        <w:rPr>
          <w:rFonts w:cs="Times New Roman" w:hint="eastAsia"/>
          <w:bCs/>
          <w:color w:val="FF0000"/>
          <w:szCs w:val="21"/>
        </w:rPr>
        <w:t>×</w:t>
      </w:r>
      <w:r w:rsidR="00FF211E" w:rsidRPr="00B526AE">
        <w:rPr>
          <w:rFonts w:cs="Times New Roman"/>
          <w:bCs/>
          <w:color w:val="FF0000"/>
          <w:szCs w:val="21"/>
        </w:rPr>
        <w:t>1.4μm</w:t>
      </w:r>
      <w:r w:rsidR="00FF211E" w:rsidRPr="00B526AE">
        <w:rPr>
          <w:rFonts w:cs="Times New Roman" w:hint="eastAsia"/>
          <w:color w:val="FF0000"/>
          <w:szCs w:val="21"/>
        </w:rPr>
        <w:t>）</w:t>
      </w:r>
      <w:r w:rsidR="00F614DD" w:rsidRPr="00B526AE">
        <w:rPr>
          <w:rFonts w:cs="Times New Roman" w:hint="eastAsia"/>
          <w:color w:val="FF0000"/>
          <w:szCs w:val="21"/>
        </w:rPr>
        <w:t>或极性相近的</w:t>
      </w:r>
      <w:r w:rsidR="00FF211E" w:rsidRPr="00B526AE">
        <w:rPr>
          <w:rFonts w:cs="Times New Roman" w:hint="eastAsia"/>
          <w:color w:val="FF0000"/>
          <w:szCs w:val="21"/>
        </w:rPr>
        <w:t>其他</w:t>
      </w:r>
      <w:r w:rsidR="00F614DD" w:rsidRPr="00B526AE">
        <w:rPr>
          <w:rFonts w:cs="Times New Roman" w:hint="eastAsia"/>
          <w:color w:val="FF0000"/>
          <w:szCs w:val="21"/>
        </w:rPr>
        <w:t>等效色谱柱</w:t>
      </w:r>
      <w:r w:rsidR="00F614DD" w:rsidRPr="008D2D8B">
        <w:rPr>
          <w:rFonts w:cs="Times New Roman" w:hint="eastAsia"/>
          <w:szCs w:val="21"/>
        </w:rPr>
        <w:t>；</w:t>
      </w:r>
      <w:bookmarkEnd w:id="1"/>
      <w:proofErr w:type="gramStart"/>
      <w:r w:rsidRPr="00B526AE">
        <w:rPr>
          <w:rFonts w:cs="Times New Roman" w:hint="eastAsia"/>
          <w:color w:val="FF0000"/>
          <w:szCs w:val="21"/>
        </w:rPr>
        <w:t>柱温起始</w:t>
      </w:r>
      <w:proofErr w:type="gramEnd"/>
      <w:r w:rsidRPr="00B526AE">
        <w:rPr>
          <w:rFonts w:cs="Times New Roman" w:hint="eastAsia"/>
          <w:color w:val="FF0000"/>
          <w:szCs w:val="21"/>
        </w:rPr>
        <w:t>温度为</w:t>
      </w:r>
      <w:r w:rsidRPr="00B526AE">
        <w:rPr>
          <w:rFonts w:cs="Times New Roman"/>
          <w:color w:val="FF0000"/>
          <w:szCs w:val="21"/>
        </w:rPr>
        <w:t>50</w:t>
      </w:r>
      <w:r w:rsidRPr="00B526AE">
        <w:rPr>
          <w:rFonts w:cs="Times New Roman" w:hint="eastAsia"/>
          <w:color w:val="FF0000"/>
          <w:szCs w:val="21"/>
        </w:rPr>
        <w:t>℃</w:t>
      </w:r>
      <w:r w:rsidRPr="008D2D8B">
        <w:rPr>
          <w:rFonts w:cs="Times New Roman" w:hint="eastAsia"/>
          <w:szCs w:val="21"/>
        </w:rPr>
        <w:t>，保持</w:t>
      </w:r>
      <w:r w:rsidRPr="008D2D8B">
        <w:rPr>
          <w:rFonts w:cs="Times New Roman"/>
          <w:szCs w:val="21"/>
        </w:rPr>
        <w:t>10</w:t>
      </w:r>
      <w:r w:rsidRPr="008D2D8B">
        <w:rPr>
          <w:rFonts w:cs="Times New Roman" w:hint="eastAsia"/>
          <w:szCs w:val="21"/>
        </w:rPr>
        <w:t>分钟；进样口温度为</w:t>
      </w:r>
      <w:r w:rsidRPr="008D2D8B">
        <w:rPr>
          <w:rFonts w:cs="Times New Roman"/>
          <w:szCs w:val="21"/>
        </w:rPr>
        <w:t>200</w:t>
      </w:r>
      <w:r w:rsidRPr="008D2D8B">
        <w:rPr>
          <w:rFonts w:cs="Times New Roman" w:hint="eastAsia"/>
          <w:szCs w:val="21"/>
        </w:rPr>
        <w:t>℃；检测器（</w:t>
      </w:r>
      <w:r w:rsidRPr="008D2D8B">
        <w:rPr>
          <w:rFonts w:cs="Times New Roman"/>
          <w:szCs w:val="21"/>
        </w:rPr>
        <w:t>FID</w:t>
      </w:r>
      <w:r w:rsidRPr="008D2D8B">
        <w:rPr>
          <w:rFonts w:cs="Times New Roman" w:hint="eastAsia"/>
          <w:szCs w:val="21"/>
        </w:rPr>
        <w:t>）温度为</w:t>
      </w:r>
      <w:r w:rsidRPr="008D2D8B">
        <w:rPr>
          <w:rFonts w:cs="Times New Roman"/>
          <w:szCs w:val="21"/>
        </w:rPr>
        <w:t>250</w:t>
      </w:r>
      <w:r w:rsidRPr="008D2D8B">
        <w:rPr>
          <w:rFonts w:cs="Times New Roman" w:hint="eastAsia"/>
          <w:szCs w:val="21"/>
        </w:rPr>
        <w:t>℃；载气流速</w:t>
      </w:r>
      <w:r w:rsidRPr="008D2D8B">
        <w:rPr>
          <w:rFonts w:cs="Times New Roman"/>
          <w:szCs w:val="21"/>
        </w:rPr>
        <w:t>1.5ml/min</w:t>
      </w:r>
      <w:r w:rsidRPr="008D2D8B">
        <w:rPr>
          <w:rFonts w:cs="Times New Roman" w:hint="eastAsia"/>
          <w:szCs w:val="21"/>
        </w:rPr>
        <w:t>。</w:t>
      </w:r>
    </w:p>
    <w:p w14:paraId="36E1B508" w14:textId="7380A0D9" w:rsidR="00347203" w:rsidRPr="00B526AE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color w:val="FF0000"/>
          <w:szCs w:val="21"/>
        </w:rPr>
      </w:pPr>
      <w:bookmarkStart w:id="2" w:name="_Hlk107941995"/>
      <w:r w:rsidRPr="008D2D8B">
        <w:rPr>
          <w:rFonts w:cs="Times New Roman" w:hint="eastAsia"/>
          <w:b/>
          <w:bCs/>
          <w:szCs w:val="21"/>
        </w:rPr>
        <w:t>对照品溶液的制备</w:t>
      </w:r>
      <w:r w:rsidRPr="008D2D8B">
        <w:rPr>
          <w:rFonts w:cs="Times New Roman"/>
          <w:b/>
          <w:bCs/>
          <w:szCs w:val="21"/>
        </w:rPr>
        <w:t xml:space="preserve">  </w:t>
      </w:r>
      <w:r w:rsidR="0024423A" w:rsidRPr="00B526AE">
        <w:rPr>
          <w:rFonts w:cs="Times New Roman" w:hint="eastAsia"/>
          <w:color w:val="FF0000"/>
          <w:szCs w:val="21"/>
        </w:rPr>
        <w:t>应</w:t>
      </w:r>
      <w:r w:rsidRPr="00B526AE">
        <w:rPr>
          <w:rFonts w:cs="Times New Roman" w:hint="eastAsia"/>
          <w:color w:val="FF0000"/>
          <w:szCs w:val="21"/>
        </w:rPr>
        <w:t>根据</w:t>
      </w:r>
      <w:proofErr w:type="gramStart"/>
      <w:r w:rsidRPr="00B526AE">
        <w:rPr>
          <w:rFonts w:cs="Times New Roman" w:hint="eastAsia"/>
          <w:color w:val="FF0000"/>
          <w:szCs w:val="21"/>
        </w:rPr>
        <w:t>供试品溶液</w:t>
      </w:r>
      <w:proofErr w:type="gramEnd"/>
      <w:r w:rsidRPr="00B526AE">
        <w:rPr>
          <w:rFonts w:cs="Times New Roman" w:hint="eastAsia"/>
          <w:color w:val="FF0000"/>
          <w:szCs w:val="21"/>
        </w:rPr>
        <w:t>中环氧乙烷的实际残留量确定对照品溶液浓度，通常对照品溶液的色谱峰面积</w:t>
      </w:r>
      <w:r w:rsidR="0024423A" w:rsidRPr="00B526AE">
        <w:rPr>
          <w:rFonts w:cs="Times New Roman" w:hint="eastAsia"/>
          <w:color w:val="FF0000"/>
          <w:szCs w:val="21"/>
        </w:rPr>
        <w:t>不宜超过</w:t>
      </w:r>
      <w:proofErr w:type="gramStart"/>
      <w:r w:rsidRPr="00B526AE">
        <w:rPr>
          <w:rFonts w:cs="Times New Roman" w:hint="eastAsia"/>
          <w:color w:val="FF0000"/>
          <w:szCs w:val="21"/>
        </w:rPr>
        <w:t>供试品溶液</w:t>
      </w:r>
      <w:proofErr w:type="gramEnd"/>
      <w:r w:rsidRPr="00B526AE">
        <w:rPr>
          <w:rFonts w:cs="Times New Roman" w:hint="eastAsia"/>
          <w:color w:val="FF0000"/>
          <w:szCs w:val="21"/>
        </w:rPr>
        <w:t>中对应的色谱峰面积</w:t>
      </w:r>
      <w:r w:rsidR="0024423A" w:rsidRPr="00B526AE">
        <w:rPr>
          <w:rFonts w:cs="Times New Roman" w:hint="eastAsia"/>
          <w:color w:val="FF0000"/>
          <w:szCs w:val="21"/>
        </w:rPr>
        <w:t>的</w:t>
      </w:r>
      <w:r w:rsidRPr="00B526AE">
        <w:rPr>
          <w:rFonts w:cs="Times New Roman"/>
          <w:color w:val="FF0000"/>
          <w:szCs w:val="21"/>
        </w:rPr>
        <w:t>2</w:t>
      </w:r>
      <w:r w:rsidRPr="00B526AE">
        <w:rPr>
          <w:rFonts w:cs="Times New Roman" w:hint="eastAsia"/>
          <w:color w:val="FF0000"/>
          <w:szCs w:val="21"/>
        </w:rPr>
        <w:t>倍</w:t>
      </w:r>
      <w:r w:rsidR="0024423A" w:rsidRPr="00B526AE">
        <w:rPr>
          <w:rFonts w:cs="Times New Roman" w:hint="eastAsia"/>
          <w:color w:val="FF0000"/>
          <w:szCs w:val="21"/>
        </w:rPr>
        <w:t>。</w:t>
      </w:r>
      <w:bookmarkStart w:id="3" w:name="_Hlk147675324"/>
      <w:r w:rsidR="0024423A" w:rsidRPr="00B526AE">
        <w:rPr>
          <w:rFonts w:cs="Times New Roman" w:hint="eastAsia"/>
          <w:color w:val="FF0000"/>
          <w:szCs w:val="21"/>
        </w:rPr>
        <w:t>取环氧乙烷对照品适量，用水逐步稀释成所需浓度的对照品溶液。精密量取对照品溶液</w:t>
      </w:r>
      <w:r w:rsidR="0024423A" w:rsidRPr="00B526AE">
        <w:rPr>
          <w:rFonts w:cs="Times New Roman" w:hint="eastAsia"/>
          <w:color w:val="FF0000"/>
          <w:szCs w:val="21"/>
        </w:rPr>
        <w:t>5ml</w:t>
      </w:r>
      <w:r w:rsidR="0024423A" w:rsidRPr="00B526AE">
        <w:rPr>
          <w:rFonts w:cs="Times New Roman" w:hint="eastAsia"/>
          <w:color w:val="FF0000"/>
          <w:szCs w:val="21"/>
        </w:rPr>
        <w:t>，</w:t>
      </w:r>
      <w:bookmarkEnd w:id="3"/>
      <w:r w:rsidR="0024423A" w:rsidRPr="00B526AE">
        <w:rPr>
          <w:rFonts w:cs="Times New Roman" w:hint="eastAsia"/>
          <w:color w:val="FF0000"/>
          <w:szCs w:val="21"/>
        </w:rPr>
        <w:t>置</w:t>
      </w:r>
      <w:r w:rsidR="0024423A" w:rsidRPr="00B526AE">
        <w:rPr>
          <w:rFonts w:cs="Times New Roman" w:hint="eastAsia"/>
          <w:color w:val="FF0000"/>
          <w:szCs w:val="21"/>
        </w:rPr>
        <w:t>2</w:t>
      </w:r>
      <w:r w:rsidR="0024423A" w:rsidRPr="00B526AE">
        <w:rPr>
          <w:rFonts w:cs="Times New Roman"/>
          <w:color w:val="FF0000"/>
          <w:szCs w:val="21"/>
        </w:rPr>
        <w:t>0</w:t>
      </w:r>
      <w:r w:rsidR="0024423A" w:rsidRPr="00B526AE">
        <w:rPr>
          <w:rFonts w:cs="Times New Roman" w:hint="eastAsia"/>
          <w:color w:val="FF0000"/>
          <w:szCs w:val="21"/>
        </w:rPr>
        <w:t>ml</w:t>
      </w:r>
      <w:r w:rsidRPr="00B526AE">
        <w:rPr>
          <w:rFonts w:cs="Times New Roman" w:hint="eastAsia"/>
          <w:color w:val="FF0000"/>
          <w:szCs w:val="21"/>
        </w:rPr>
        <w:t>顶空瓶中，立即</w:t>
      </w:r>
      <w:r w:rsidR="009522E6" w:rsidRPr="00B526AE">
        <w:rPr>
          <w:rFonts w:cs="Times New Roman" w:hint="eastAsia"/>
          <w:color w:val="FF0000"/>
          <w:szCs w:val="21"/>
        </w:rPr>
        <w:t>密封</w:t>
      </w:r>
      <w:r w:rsidRPr="00B526AE">
        <w:rPr>
          <w:rFonts w:cs="Times New Roman" w:hint="eastAsia"/>
          <w:color w:val="FF0000"/>
          <w:szCs w:val="21"/>
        </w:rPr>
        <w:t>。</w:t>
      </w:r>
    </w:p>
    <w:bookmarkEnd w:id="2"/>
    <w:p w14:paraId="0BEAD0AC" w14:textId="2377E309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测定法</w:t>
      </w:r>
      <w:r w:rsidRPr="008D2D8B">
        <w:rPr>
          <w:rFonts w:cs="Times New Roman"/>
          <w:b/>
          <w:bCs/>
          <w:szCs w:val="21"/>
        </w:rPr>
        <w:t xml:space="preserve">  </w:t>
      </w:r>
      <w:bookmarkStart w:id="4" w:name="_Hlk107940168"/>
      <w:r w:rsidRPr="008D2D8B">
        <w:rPr>
          <w:rFonts w:cs="Times New Roman" w:hint="eastAsia"/>
          <w:szCs w:val="21"/>
        </w:rPr>
        <w:t>将对照品溶液和</w:t>
      </w:r>
      <w:proofErr w:type="gramStart"/>
      <w:r w:rsidRPr="008D2D8B">
        <w:rPr>
          <w:rFonts w:cs="Times New Roman" w:hint="eastAsia"/>
          <w:szCs w:val="21"/>
        </w:rPr>
        <w:t>供试品溶液</w:t>
      </w:r>
      <w:bookmarkEnd w:id="4"/>
      <w:proofErr w:type="gramEnd"/>
      <w:r w:rsidRPr="008D2D8B">
        <w:rPr>
          <w:rFonts w:cs="Times New Roman" w:hint="eastAsia"/>
          <w:szCs w:val="21"/>
        </w:rPr>
        <w:t>分别置于</w:t>
      </w:r>
      <w:r w:rsidRPr="008D2D8B">
        <w:rPr>
          <w:rFonts w:cs="Times New Roman"/>
          <w:szCs w:val="21"/>
        </w:rPr>
        <w:t>60</w:t>
      </w:r>
      <w:r w:rsidRPr="008D2D8B">
        <w:rPr>
          <w:rFonts w:cs="Times New Roman" w:hint="eastAsia"/>
          <w:szCs w:val="21"/>
        </w:rPr>
        <w:t>℃±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℃的条件下平衡</w:t>
      </w:r>
      <w:r w:rsidRPr="008D2D8B">
        <w:rPr>
          <w:rFonts w:cs="Times New Roman"/>
          <w:szCs w:val="21"/>
        </w:rPr>
        <w:t>40</w:t>
      </w:r>
      <w:r w:rsidRPr="008D2D8B">
        <w:rPr>
          <w:rFonts w:cs="Times New Roman" w:hint="eastAsia"/>
          <w:szCs w:val="21"/>
        </w:rPr>
        <w:t>分钟。分别取</w:t>
      </w:r>
      <w:r w:rsidRPr="008D2D8B">
        <w:rPr>
          <w:rFonts w:cs="Times New Roman"/>
          <w:szCs w:val="21"/>
        </w:rPr>
        <w:t>1ml</w:t>
      </w:r>
      <w:r w:rsidRPr="008D2D8B">
        <w:rPr>
          <w:rFonts w:cs="Times New Roman" w:hint="eastAsia"/>
          <w:szCs w:val="21"/>
        </w:rPr>
        <w:t>液上气体注入气相色谱仪中，记录色谱图，测定环氧乙烷的峰面积。</w:t>
      </w:r>
      <w:bookmarkStart w:id="5" w:name="_Hlk107976663"/>
      <w:r w:rsidRPr="008D2D8B">
        <w:rPr>
          <w:rFonts w:cs="Times New Roman" w:hint="eastAsia"/>
          <w:szCs w:val="21"/>
        </w:rPr>
        <w:t>分别平行测定不少于</w:t>
      </w:r>
      <w:r w:rsidRPr="008D2D8B">
        <w:rPr>
          <w:rFonts w:cs="Times New Roman"/>
          <w:szCs w:val="21"/>
        </w:rPr>
        <w:t>2</w:t>
      </w:r>
      <w:r w:rsidRPr="008D2D8B">
        <w:rPr>
          <w:rFonts w:cs="Times New Roman" w:hint="eastAsia"/>
          <w:szCs w:val="21"/>
        </w:rPr>
        <w:t>份对照品溶液和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。</w:t>
      </w:r>
      <w:bookmarkEnd w:id="5"/>
      <w:r w:rsidRPr="008D2D8B">
        <w:rPr>
          <w:rFonts w:cs="Times New Roman" w:hint="eastAsia"/>
          <w:szCs w:val="21"/>
        </w:rPr>
        <w:t>按外标法以峰面积计算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中的环氧乙烷浓度，按下式计算</w:t>
      </w:r>
      <w:bookmarkStart w:id="6" w:name="_Hlk107976768"/>
      <w:r w:rsidR="00BB7AC6" w:rsidRPr="008D2D8B">
        <w:rPr>
          <w:rFonts w:cs="Times New Roman" w:hint="eastAsia"/>
          <w:szCs w:val="21"/>
        </w:rPr>
        <w:t>试样</w:t>
      </w:r>
      <w:r w:rsidRPr="008D2D8B">
        <w:rPr>
          <w:rFonts w:cs="Times New Roman" w:hint="eastAsia"/>
          <w:szCs w:val="21"/>
        </w:rPr>
        <w:t>中的环氧乙烷残留量</w:t>
      </w:r>
      <w:bookmarkEnd w:id="6"/>
      <w:r w:rsidRPr="008D2D8B">
        <w:rPr>
          <w:rFonts w:cs="Times New Roman" w:hint="eastAsia"/>
          <w:szCs w:val="21"/>
        </w:rPr>
        <w:t>。</w:t>
      </w:r>
    </w:p>
    <w:p w14:paraId="4A540504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制备方法</w:t>
      </w:r>
      <w:proofErr w:type="gramStart"/>
      <w:r w:rsidRPr="008D2D8B">
        <w:rPr>
          <w:rFonts w:cs="Times New Roman" w:hint="eastAsia"/>
          <w:szCs w:val="21"/>
        </w:rPr>
        <w:t>一</w:t>
      </w:r>
      <w:proofErr w:type="gramEnd"/>
      <w:r w:rsidRPr="008D2D8B">
        <w:rPr>
          <w:rFonts w:cs="Times New Roman" w:hint="eastAsia"/>
          <w:szCs w:val="21"/>
        </w:rPr>
        <w:t>可按照下式计算：</w:t>
      </w:r>
    </w:p>
    <w:p w14:paraId="14513C94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  <m:oMathPara>
        <m:oMath>
          <m:r>
            <m:rPr>
              <m:nor/>
            </m:rPr>
            <w:rPr>
              <w:rFonts w:cs="Times New Roman"/>
              <w:i/>
              <w:iCs/>
              <w:szCs w:val="21"/>
            </w:rPr>
            <w:lastRenderedPageBreak/>
            <m:t>X</m:t>
          </m:r>
          <m:r>
            <m:rPr>
              <m:nor/>
            </m:rPr>
            <w:rPr>
              <w:rFonts w:cs="Times New Roman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1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szCs w:val="21"/>
                </w:rPr>
                <m:t>5</m:t>
              </m:r>
              <m:r>
                <m:rPr>
                  <m:nor/>
                </m:rPr>
                <w:rPr>
                  <w:rFonts w:cs="Times New Roman"/>
                  <w:i/>
                  <w:iCs/>
                  <w:szCs w:val="21"/>
                </w:rPr>
                <m:t>c</m:t>
              </m:r>
            </m:num>
            <m:den>
              <m:r>
                <m:rPr>
                  <m:nor/>
                </m:rPr>
                <w:rPr>
                  <w:rFonts w:cs="Times New Roman"/>
                  <w:i/>
                  <w:iCs/>
                  <w:szCs w:val="21"/>
                </w:rPr>
                <m:t>m</m:t>
              </m:r>
            </m:den>
          </m:f>
        </m:oMath>
      </m:oMathPara>
    </w:p>
    <w:p w14:paraId="0B8DB03E" w14:textId="41596888" w:rsidR="00347203" w:rsidRPr="008D2D8B" w:rsidRDefault="00347203" w:rsidP="00347203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式中</w:t>
      </w:r>
      <w:r w:rsidRPr="008D2D8B">
        <w:rPr>
          <w:rFonts w:cs="Times New Roman" w:hint="eastAsia"/>
          <w:szCs w:val="21"/>
        </w:rPr>
        <w:t xml:space="preserve"> </w:t>
      </w:r>
      <w:r w:rsidRPr="008D2D8B">
        <w:rPr>
          <w:rFonts w:cs="Times New Roman"/>
          <w:szCs w:val="21"/>
        </w:rPr>
        <w:t xml:space="preserve"> </w:t>
      </w:r>
      <w:r w:rsidRPr="008D2D8B">
        <w:rPr>
          <w:rFonts w:cs="Times New Roman"/>
          <w:i/>
          <w:iCs/>
          <w:szCs w:val="21"/>
        </w:rPr>
        <w:t>X</w:t>
      </w:r>
      <w:r w:rsidRPr="008D2D8B">
        <w:rPr>
          <w:rFonts w:cs="Times New Roman" w:hint="eastAsia"/>
          <w:szCs w:val="21"/>
        </w:rPr>
        <w:t>为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Pr="008D2D8B">
        <w:rPr>
          <w:rFonts w:cs="Times New Roman" w:hint="eastAsia"/>
          <w:szCs w:val="21"/>
        </w:rPr>
        <w:t>中的环氧乙烷残留量，</w:t>
      </w:r>
      <w:proofErr w:type="spellStart"/>
      <w:r w:rsidRPr="008D2D8B">
        <w:rPr>
          <w:rFonts w:cs="Times New Roman"/>
          <w:i/>
          <w:iCs/>
          <w:szCs w:val="21"/>
        </w:rPr>
        <w:t>μ</w:t>
      </w:r>
      <w:r w:rsidRPr="008D2D8B">
        <w:rPr>
          <w:rFonts w:cs="Times New Roman"/>
          <w:szCs w:val="21"/>
        </w:rPr>
        <w:t>g</w:t>
      </w:r>
      <w:proofErr w:type="spellEnd"/>
      <w:r w:rsidRPr="008D2D8B">
        <w:rPr>
          <w:rFonts w:cs="Times New Roman"/>
          <w:szCs w:val="21"/>
        </w:rPr>
        <w:t>/g</w:t>
      </w:r>
      <w:r w:rsidRPr="008D2D8B">
        <w:rPr>
          <w:rFonts w:cs="Times New Roman" w:hint="eastAsia"/>
          <w:szCs w:val="21"/>
        </w:rPr>
        <w:t>；</w:t>
      </w:r>
    </w:p>
    <w:p w14:paraId="55AEF005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/>
          <w:szCs w:val="21"/>
        </w:rPr>
        <w:t xml:space="preserve">      5</w:t>
      </w:r>
      <w:proofErr w:type="gramStart"/>
      <w:r w:rsidRPr="008D2D8B">
        <w:rPr>
          <w:rFonts w:cs="Times New Roman" w:hint="eastAsia"/>
          <w:szCs w:val="21"/>
        </w:rPr>
        <w:t>为供试品溶液</w:t>
      </w:r>
      <w:proofErr w:type="gramEnd"/>
      <w:r w:rsidRPr="008D2D8B">
        <w:rPr>
          <w:rFonts w:cs="Times New Roman" w:hint="eastAsia"/>
          <w:szCs w:val="21"/>
        </w:rPr>
        <w:t>的体积，</w:t>
      </w:r>
      <w:r w:rsidRPr="008D2D8B">
        <w:rPr>
          <w:rFonts w:cs="Times New Roman"/>
          <w:szCs w:val="21"/>
        </w:rPr>
        <w:t>ml</w:t>
      </w:r>
      <w:r w:rsidRPr="008D2D8B">
        <w:rPr>
          <w:rFonts w:cs="Times New Roman" w:hint="eastAsia"/>
          <w:szCs w:val="21"/>
        </w:rPr>
        <w:t>；</w:t>
      </w:r>
    </w:p>
    <w:p w14:paraId="333AE42E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/>
          <w:szCs w:val="21"/>
        </w:rPr>
        <w:t xml:space="preserve">      </w:t>
      </w:r>
      <w:r w:rsidRPr="008D2D8B">
        <w:rPr>
          <w:rFonts w:cs="Times New Roman"/>
          <w:i/>
          <w:iCs/>
          <w:szCs w:val="21"/>
        </w:rPr>
        <w:t>c</w:t>
      </w:r>
      <w:proofErr w:type="gramStart"/>
      <w:r w:rsidRPr="008D2D8B">
        <w:rPr>
          <w:rFonts w:cs="Times New Roman" w:hint="eastAsia"/>
          <w:szCs w:val="21"/>
        </w:rPr>
        <w:t>为供试品溶液</w:t>
      </w:r>
      <w:proofErr w:type="gramEnd"/>
      <w:r w:rsidRPr="008D2D8B">
        <w:rPr>
          <w:rFonts w:cs="Times New Roman" w:hint="eastAsia"/>
          <w:szCs w:val="21"/>
        </w:rPr>
        <w:t>中环氧乙烷的浓度，</w:t>
      </w:r>
      <w:proofErr w:type="spellStart"/>
      <w:r w:rsidRPr="008D2D8B">
        <w:rPr>
          <w:rFonts w:cs="Times New Roman"/>
          <w:i/>
          <w:iCs/>
          <w:szCs w:val="21"/>
        </w:rPr>
        <w:t>μ</w:t>
      </w:r>
      <w:r w:rsidRPr="008D2D8B">
        <w:rPr>
          <w:rFonts w:cs="Times New Roman"/>
          <w:szCs w:val="21"/>
        </w:rPr>
        <w:t>g</w:t>
      </w:r>
      <w:proofErr w:type="spellEnd"/>
      <w:r w:rsidRPr="008D2D8B">
        <w:rPr>
          <w:rFonts w:cs="Times New Roman"/>
          <w:szCs w:val="21"/>
        </w:rPr>
        <w:t>/ml</w:t>
      </w:r>
      <w:r w:rsidRPr="008D2D8B">
        <w:rPr>
          <w:rFonts w:cs="Times New Roman" w:hint="eastAsia"/>
          <w:szCs w:val="21"/>
        </w:rPr>
        <w:t>；</w:t>
      </w:r>
    </w:p>
    <w:p w14:paraId="755095EB" w14:textId="1777F59B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/>
          <w:szCs w:val="21"/>
        </w:rPr>
        <w:t xml:space="preserve">      </w:t>
      </w:r>
      <w:r w:rsidRPr="008D2D8B">
        <w:rPr>
          <w:rFonts w:cs="Times New Roman"/>
          <w:i/>
          <w:iCs/>
          <w:szCs w:val="21"/>
        </w:rPr>
        <w:t>m</w:t>
      </w:r>
      <w:r w:rsidRPr="008D2D8B">
        <w:rPr>
          <w:rFonts w:cs="Times New Roman" w:hint="eastAsia"/>
          <w:szCs w:val="21"/>
        </w:rPr>
        <w:t>为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Pr="008D2D8B">
        <w:rPr>
          <w:rFonts w:cs="Times New Roman" w:hint="eastAsia"/>
          <w:szCs w:val="21"/>
        </w:rPr>
        <w:t>的质量，</w:t>
      </w:r>
      <w:r w:rsidRPr="008D2D8B">
        <w:rPr>
          <w:rFonts w:cs="Times New Roman"/>
          <w:szCs w:val="21"/>
        </w:rPr>
        <w:t>g</w:t>
      </w:r>
      <w:r w:rsidRPr="008D2D8B">
        <w:rPr>
          <w:rFonts w:cs="Times New Roman" w:hint="eastAsia"/>
          <w:szCs w:val="21"/>
        </w:rPr>
        <w:t>。</w:t>
      </w:r>
    </w:p>
    <w:p w14:paraId="2F945713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制备方法二可按下式计算：</w:t>
      </w:r>
    </w:p>
    <w:p w14:paraId="68DD53BC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m:oMathPara>
        <m:oMath>
          <m:r>
            <m:rPr>
              <m:nor/>
            </m:rPr>
            <w:rPr>
              <w:rFonts w:cs="Times New Roman"/>
              <w:i/>
              <w:iCs/>
              <w:szCs w:val="21"/>
            </w:rPr>
            <m:t>X</m:t>
          </m:r>
          <m:r>
            <m:rPr>
              <m:nor/>
            </m:rPr>
            <w:rPr>
              <w:rFonts w:cs="Times New Roman"/>
              <w:szCs w:val="21"/>
            </w:rPr>
            <m:t>=</m:t>
          </m:r>
          <w:proofErr w:type="spellStart"/>
          <m:r>
            <m:rPr>
              <m:nor/>
            </m:rPr>
            <w:rPr>
              <w:rFonts w:cs="Times New Roman" w:hint="eastAsia"/>
              <w:i/>
              <w:iCs/>
              <w:szCs w:val="21"/>
            </w:rPr>
            <m:t>V</m:t>
          </m:r>
          <m:r>
            <m:rPr>
              <m:nor/>
            </m:rPr>
            <w:rPr>
              <w:rFonts w:cs="Times New Roman"/>
              <w:i/>
              <w:iCs/>
              <w:szCs w:val="21"/>
            </w:rPr>
            <m:t>c</m:t>
          </m:r>
        </m:oMath>
      </m:oMathPara>
      <w:proofErr w:type="spellEnd"/>
    </w:p>
    <w:p w14:paraId="0DE2395A" w14:textId="7BFCA83B" w:rsidR="00347203" w:rsidRPr="008D2D8B" w:rsidRDefault="00347203" w:rsidP="00347203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式中</w:t>
      </w:r>
      <w:r w:rsidRPr="008D2D8B">
        <w:rPr>
          <w:rFonts w:cs="Times New Roman" w:hint="eastAsia"/>
          <w:szCs w:val="21"/>
        </w:rPr>
        <w:t xml:space="preserve"> </w:t>
      </w:r>
      <w:r w:rsidRPr="008D2D8B">
        <w:rPr>
          <w:rFonts w:cs="Times New Roman"/>
          <w:szCs w:val="21"/>
        </w:rPr>
        <w:t xml:space="preserve"> </w:t>
      </w:r>
      <w:r w:rsidRPr="008D2D8B">
        <w:rPr>
          <w:rFonts w:cs="Times New Roman"/>
          <w:i/>
          <w:iCs/>
          <w:szCs w:val="21"/>
        </w:rPr>
        <w:t>X</w:t>
      </w:r>
      <w:r w:rsidRPr="008D2D8B">
        <w:rPr>
          <w:rFonts w:cs="Times New Roman" w:hint="eastAsia"/>
          <w:szCs w:val="21"/>
        </w:rPr>
        <w:t>为每件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Pr="008D2D8B">
        <w:rPr>
          <w:rFonts w:cs="Times New Roman" w:hint="eastAsia"/>
          <w:szCs w:val="21"/>
        </w:rPr>
        <w:t>中的环氧乙烷残留量，</w:t>
      </w:r>
      <w:proofErr w:type="spellStart"/>
      <w:r w:rsidRPr="008D2D8B">
        <w:rPr>
          <w:rFonts w:cs="Times New Roman"/>
          <w:i/>
          <w:iCs/>
          <w:szCs w:val="21"/>
        </w:rPr>
        <w:t>μ</w:t>
      </w:r>
      <w:r w:rsidRPr="008D2D8B">
        <w:rPr>
          <w:rFonts w:cs="Times New Roman"/>
          <w:szCs w:val="21"/>
        </w:rPr>
        <w:t>g</w:t>
      </w:r>
      <w:proofErr w:type="spellEnd"/>
      <w:r w:rsidRPr="008D2D8B">
        <w:rPr>
          <w:rFonts w:cs="Times New Roman" w:hint="eastAsia"/>
          <w:szCs w:val="21"/>
        </w:rPr>
        <w:t>；</w:t>
      </w:r>
    </w:p>
    <w:p w14:paraId="3ABEF44F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/>
          <w:szCs w:val="21"/>
        </w:rPr>
        <w:t xml:space="preserve">      </w:t>
      </w:r>
      <w:r w:rsidRPr="008D2D8B">
        <w:rPr>
          <w:rFonts w:cs="Times New Roman"/>
          <w:i/>
          <w:iCs/>
          <w:szCs w:val="21"/>
        </w:rPr>
        <w:t>c</w:t>
      </w:r>
      <w:proofErr w:type="gramStart"/>
      <w:r w:rsidRPr="008D2D8B">
        <w:rPr>
          <w:rFonts w:cs="Times New Roman" w:hint="eastAsia"/>
          <w:szCs w:val="21"/>
        </w:rPr>
        <w:t>为供试品溶液</w:t>
      </w:r>
      <w:proofErr w:type="gramEnd"/>
      <w:r w:rsidRPr="008D2D8B">
        <w:rPr>
          <w:rFonts w:cs="Times New Roman" w:hint="eastAsia"/>
          <w:szCs w:val="21"/>
        </w:rPr>
        <w:t>中环氧乙烷的浓度，</w:t>
      </w:r>
      <w:proofErr w:type="spellStart"/>
      <w:r w:rsidRPr="008D2D8B">
        <w:rPr>
          <w:rFonts w:cs="Times New Roman"/>
          <w:i/>
          <w:iCs/>
          <w:szCs w:val="21"/>
        </w:rPr>
        <w:t>μ</w:t>
      </w:r>
      <w:r w:rsidRPr="008D2D8B">
        <w:rPr>
          <w:rFonts w:cs="Times New Roman"/>
          <w:szCs w:val="21"/>
        </w:rPr>
        <w:t>g</w:t>
      </w:r>
      <w:proofErr w:type="spellEnd"/>
      <w:r w:rsidRPr="008D2D8B">
        <w:rPr>
          <w:rFonts w:cs="Times New Roman"/>
          <w:szCs w:val="21"/>
        </w:rPr>
        <w:t>/ml</w:t>
      </w:r>
      <w:r w:rsidRPr="008D2D8B">
        <w:rPr>
          <w:rFonts w:cs="Times New Roman" w:hint="eastAsia"/>
          <w:szCs w:val="21"/>
        </w:rPr>
        <w:t>；</w:t>
      </w:r>
    </w:p>
    <w:p w14:paraId="4AAF4088" w14:textId="5E88B6C5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Chars="83" w:firstLine="174"/>
        <w:jc w:val="both"/>
        <w:rPr>
          <w:rFonts w:cs="Times New Roman"/>
          <w:szCs w:val="21"/>
        </w:rPr>
      </w:pPr>
      <w:r w:rsidRPr="008D2D8B">
        <w:rPr>
          <w:rFonts w:cs="Times New Roman"/>
          <w:szCs w:val="21"/>
        </w:rPr>
        <w:t xml:space="preserve">      </w:t>
      </w:r>
      <w:r w:rsidRPr="008D2D8B">
        <w:rPr>
          <w:rFonts w:cs="Times New Roman" w:hint="eastAsia"/>
          <w:i/>
          <w:iCs/>
          <w:szCs w:val="21"/>
        </w:rPr>
        <w:t>V</w:t>
      </w:r>
      <w:r w:rsidRPr="008D2D8B">
        <w:rPr>
          <w:rFonts w:cs="Times New Roman" w:hint="eastAsia"/>
          <w:szCs w:val="21"/>
        </w:rPr>
        <w:t>为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Pr="008D2D8B">
        <w:rPr>
          <w:rFonts w:cs="Times New Roman" w:hint="eastAsia"/>
          <w:szCs w:val="21"/>
        </w:rPr>
        <w:t>的标示装量，</w:t>
      </w:r>
      <w:r w:rsidRPr="008D2D8B">
        <w:rPr>
          <w:rFonts w:cs="Times New Roman" w:hint="eastAsia"/>
          <w:szCs w:val="21"/>
        </w:rPr>
        <w:t>ml</w:t>
      </w:r>
      <w:r w:rsidRPr="008D2D8B">
        <w:rPr>
          <w:rFonts w:cs="Times New Roman" w:hint="eastAsia"/>
          <w:szCs w:val="21"/>
        </w:rPr>
        <w:t>。</w:t>
      </w:r>
    </w:p>
    <w:p w14:paraId="404B8656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8D2D8B">
        <w:rPr>
          <w:rFonts w:cs="Times New Roman" w:hint="eastAsia"/>
          <w:b/>
          <w:bCs/>
          <w:szCs w:val="21"/>
        </w:rPr>
        <w:t>第二法（标准曲线法）</w:t>
      </w:r>
    </w:p>
    <w:p w14:paraId="2C6D5E6B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8D2D8B">
        <w:rPr>
          <w:rFonts w:cs="Times New Roman" w:hint="eastAsia"/>
          <w:b/>
          <w:bCs/>
          <w:szCs w:val="21"/>
        </w:rPr>
        <w:t>色谱条件</w:t>
      </w:r>
      <w:r w:rsidRPr="008D2D8B">
        <w:rPr>
          <w:rFonts w:cs="Times New Roman"/>
          <w:b/>
          <w:bCs/>
          <w:szCs w:val="21"/>
        </w:rPr>
        <w:t xml:space="preserve">  </w:t>
      </w:r>
      <w:r w:rsidRPr="008D2D8B">
        <w:rPr>
          <w:rFonts w:cs="Times New Roman" w:hint="eastAsia"/>
          <w:szCs w:val="21"/>
        </w:rPr>
        <w:t>同第一法。</w:t>
      </w:r>
    </w:p>
    <w:p w14:paraId="7ACC0C27" w14:textId="78B35316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系列对照品溶液的制备</w:t>
      </w:r>
      <w:r w:rsidRPr="008D2D8B">
        <w:rPr>
          <w:rFonts w:cs="Times New Roman"/>
          <w:b/>
          <w:bCs/>
          <w:szCs w:val="21"/>
        </w:rPr>
        <w:t xml:space="preserve">  </w:t>
      </w:r>
      <w:r w:rsidRPr="008D2D8B">
        <w:rPr>
          <w:rFonts w:cs="Times New Roman" w:hint="eastAsia"/>
          <w:szCs w:val="21"/>
        </w:rPr>
        <w:t>系列对照品溶液的浓度范围应包含</w:t>
      </w:r>
      <w:proofErr w:type="gramStart"/>
      <w:r w:rsidRPr="008D2D8B">
        <w:rPr>
          <w:rFonts w:cs="Times New Roman" w:hint="eastAsia"/>
          <w:szCs w:val="21"/>
        </w:rPr>
        <w:t>供试品中</w:t>
      </w:r>
      <w:proofErr w:type="gramEnd"/>
      <w:r w:rsidRPr="008D2D8B">
        <w:rPr>
          <w:rFonts w:cs="Times New Roman" w:hint="eastAsia"/>
          <w:szCs w:val="21"/>
        </w:rPr>
        <w:t>残留环氧乙烷的浓度。</w:t>
      </w:r>
      <w:r w:rsidR="009522E6" w:rsidRPr="00B526AE">
        <w:rPr>
          <w:rFonts w:cs="Times New Roman" w:hint="eastAsia"/>
          <w:color w:val="FF0000"/>
          <w:szCs w:val="21"/>
        </w:rPr>
        <w:t>取环氧乙烷对照品适量，用水逐步稀释成</w:t>
      </w:r>
      <w:r w:rsidR="00A060E7" w:rsidRPr="00B526AE">
        <w:rPr>
          <w:rFonts w:cs="Times New Roman" w:hint="eastAsia"/>
          <w:color w:val="FF0000"/>
          <w:szCs w:val="21"/>
        </w:rPr>
        <w:t>浓度为</w:t>
      </w:r>
      <w:r w:rsidR="009522E6" w:rsidRPr="00B526AE" w:rsidDel="009522E6">
        <w:rPr>
          <w:rFonts w:cs="Times New Roman" w:hint="eastAsia"/>
          <w:color w:val="FF0000"/>
          <w:szCs w:val="21"/>
        </w:rPr>
        <w:t xml:space="preserve"> </w:t>
      </w:r>
      <w:r w:rsidRPr="00B526AE">
        <w:rPr>
          <w:rFonts w:cs="Times New Roman"/>
          <w:color w:val="FF0000"/>
          <w:szCs w:val="21"/>
        </w:rPr>
        <w:t>0.4~20</w:t>
      </w:r>
      <w:r w:rsidRPr="00B526AE">
        <w:rPr>
          <w:rFonts w:cs="Times New Roman"/>
          <w:i/>
          <w:iCs/>
          <w:color w:val="FF0000"/>
          <w:szCs w:val="21"/>
        </w:rPr>
        <w:t>μ</w:t>
      </w:r>
      <w:r w:rsidRPr="00B526AE">
        <w:rPr>
          <w:rFonts w:cs="Times New Roman"/>
          <w:color w:val="FF0000"/>
          <w:szCs w:val="21"/>
        </w:rPr>
        <w:t>g/ml</w:t>
      </w:r>
      <w:r w:rsidR="00A060E7" w:rsidRPr="00B526AE">
        <w:rPr>
          <w:rFonts w:cs="Times New Roman" w:hint="eastAsia"/>
          <w:color w:val="FF0000"/>
          <w:szCs w:val="21"/>
        </w:rPr>
        <w:t>的</w:t>
      </w:r>
      <w:r w:rsidRPr="00B526AE">
        <w:rPr>
          <w:rFonts w:cs="Times New Roman" w:hint="eastAsia"/>
          <w:color w:val="FF0000"/>
          <w:szCs w:val="21"/>
        </w:rPr>
        <w:t>系列对照品溶液</w:t>
      </w:r>
      <w:r w:rsidRPr="008D2D8B">
        <w:rPr>
          <w:rFonts w:cs="Times New Roman" w:hint="eastAsia"/>
          <w:szCs w:val="21"/>
        </w:rPr>
        <w:t>，应不少于</w:t>
      </w:r>
      <w:r w:rsidRPr="008D2D8B">
        <w:rPr>
          <w:rFonts w:cs="Times New Roman"/>
          <w:szCs w:val="21"/>
        </w:rPr>
        <w:t>5</w:t>
      </w:r>
      <w:r w:rsidRPr="008D2D8B">
        <w:rPr>
          <w:rFonts w:cs="Times New Roman" w:hint="eastAsia"/>
          <w:szCs w:val="21"/>
        </w:rPr>
        <w:t>个浓度点（必要时可根据</w:t>
      </w:r>
      <w:proofErr w:type="gramStart"/>
      <w:r w:rsidRPr="008D2D8B">
        <w:rPr>
          <w:rFonts w:cs="Times New Roman" w:hint="eastAsia"/>
          <w:szCs w:val="21"/>
        </w:rPr>
        <w:t>供试品实际情况</w:t>
      </w:r>
      <w:proofErr w:type="gramEnd"/>
      <w:r w:rsidRPr="008D2D8B">
        <w:rPr>
          <w:rFonts w:cs="Times New Roman" w:hint="eastAsia"/>
          <w:szCs w:val="21"/>
        </w:rPr>
        <w:t>调整线性范围）</w:t>
      </w:r>
      <w:r w:rsidR="009522E6" w:rsidRPr="008D2D8B">
        <w:rPr>
          <w:rFonts w:cs="Times New Roman" w:hint="eastAsia"/>
          <w:szCs w:val="21"/>
        </w:rPr>
        <w:t>，</w:t>
      </w:r>
      <w:r w:rsidR="009522E6" w:rsidRPr="00B526AE">
        <w:rPr>
          <w:rFonts w:cs="Times New Roman" w:hint="eastAsia"/>
          <w:color w:val="FF0000"/>
          <w:szCs w:val="21"/>
        </w:rPr>
        <w:t>线性</w:t>
      </w:r>
      <w:r w:rsidR="009522E6" w:rsidRPr="00B526AE">
        <w:rPr>
          <w:rFonts w:cs="Times New Roman"/>
          <w:color w:val="FF0000"/>
          <w:szCs w:val="21"/>
        </w:rPr>
        <w:t>相关系数</w:t>
      </w:r>
      <w:r w:rsidR="009522E6" w:rsidRPr="00B526AE">
        <w:rPr>
          <w:rFonts w:cs="Times New Roman"/>
          <w:color w:val="FF0000"/>
          <w:szCs w:val="21"/>
        </w:rPr>
        <w:t>r</w:t>
      </w:r>
      <w:r w:rsidR="009522E6" w:rsidRPr="00B526AE">
        <w:rPr>
          <w:rFonts w:cs="Times New Roman"/>
          <w:color w:val="FF0000"/>
          <w:szCs w:val="21"/>
        </w:rPr>
        <w:t>应不小于</w:t>
      </w:r>
      <w:r w:rsidR="009522E6" w:rsidRPr="00B526AE">
        <w:rPr>
          <w:rFonts w:cs="Times New Roman"/>
          <w:color w:val="FF0000"/>
          <w:szCs w:val="21"/>
        </w:rPr>
        <w:t>0.995</w:t>
      </w:r>
      <w:r w:rsidRPr="00B526AE">
        <w:rPr>
          <w:rFonts w:cs="Times New Roman" w:hint="eastAsia"/>
          <w:color w:val="FF0000"/>
          <w:szCs w:val="21"/>
        </w:rPr>
        <w:t>。</w:t>
      </w:r>
      <w:r w:rsidR="009522E6" w:rsidRPr="00B526AE">
        <w:rPr>
          <w:rFonts w:cs="Times New Roman" w:hint="eastAsia"/>
          <w:color w:val="FF0000"/>
          <w:szCs w:val="21"/>
        </w:rPr>
        <w:t>精密量</w:t>
      </w:r>
      <w:proofErr w:type="gramStart"/>
      <w:r w:rsidR="009522E6" w:rsidRPr="00B526AE">
        <w:rPr>
          <w:rFonts w:cs="Times New Roman" w:hint="eastAsia"/>
          <w:color w:val="FF0000"/>
          <w:szCs w:val="21"/>
        </w:rPr>
        <w:t>取系列</w:t>
      </w:r>
      <w:proofErr w:type="gramEnd"/>
      <w:r w:rsidR="009522E6" w:rsidRPr="00B526AE">
        <w:rPr>
          <w:rFonts w:cs="Times New Roman" w:hint="eastAsia"/>
          <w:color w:val="FF0000"/>
          <w:szCs w:val="21"/>
        </w:rPr>
        <w:t>对照品溶液</w:t>
      </w:r>
      <w:r w:rsidR="00A060E7" w:rsidRPr="00B526AE">
        <w:rPr>
          <w:rFonts w:cs="Times New Roman" w:hint="eastAsia"/>
          <w:color w:val="FF0000"/>
          <w:szCs w:val="21"/>
        </w:rPr>
        <w:t>各</w:t>
      </w:r>
      <w:r w:rsidR="009522E6" w:rsidRPr="00B526AE">
        <w:rPr>
          <w:rFonts w:cs="Times New Roman" w:hint="eastAsia"/>
          <w:color w:val="FF0000"/>
          <w:szCs w:val="21"/>
        </w:rPr>
        <w:t>5ml</w:t>
      </w:r>
      <w:r w:rsidR="009522E6" w:rsidRPr="00B526AE">
        <w:rPr>
          <w:rFonts w:cs="Times New Roman" w:hint="eastAsia"/>
          <w:color w:val="FF0000"/>
          <w:szCs w:val="21"/>
        </w:rPr>
        <w:t>，置</w:t>
      </w:r>
      <w:r w:rsidR="009522E6" w:rsidRPr="00B526AE">
        <w:rPr>
          <w:rFonts w:cs="Times New Roman" w:hint="eastAsia"/>
          <w:color w:val="FF0000"/>
          <w:szCs w:val="21"/>
        </w:rPr>
        <w:t>2</w:t>
      </w:r>
      <w:r w:rsidR="009522E6" w:rsidRPr="00B526AE">
        <w:rPr>
          <w:rFonts w:cs="Times New Roman"/>
          <w:color w:val="FF0000"/>
          <w:szCs w:val="21"/>
        </w:rPr>
        <w:t>0ml</w:t>
      </w:r>
      <w:r w:rsidR="009522E6" w:rsidRPr="00B526AE">
        <w:rPr>
          <w:rFonts w:cs="Times New Roman" w:hint="eastAsia"/>
          <w:color w:val="FF0000"/>
          <w:szCs w:val="21"/>
        </w:rPr>
        <w:t>顶空瓶中，立即密封。</w:t>
      </w:r>
    </w:p>
    <w:p w14:paraId="00FB39D8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测定法</w:t>
      </w:r>
      <w:r w:rsidRPr="008D2D8B">
        <w:rPr>
          <w:rFonts w:cs="Times New Roman"/>
          <w:b/>
          <w:bCs/>
          <w:szCs w:val="21"/>
        </w:rPr>
        <w:t xml:space="preserve">  </w:t>
      </w:r>
      <w:r w:rsidRPr="008D2D8B">
        <w:rPr>
          <w:rFonts w:cs="Times New Roman" w:hint="eastAsia"/>
          <w:szCs w:val="21"/>
        </w:rPr>
        <w:t>将系列对照品溶液和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分别置于</w:t>
      </w:r>
      <w:r w:rsidRPr="008D2D8B">
        <w:rPr>
          <w:rFonts w:cs="Times New Roman"/>
          <w:szCs w:val="21"/>
        </w:rPr>
        <w:t>60</w:t>
      </w:r>
      <w:r w:rsidRPr="008D2D8B">
        <w:rPr>
          <w:rFonts w:cs="Times New Roman" w:hint="eastAsia"/>
          <w:szCs w:val="21"/>
        </w:rPr>
        <w:t>℃±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℃的条件下平衡</w:t>
      </w:r>
      <w:r w:rsidRPr="008D2D8B">
        <w:rPr>
          <w:rFonts w:cs="Times New Roman"/>
          <w:szCs w:val="21"/>
        </w:rPr>
        <w:t>40</w:t>
      </w:r>
      <w:r w:rsidRPr="008D2D8B">
        <w:rPr>
          <w:rFonts w:cs="Times New Roman" w:hint="eastAsia"/>
          <w:szCs w:val="21"/>
        </w:rPr>
        <w:t>分钟。分别取</w:t>
      </w:r>
      <w:r w:rsidRPr="008D2D8B">
        <w:rPr>
          <w:rFonts w:cs="Times New Roman"/>
          <w:szCs w:val="21"/>
        </w:rPr>
        <w:t>1ml</w:t>
      </w:r>
      <w:r w:rsidRPr="008D2D8B">
        <w:rPr>
          <w:rFonts w:cs="Times New Roman" w:hint="eastAsia"/>
          <w:szCs w:val="21"/>
        </w:rPr>
        <w:t>液上气体注入气相色谱仪中，测定环氧乙烷峰面积。分别平行测定不少于</w:t>
      </w:r>
      <w:r w:rsidRPr="008D2D8B">
        <w:rPr>
          <w:rFonts w:cs="Times New Roman"/>
          <w:szCs w:val="21"/>
        </w:rPr>
        <w:t>2</w:t>
      </w:r>
      <w:r w:rsidRPr="008D2D8B">
        <w:rPr>
          <w:rFonts w:cs="Times New Roman" w:hint="eastAsia"/>
          <w:szCs w:val="21"/>
        </w:rPr>
        <w:t>份各系列对照品溶液和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。以峰面积为纵坐标，对照品溶液的浓度为横坐标，回归计算标准曲线。根据标准曲线求得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中环氧乙烷的浓度，按第一法中的公式计算</w:t>
      </w:r>
      <w:proofErr w:type="gramStart"/>
      <w:r w:rsidRPr="008D2D8B">
        <w:rPr>
          <w:rFonts w:cs="Times New Roman" w:hint="eastAsia"/>
          <w:szCs w:val="21"/>
        </w:rPr>
        <w:t>供试品中</w:t>
      </w:r>
      <w:proofErr w:type="gramEnd"/>
      <w:r w:rsidRPr="008D2D8B">
        <w:rPr>
          <w:rFonts w:cs="Times New Roman" w:hint="eastAsia"/>
          <w:szCs w:val="21"/>
        </w:rPr>
        <w:t>的环氧乙烷残留量。</w:t>
      </w:r>
    </w:p>
    <w:p w14:paraId="40E6C8BE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b/>
          <w:bCs/>
          <w:szCs w:val="21"/>
        </w:rPr>
      </w:pPr>
      <w:r w:rsidRPr="008D2D8B">
        <w:rPr>
          <w:rFonts w:cs="Times New Roman" w:hint="eastAsia"/>
          <w:b/>
          <w:bCs/>
          <w:szCs w:val="21"/>
        </w:rPr>
        <w:t>第三法（气质联用色谱法）</w:t>
      </w:r>
    </w:p>
    <w:p w14:paraId="70B0007B" w14:textId="79D7BFB0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色谱条件</w:t>
      </w:r>
      <w:r w:rsidRPr="008D2D8B">
        <w:rPr>
          <w:rFonts w:cs="Times New Roman" w:hint="eastAsia"/>
          <w:b/>
          <w:bCs/>
          <w:szCs w:val="21"/>
        </w:rPr>
        <w:t xml:space="preserve"> </w:t>
      </w:r>
      <w:r w:rsidR="00EF3D68" w:rsidRPr="00B526AE">
        <w:rPr>
          <w:rFonts w:cs="Times New Roman" w:hint="eastAsia"/>
          <w:color w:val="FF0000"/>
          <w:szCs w:val="21"/>
        </w:rPr>
        <w:t>固定液为</w:t>
      </w:r>
      <w:r w:rsidR="00EF3D68" w:rsidRPr="00B526AE">
        <w:rPr>
          <w:rFonts w:cs="Times New Roman" w:hint="eastAsia"/>
          <w:color w:val="FF0000"/>
          <w:szCs w:val="21"/>
        </w:rPr>
        <w:t>(6%)</w:t>
      </w:r>
      <w:proofErr w:type="gramStart"/>
      <w:r w:rsidR="00EF3D68" w:rsidRPr="00B526AE">
        <w:rPr>
          <w:rFonts w:cs="Times New Roman" w:hint="eastAsia"/>
          <w:color w:val="FF0000"/>
          <w:szCs w:val="21"/>
        </w:rPr>
        <w:t>氰丙基</w:t>
      </w:r>
      <w:proofErr w:type="gramEnd"/>
      <w:r w:rsidR="00EF3D68" w:rsidRPr="00B526AE">
        <w:rPr>
          <w:rFonts w:cs="Times New Roman" w:hint="eastAsia"/>
          <w:color w:val="FF0000"/>
          <w:szCs w:val="21"/>
        </w:rPr>
        <w:t>苯基</w:t>
      </w:r>
      <w:r w:rsidR="00EF3D68" w:rsidRPr="00B526AE">
        <w:rPr>
          <w:rFonts w:cs="Times New Roman" w:hint="eastAsia"/>
          <w:color w:val="FF0000"/>
          <w:szCs w:val="21"/>
        </w:rPr>
        <w:t>-(</w:t>
      </w:r>
      <w:r w:rsidR="00EF3D68" w:rsidRPr="00B526AE">
        <w:rPr>
          <w:rFonts w:cs="Times New Roman"/>
          <w:color w:val="FF0000"/>
          <w:szCs w:val="21"/>
        </w:rPr>
        <w:t>94</w:t>
      </w:r>
      <w:r w:rsidR="00EF3D68" w:rsidRPr="00B526AE">
        <w:rPr>
          <w:rFonts w:cs="Times New Roman" w:hint="eastAsia"/>
          <w:color w:val="FF0000"/>
          <w:szCs w:val="21"/>
        </w:rPr>
        <w:t>%</w:t>
      </w:r>
      <w:r w:rsidR="00EF3D68" w:rsidRPr="00B526AE">
        <w:rPr>
          <w:rFonts w:cs="Times New Roman"/>
          <w:color w:val="FF0000"/>
          <w:szCs w:val="21"/>
        </w:rPr>
        <w:t>)</w:t>
      </w:r>
      <w:r w:rsidR="00EF3D68" w:rsidRPr="00B526AE">
        <w:rPr>
          <w:rFonts w:cs="Times New Roman" w:hint="eastAsia"/>
          <w:color w:val="FF0000"/>
          <w:szCs w:val="21"/>
        </w:rPr>
        <w:t>二甲基聚硅氧烷的毛细管柱（</w:t>
      </w:r>
      <w:r w:rsidR="00EF3D68" w:rsidRPr="00B526AE">
        <w:rPr>
          <w:rFonts w:cs="Times New Roman"/>
          <w:color w:val="FF0000"/>
          <w:szCs w:val="21"/>
        </w:rPr>
        <w:t>60m</w:t>
      </w:r>
      <w:r w:rsidR="00EF3D68" w:rsidRPr="00B526AE">
        <w:rPr>
          <w:rFonts w:cs="Times New Roman" w:hint="eastAsia"/>
          <w:color w:val="FF0000"/>
          <w:szCs w:val="21"/>
        </w:rPr>
        <w:t>×</w:t>
      </w:r>
      <w:r w:rsidR="00EF3D68" w:rsidRPr="00B526AE">
        <w:rPr>
          <w:rFonts w:cs="Times New Roman"/>
          <w:color w:val="FF0000"/>
          <w:szCs w:val="21"/>
        </w:rPr>
        <w:t>0.25mm</w:t>
      </w:r>
      <w:r w:rsidR="00EF3D68" w:rsidRPr="00B526AE">
        <w:rPr>
          <w:rFonts w:cs="Times New Roman" w:hint="eastAsia"/>
          <w:color w:val="FF0000"/>
          <w:szCs w:val="21"/>
        </w:rPr>
        <w:t>×</w:t>
      </w:r>
      <w:r w:rsidR="00EF3D68" w:rsidRPr="00B526AE">
        <w:rPr>
          <w:rFonts w:cs="Times New Roman"/>
          <w:color w:val="FF0000"/>
          <w:szCs w:val="21"/>
        </w:rPr>
        <w:t>1.4μm</w:t>
      </w:r>
      <w:r w:rsidR="00EF3D68" w:rsidRPr="00B526AE">
        <w:rPr>
          <w:rFonts w:cs="Times New Roman" w:hint="eastAsia"/>
          <w:color w:val="FF0000"/>
          <w:szCs w:val="21"/>
        </w:rPr>
        <w:t>）或极性相近的其他等效色谱柱；</w:t>
      </w:r>
      <w:proofErr w:type="gramStart"/>
      <w:r w:rsidRPr="00B526AE">
        <w:rPr>
          <w:rFonts w:cs="Times New Roman" w:hint="eastAsia"/>
          <w:color w:val="FF0000"/>
          <w:szCs w:val="21"/>
        </w:rPr>
        <w:t>起始柱温为</w:t>
      </w:r>
      <w:proofErr w:type="gramEnd"/>
      <w:r w:rsidRPr="00B526AE">
        <w:rPr>
          <w:rFonts w:cs="Times New Roman"/>
          <w:color w:val="FF0000"/>
          <w:szCs w:val="21"/>
        </w:rPr>
        <w:t>35</w:t>
      </w:r>
      <w:r w:rsidRPr="00B526AE">
        <w:rPr>
          <w:rFonts w:cs="Times New Roman" w:hint="eastAsia"/>
          <w:color w:val="FF0000"/>
          <w:szCs w:val="21"/>
        </w:rPr>
        <w:t>℃</w:t>
      </w:r>
      <w:r w:rsidRPr="008D2D8B">
        <w:rPr>
          <w:rFonts w:cs="Times New Roman" w:hint="eastAsia"/>
          <w:szCs w:val="21"/>
        </w:rPr>
        <w:t>，保持</w:t>
      </w:r>
      <w:r w:rsidRPr="008D2D8B">
        <w:rPr>
          <w:rFonts w:cs="Times New Roman"/>
          <w:szCs w:val="21"/>
        </w:rPr>
        <w:t>10</w:t>
      </w:r>
      <w:r w:rsidRPr="008D2D8B">
        <w:rPr>
          <w:rFonts w:cs="Times New Roman" w:hint="eastAsia"/>
          <w:szCs w:val="21"/>
        </w:rPr>
        <w:t>分钟；以高纯氦气为载气，流速为</w:t>
      </w:r>
      <w:r w:rsidRPr="008D2D8B">
        <w:rPr>
          <w:rFonts w:cs="Times New Roman"/>
          <w:szCs w:val="21"/>
        </w:rPr>
        <w:t>1.0ml/min</w:t>
      </w:r>
      <w:r w:rsidRPr="008D2D8B">
        <w:rPr>
          <w:rFonts w:cs="Times New Roman" w:hint="eastAsia"/>
          <w:szCs w:val="21"/>
        </w:rPr>
        <w:t>；进样口温度为</w:t>
      </w:r>
      <w:r w:rsidRPr="008D2D8B">
        <w:rPr>
          <w:rFonts w:cs="Times New Roman"/>
          <w:szCs w:val="21"/>
        </w:rPr>
        <w:t>200</w:t>
      </w:r>
      <w:r w:rsidRPr="008D2D8B">
        <w:rPr>
          <w:rFonts w:cs="Times New Roman" w:hint="eastAsia"/>
          <w:szCs w:val="21"/>
        </w:rPr>
        <w:t>℃；检测器为质谱。</w:t>
      </w:r>
    </w:p>
    <w:p w14:paraId="2B0F63B9" w14:textId="268782CF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质谱条件</w:t>
      </w:r>
      <w:r w:rsidRPr="008D2D8B">
        <w:rPr>
          <w:rFonts w:cs="Times New Roman" w:hint="eastAsia"/>
          <w:szCs w:val="21"/>
        </w:rPr>
        <w:t xml:space="preserve"> </w:t>
      </w:r>
      <w:r w:rsidRPr="008D2D8B">
        <w:rPr>
          <w:rFonts w:cs="Times New Roman" w:hint="eastAsia"/>
          <w:szCs w:val="21"/>
        </w:rPr>
        <w:t>离子源为电子轰击源（</w:t>
      </w:r>
      <w:r w:rsidRPr="008D2D8B">
        <w:rPr>
          <w:rFonts w:cs="Times New Roman"/>
          <w:szCs w:val="21"/>
        </w:rPr>
        <w:t>EI</w:t>
      </w:r>
      <w:r w:rsidRPr="008D2D8B">
        <w:rPr>
          <w:rFonts w:cs="Times New Roman" w:hint="eastAsia"/>
          <w:szCs w:val="21"/>
        </w:rPr>
        <w:t>）；电离强度为</w:t>
      </w:r>
      <w:r w:rsidRPr="008D2D8B">
        <w:rPr>
          <w:rFonts w:cs="Times New Roman"/>
          <w:szCs w:val="21"/>
        </w:rPr>
        <w:t>70eV</w:t>
      </w:r>
      <w:r w:rsidRPr="008D2D8B">
        <w:rPr>
          <w:rFonts w:cs="Times New Roman" w:hint="eastAsia"/>
          <w:szCs w:val="21"/>
        </w:rPr>
        <w:t>；采用全扫描方式测定，扫描范围为</w:t>
      </w:r>
      <w:r w:rsidRPr="008D2D8B">
        <w:rPr>
          <w:rFonts w:cs="Times New Roman"/>
          <w:szCs w:val="21"/>
        </w:rPr>
        <w:t>29~300m/z</w:t>
      </w:r>
      <w:r w:rsidRPr="008D2D8B">
        <w:rPr>
          <w:rFonts w:cs="Times New Roman" w:hint="eastAsia"/>
          <w:szCs w:val="21"/>
        </w:rPr>
        <w:t>；溶剂切除时间为</w:t>
      </w:r>
      <w:r w:rsidRPr="008D2D8B">
        <w:rPr>
          <w:rFonts w:cs="Times New Roman"/>
          <w:szCs w:val="21"/>
        </w:rPr>
        <w:t>5</w:t>
      </w:r>
      <w:r w:rsidRPr="008D2D8B">
        <w:rPr>
          <w:rFonts w:cs="Times New Roman" w:hint="eastAsia"/>
          <w:szCs w:val="21"/>
        </w:rPr>
        <w:t>分钟。</w:t>
      </w:r>
    </w:p>
    <w:p w14:paraId="08717F8F" w14:textId="1F52AB95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对照品溶液的制备</w:t>
      </w:r>
      <w:r w:rsidRPr="008D2D8B">
        <w:rPr>
          <w:rFonts w:cs="Times New Roman"/>
          <w:b/>
          <w:bCs/>
          <w:szCs w:val="21"/>
        </w:rPr>
        <w:t xml:space="preserve">  </w:t>
      </w:r>
      <w:r w:rsidRPr="008D2D8B">
        <w:rPr>
          <w:rFonts w:cs="Times New Roman" w:hint="eastAsia"/>
          <w:szCs w:val="21"/>
        </w:rPr>
        <w:t>对照品溶液的浓度应能够保证实现准确定性。</w:t>
      </w:r>
      <w:r w:rsidR="0053622F" w:rsidRPr="00B526AE">
        <w:rPr>
          <w:rFonts w:cs="Times New Roman" w:hint="eastAsia"/>
          <w:color w:val="FF0000"/>
          <w:szCs w:val="21"/>
        </w:rPr>
        <w:t>取环氧乙烷对照品适量，用水逐步稀释成所需浓度的对照品溶液</w:t>
      </w:r>
      <w:r w:rsidR="0053622F" w:rsidRPr="00B526AE">
        <w:rPr>
          <w:rFonts w:cs="Times New Roman"/>
          <w:color w:val="FF0000"/>
          <w:szCs w:val="21"/>
        </w:rPr>
        <w:t>。</w:t>
      </w:r>
      <w:r w:rsidR="0053622F" w:rsidRPr="00B526AE">
        <w:rPr>
          <w:rFonts w:cs="Times New Roman" w:hint="eastAsia"/>
          <w:color w:val="FF0000"/>
          <w:szCs w:val="21"/>
        </w:rPr>
        <w:t>精密量取上述对照品溶液</w:t>
      </w:r>
      <w:r w:rsidR="0053622F" w:rsidRPr="00B526AE">
        <w:rPr>
          <w:rFonts w:cs="Times New Roman" w:hint="eastAsia"/>
          <w:color w:val="FF0000"/>
          <w:szCs w:val="21"/>
        </w:rPr>
        <w:t>5</w:t>
      </w:r>
      <w:r w:rsidR="0053622F" w:rsidRPr="00B526AE">
        <w:rPr>
          <w:rFonts w:cs="Times New Roman"/>
          <w:color w:val="FF0000"/>
          <w:szCs w:val="21"/>
        </w:rPr>
        <w:t>m</w:t>
      </w:r>
      <w:r w:rsidR="0053622F" w:rsidRPr="00B526AE">
        <w:rPr>
          <w:rFonts w:cs="Times New Roman" w:hint="eastAsia"/>
          <w:color w:val="FF0000"/>
          <w:szCs w:val="21"/>
        </w:rPr>
        <w:t>l</w:t>
      </w:r>
      <w:r w:rsidR="0053622F" w:rsidRPr="00B526AE">
        <w:rPr>
          <w:rFonts w:cs="Times New Roman" w:hint="eastAsia"/>
          <w:color w:val="FF0000"/>
          <w:szCs w:val="21"/>
        </w:rPr>
        <w:t>，置</w:t>
      </w:r>
      <w:r w:rsidR="0053622F" w:rsidRPr="00B526AE">
        <w:rPr>
          <w:rFonts w:cs="Times New Roman" w:hint="eastAsia"/>
          <w:color w:val="FF0000"/>
          <w:szCs w:val="21"/>
        </w:rPr>
        <w:t>2</w:t>
      </w:r>
      <w:r w:rsidR="0053622F" w:rsidRPr="00B526AE">
        <w:rPr>
          <w:rFonts w:cs="Times New Roman"/>
          <w:color w:val="FF0000"/>
          <w:szCs w:val="21"/>
        </w:rPr>
        <w:t>0</w:t>
      </w:r>
      <w:r w:rsidR="0053622F" w:rsidRPr="00B526AE">
        <w:rPr>
          <w:rFonts w:cs="Times New Roman" w:hint="eastAsia"/>
          <w:color w:val="FF0000"/>
          <w:szCs w:val="21"/>
        </w:rPr>
        <w:t>ml</w:t>
      </w:r>
      <w:r w:rsidRPr="00B526AE">
        <w:rPr>
          <w:rFonts w:cs="Times New Roman" w:hint="eastAsia"/>
          <w:color w:val="FF0000"/>
          <w:szCs w:val="21"/>
        </w:rPr>
        <w:t>顶空瓶中，立即</w:t>
      </w:r>
      <w:r w:rsidR="0053622F" w:rsidRPr="00B526AE">
        <w:rPr>
          <w:rFonts w:cs="Times New Roman" w:hint="eastAsia"/>
          <w:color w:val="FF0000"/>
          <w:szCs w:val="21"/>
        </w:rPr>
        <w:t>密封</w:t>
      </w:r>
      <w:r w:rsidRPr="00B526AE">
        <w:rPr>
          <w:rFonts w:cs="Times New Roman" w:hint="eastAsia"/>
          <w:color w:val="FF0000"/>
          <w:szCs w:val="21"/>
        </w:rPr>
        <w:t>，摇匀。</w:t>
      </w:r>
    </w:p>
    <w:p w14:paraId="05375224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b/>
          <w:bCs/>
          <w:szCs w:val="21"/>
        </w:rPr>
        <w:t>测定法</w:t>
      </w:r>
      <w:r w:rsidRPr="008D2D8B">
        <w:rPr>
          <w:rFonts w:cs="Times New Roman"/>
          <w:b/>
          <w:bCs/>
          <w:szCs w:val="21"/>
        </w:rPr>
        <w:t xml:space="preserve">  </w:t>
      </w:r>
      <w:r w:rsidRPr="008D2D8B">
        <w:rPr>
          <w:rFonts w:cs="Times New Roman" w:hint="eastAsia"/>
          <w:szCs w:val="21"/>
        </w:rPr>
        <w:t>将对照品溶液和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，分别置于</w:t>
      </w:r>
      <w:r w:rsidRPr="008D2D8B">
        <w:rPr>
          <w:rFonts w:cs="Times New Roman"/>
          <w:szCs w:val="21"/>
        </w:rPr>
        <w:t>60</w:t>
      </w:r>
      <w:r w:rsidRPr="008D2D8B">
        <w:rPr>
          <w:rFonts w:cs="Times New Roman" w:hint="eastAsia"/>
          <w:szCs w:val="21"/>
        </w:rPr>
        <w:t>℃±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℃的条件下平衡</w:t>
      </w:r>
      <w:r w:rsidRPr="008D2D8B">
        <w:rPr>
          <w:rFonts w:cs="Times New Roman"/>
          <w:szCs w:val="21"/>
        </w:rPr>
        <w:t>40</w:t>
      </w:r>
      <w:r w:rsidRPr="008D2D8B">
        <w:rPr>
          <w:rFonts w:cs="Times New Roman" w:hint="eastAsia"/>
          <w:szCs w:val="21"/>
        </w:rPr>
        <w:t>分钟。分别取</w:t>
      </w:r>
      <w:r w:rsidRPr="008D2D8B">
        <w:rPr>
          <w:rFonts w:cs="Times New Roman"/>
          <w:szCs w:val="21"/>
        </w:rPr>
        <w:t>1ml</w:t>
      </w:r>
      <w:r w:rsidRPr="008D2D8B">
        <w:rPr>
          <w:rFonts w:cs="Times New Roman" w:hint="eastAsia"/>
          <w:szCs w:val="21"/>
        </w:rPr>
        <w:t>液上气体注入气相色谱</w:t>
      </w:r>
      <w:r w:rsidRPr="008D2D8B">
        <w:rPr>
          <w:rFonts w:cs="Times New Roman"/>
          <w:szCs w:val="21"/>
        </w:rPr>
        <w:t>-</w:t>
      </w:r>
      <w:r w:rsidRPr="008D2D8B">
        <w:rPr>
          <w:rFonts w:cs="Times New Roman" w:hint="eastAsia"/>
          <w:szCs w:val="21"/>
        </w:rPr>
        <w:t>质谱联用仪中，记录质谱图，所得质谱图与</w:t>
      </w:r>
      <w:r w:rsidRPr="008D2D8B">
        <w:rPr>
          <w:rFonts w:cs="Times New Roman"/>
          <w:szCs w:val="21"/>
        </w:rPr>
        <w:t>NIST</w:t>
      </w:r>
      <w:r w:rsidRPr="008D2D8B">
        <w:rPr>
          <w:rFonts w:cs="Times New Roman" w:hint="eastAsia"/>
          <w:szCs w:val="21"/>
        </w:rPr>
        <w:t>谱库中的标准质谱图进行比对，同时结合与对照品保留时间的一致性，定性判断是否为环氧乙烷。</w:t>
      </w:r>
    </w:p>
    <w:p w14:paraId="3656E39B" w14:textId="343CAAF3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【附注】（</w:t>
      </w:r>
      <w:r w:rsidRPr="008D2D8B">
        <w:rPr>
          <w:rFonts w:cs="Times New Roman"/>
          <w:szCs w:val="21"/>
        </w:rPr>
        <w:t>1</w:t>
      </w:r>
      <w:r w:rsidRPr="008D2D8B">
        <w:rPr>
          <w:rFonts w:cs="Times New Roman" w:hint="eastAsia"/>
          <w:szCs w:val="21"/>
        </w:rPr>
        <w:t>）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制备时应优先取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Pr="008D2D8B">
        <w:rPr>
          <w:rFonts w:cs="Times New Roman" w:hint="eastAsia"/>
          <w:szCs w:val="21"/>
        </w:rPr>
        <w:t>中环氧乙烷残留量较大的部分，如高分</w:t>
      </w:r>
      <w:r w:rsidRPr="008D2D8B">
        <w:rPr>
          <w:rFonts w:cs="Times New Roman" w:hint="eastAsia"/>
          <w:szCs w:val="21"/>
        </w:rPr>
        <w:lastRenderedPageBreak/>
        <w:t>子材料。一般情况下，金属、玻璃等环氧乙烷残留量较小。</w:t>
      </w:r>
    </w:p>
    <w:p w14:paraId="3E667173" w14:textId="77777777" w:rsidR="00347203" w:rsidRPr="008D2D8B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（</w:t>
      </w:r>
      <w:r w:rsidRPr="008D2D8B">
        <w:rPr>
          <w:rFonts w:cs="Times New Roman"/>
          <w:szCs w:val="21"/>
        </w:rPr>
        <w:t>2</w:t>
      </w:r>
      <w:r w:rsidRPr="008D2D8B">
        <w:rPr>
          <w:rFonts w:cs="Times New Roman" w:hint="eastAsia"/>
          <w:szCs w:val="21"/>
        </w:rPr>
        <w:t>）</w:t>
      </w:r>
      <w:r w:rsidRPr="008D2D8B">
        <w:rPr>
          <w:rFonts w:cs="Times New Roman" w:hint="eastAsia"/>
          <w:szCs w:val="21"/>
        </w:rPr>
        <w:t xml:space="preserve"> </w:t>
      </w:r>
      <w:r w:rsidRPr="008D2D8B">
        <w:rPr>
          <w:rFonts w:cs="Times New Roman"/>
          <w:szCs w:val="21"/>
        </w:rPr>
        <w:t>测定法中</w:t>
      </w:r>
      <w:r w:rsidRPr="008D2D8B">
        <w:rPr>
          <w:rFonts w:cs="Times New Roman" w:hint="eastAsia"/>
          <w:szCs w:val="21"/>
        </w:rPr>
        <w:t>如采用手动进样，进样器应预热至与对照品溶液和</w:t>
      </w:r>
      <w:proofErr w:type="gramStart"/>
      <w:r w:rsidRPr="008D2D8B">
        <w:rPr>
          <w:rFonts w:cs="Times New Roman" w:hint="eastAsia"/>
          <w:szCs w:val="21"/>
        </w:rPr>
        <w:t>供试品溶液</w:t>
      </w:r>
      <w:proofErr w:type="gramEnd"/>
      <w:r w:rsidRPr="008D2D8B">
        <w:rPr>
          <w:rFonts w:cs="Times New Roman" w:hint="eastAsia"/>
          <w:szCs w:val="21"/>
        </w:rPr>
        <w:t>相同温度。</w:t>
      </w:r>
    </w:p>
    <w:p w14:paraId="7B1B0ED5" w14:textId="5DA0F707" w:rsidR="00347203" w:rsidRPr="00B526AE" w:rsidRDefault="00347203" w:rsidP="00347203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color w:val="FF0000"/>
          <w:szCs w:val="21"/>
        </w:rPr>
      </w:pPr>
      <w:r w:rsidRPr="00B526AE">
        <w:rPr>
          <w:rFonts w:cs="Times New Roman" w:hint="eastAsia"/>
          <w:color w:val="FF0000"/>
          <w:szCs w:val="21"/>
        </w:rPr>
        <w:t>（</w:t>
      </w:r>
      <w:r w:rsidRPr="00B526AE">
        <w:rPr>
          <w:rFonts w:cs="Times New Roman" w:hint="eastAsia"/>
          <w:color w:val="FF0000"/>
          <w:szCs w:val="21"/>
        </w:rPr>
        <w:t>3</w:t>
      </w:r>
      <w:r w:rsidRPr="00B526AE">
        <w:rPr>
          <w:rFonts w:cs="Times New Roman"/>
          <w:color w:val="FF0000"/>
          <w:szCs w:val="21"/>
        </w:rPr>
        <w:t>）</w:t>
      </w:r>
      <w:r w:rsidR="009522E6" w:rsidRPr="00B526AE">
        <w:rPr>
          <w:rFonts w:cs="Times New Roman" w:hint="eastAsia"/>
          <w:color w:val="FF0000"/>
          <w:szCs w:val="21"/>
        </w:rPr>
        <w:t>采用第三法时，由于定性需要，必要时可适当加大</w:t>
      </w:r>
      <w:r w:rsidR="00BB7AC6" w:rsidRPr="00B526AE">
        <w:rPr>
          <w:rFonts w:cs="Times New Roman" w:hint="eastAsia"/>
          <w:color w:val="FF0000"/>
          <w:szCs w:val="21"/>
        </w:rPr>
        <w:t>试样</w:t>
      </w:r>
      <w:r w:rsidR="009522E6" w:rsidRPr="00B526AE">
        <w:rPr>
          <w:rFonts w:cs="Times New Roman" w:hint="eastAsia"/>
          <w:color w:val="FF0000"/>
          <w:szCs w:val="21"/>
        </w:rPr>
        <w:t>取样量</w:t>
      </w:r>
      <w:r w:rsidRPr="00B526AE">
        <w:rPr>
          <w:rFonts w:cs="Times New Roman" w:hint="eastAsia"/>
          <w:color w:val="FF0000"/>
          <w:szCs w:val="21"/>
        </w:rPr>
        <w:t>。</w:t>
      </w:r>
    </w:p>
    <w:p w14:paraId="07907A2B" w14:textId="3D98E003" w:rsidR="00BB7AC6" w:rsidRPr="00B526AE" w:rsidRDefault="00BB7AC6" w:rsidP="00BB7AC6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color w:val="FF0000"/>
          <w:szCs w:val="21"/>
        </w:rPr>
      </w:pPr>
      <w:r w:rsidRPr="00B526AE">
        <w:rPr>
          <w:rFonts w:cs="Times New Roman" w:hint="eastAsia"/>
          <w:color w:val="FF0000"/>
          <w:szCs w:val="21"/>
        </w:rPr>
        <w:t>（</w:t>
      </w:r>
      <w:r w:rsidRPr="00B526AE">
        <w:rPr>
          <w:rFonts w:cs="Times New Roman" w:hint="eastAsia"/>
          <w:color w:val="FF0000"/>
          <w:szCs w:val="21"/>
        </w:rPr>
        <w:t>4</w:t>
      </w:r>
      <w:r w:rsidRPr="00B526AE">
        <w:rPr>
          <w:rFonts w:cs="Times New Roman" w:hint="eastAsia"/>
          <w:color w:val="FF0000"/>
          <w:szCs w:val="21"/>
        </w:rPr>
        <w:t>）所用色谱条件应使试样中的杂质和环氧乙烷完全分开，如应能保证环氧乙烷与乙醛实现完全分离。</w:t>
      </w:r>
    </w:p>
    <w:p w14:paraId="5814FB36" w14:textId="77777777" w:rsidR="00347203" w:rsidRPr="008D2D8B" w:rsidRDefault="00347203" w:rsidP="00347203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8D2D8B">
        <w:rPr>
          <w:rFonts w:cs="Times New Roman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8B059" wp14:editId="4DB1ECC5">
                <wp:simplePos x="0" y="0"/>
                <wp:positionH relativeFrom="column">
                  <wp:posOffset>-40640</wp:posOffset>
                </wp:positionH>
                <wp:positionV relativeFrom="paragraph">
                  <wp:posOffset>144780</wp:posOffset>
                </wp:positionV>
                <wp:extent cx="5263515" cy="0"/>
                <wp:effectExtent l="0" t="0" r="0" b="0"/>
                <wp:wrapNone/>
                <wp:docPr id="1647911492" name="直接连接符 164791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66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03202C" id="直接连接符 164791149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1.4pt" to="411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" strokecolor="windowText" strokeweight="1pt">
                <v:stroke joinstyle="miter"/>
              </v:line>
            </w:pict>
          </mc:Fallback>
        </mc:AlternateContent>
      </w:r>
    </w:p>
    <w:p w14:paraId="37F62DF2" w14:textId="77777777" w:rsidR="00347203" w:rsidRPr="008D2D8B" w:rsidRDefault="00347203" w:rsidP="00347203">
      <w:pPr>
        <w:widowControl w:val="0"/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8D2D8B">
        <w:rPr>
          <w:rFonts w:cs="Times New Roman" w:hint="eastAsia"/>
          <w:kern w:val="2"/>
          <w:szCs w:val="21"/>
        </w:rPr>
        <w:t>起草单位：山东省医疗器械和药品包装检验研究院</w:t>
      </w:r>
      <w:r w:rsidRPr="008D2D8B">
        <w:rPr>
          <w:rFonts w:cs="Times New Roman"/>
          <w:kern w:val="2"/>
          <w:szCs w:val="21"/>
        </w:rPr>
        <w:t xml:space="preserve">           </w:t>
      </w:r>
      <w:r w:rsidRPr="008D2D8B">
        <w:rPr>
          <w:rFonts w:cs="Times New Roman" w:hint="eastAsia"/>
          <w:kern w:val="2"/>
          <w:szCs w:val="21"/>
        </w:rPr>
        <w:t>联系电话：</w:t>
      </w:r>
      <w:r w:rsidRPr="008D2D8B">
        <w:rPr>
          <w:rFonts w:cs="Times New Roman"/>
          <w:kern w:val="2"/>
          <w:szCs w:val="21"/>
        </w:rPr>
        <w:t>0531-82682912</w:t>
      </w:r>
    </w:p>
    <w:p w14:paraId="7A4D62E5" w14:textId="77777777" w:rsidR="00347203" w:rsidRPr="008D2D8B" w:rsidRDefault="00347203" w:rsidP="00347203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  <w:r w:rsidRPr="008D2D8B">
        <w:rPr>
          <w:rFonts w:cs="Times New Roman" w:hint="eastAsia"/>
          <w:szCs w:val="21"/>
        </w:rPr>
        <w:t>参与单位：上海市食品药品包装材料测试所、深圳市食品药品检验研究院</w:t>
      </w:r>
    </w:p>
    <w:p w14:paraId="05D7DE0F" w14:textId="77777777" w:rsidR="00347203" w:rsidRPr="008D2D8B" w:rsidRDefault="00347203" w:rsidP="00347203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</w:p>
    <w:p w14:paraId="456EAA75" w14:textId="77777777" w:rsidR="00347203" w:rsidRPr="008D2D8B" w:rsidRDefault="00347203" w:rsidP="00347203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</w:p>
    <w:p w14:paraId="418E2F82" w14:textId="77777777" w:rsidR="00347203" w:rsidRPr="008D2D8B" w:rsidRDefault="00347203" w:rsidP="00347203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center"/>
        <w:rPr>
          <w:rFonts w:cs="Times New Roman"/>
          <w:b/>
          <w:bCs/>
          <w:sz w:val="24"/>
          <w:szCs w:val="24"/>
        </w:rPr>
      </w:pPr>
      <w:r w:rsidRPr="008D2D8B">
        <w:rPr>
          <w:rFonts w:cs="Times New Roman" w:hint="eastAsia"/>
          <w:b/>
          <w:bCs/>
          <w:sz w:val="24"/>
          <w:szCs w:val="24"/>
        </w:rPr>
        <w:t>药包材环氧乙烷测定法起草说明</w:t>
      </w:r>
    </w:p>
    <w:p w14:paraId="06C16260" w14:textId="77777777" w:rsidR="00347203" w:rsidRPr="00D85E07" w:rsidRDefault="00347203" w:rsidP="00347203">
      <w:pPr>
        <w:numPr>
          <w:ilvl w:val="0"/>
          <w:numId w:val="1"/>
        </w:numPr>
        <w:suppressLineNumbers/>
        <w:tabs>
          <w:tab w:val="left" w:pos="1338"/>
        </w:tabs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D85E07">
        <w:rPr>
          <w:rFonts w:cs="Times New Roman" w:hint="eastAsia"/>
          <w:b/>
          <w:bCs/>
          <w:kern w:val="2"/>
          <w:szCs w:val="21"/>
        </w:rPr>
        <w:t>制修订的目的意义</w:t>
      </w:r>
    </w:p>
    <w:p w14:paraId="43E7AFAD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D85E07">
        <w:rPr>
          <w:rFonts w:cs="Times New Roman" w:hint="eastAsia"/>
          <w:kern w:val="2"/>
          <w:szCs w:val="21"/>
        </w:rPr>
        <w:t>环氧乙烷是一种可刺激体表并引起强烈反应的易燃性气体，能对体内的多个器官系统产生损害。</w:t>
      </w:r>
      <w:r w:rsidRPr="00D85E07">
        <w:rPr>
          <w:rFonts w:cs="Times New Roman"/>
          <w:kern w:val="2"/>
          <w:szCs w:val="21"/>
        </w:rPr>
        <w:t>1994</w:t>
      </w:r>
      <w:r w:rsidRPr="00D85E07">
        <w:rPr>
          <w:rFonts w:cs="Times New Roman" w:hint="eastAsia"/>
          <w:kern w:val="2"/>
          <w:szCs w:val="21"/>
        </w:rPr>
        <w:t>年国际癌症研究机构（</w:t>
      </w:r>
      <w:r w:rsidRPr="00D85E07">
        <w:rPr>
          <w:rFonts w:cs="Times New Roman"/>
          <w:kern w:val="2"/>
          <w:szCs w:val="21"/>
        </w:rPr>
        <w:t>IARC</w:t>
      </w:r>
      <w:r w:rsidRPr="00D85E07">
        <w:rPr>
          <w:rFonts w:cs="Times New Roman" w:hint="eastAsia"/>
          <w:kern w:val="2"/>
          <w:szCs w:val="21"/>
        </w:rPr>
        <w:t>）将其划分为人类致癌物质（一类）。</w:t>
      </w:r>
    </w:p>
    <w:p w14:paraId="2A4B5F88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b/>
          <w:bCs/>
          <w:kern w:val="2"/>
          <w:szCs w:val="21"/>
        </w:rPr>
      </w:pPr>
      <w:r w:rsidRPr="00D85E07">
        <w:rPr>
          <w:rFonts w:cs="Times New Roman" w:hint="eastAsia"/>
          <w:kern w:val="2"/>
          <w:szCs w:val="21"/>
        </w:rPr>
        <w:t>二</w:t>
      </w:r>
      <w:r w:rsidRPr="00D85E07">
        <w:rPr>
          <w:rFonts w:cs="Times New Roman"/>
          <w:kern w:val="2"/>
          <w:szCs w:val="21"/>
        </w:rPr>
        <w:t>、</w:t>
      </w:r>
      <w:r w:rsidRPr="00D85E07">
        <w:rPr>
          <w:rFonts w:cs="Times New Roman" w:hint="eastAsia"/>
          <w:b/>
          <w:bCs/>
          <w:kern w:val="2"/>
          <w:szCs w:val="21"/>
        </w:rPr>
        <w:t>参考标准</w:t>
      </w:r>
    </w:p>
    <w:p w14:paraId="289CBC86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D85E07">
        <w:rPr>
          <w:rFonts w:cs="Times New Roman"/>
          <w:kern w:val="2"/>
          <w:szCs w:val="21"/>
        </w:rPr>
        <w:t>YBB00242005-2015</w:t>
      </w:r>
      <w:r w:rsidRPr="00D85E07">
        <w:rPr>
          <w:rFonts w:cs="Times New Roman" w:hint="eastAsia"/>
          <w:kern w:val="2"/>
          <w:szCs w:val="21"/>
        </w:rPr>
        <w:t>环氧乙烷残留量测定法。</w:t>
      </w:r>
    </w:p>
    <w:p w14:paraId="1FF92B89" w14:textId="77777777" w:rsidR="00347203" w:rsidRPr="00D85E07" w:rsidRDefault="00347203" w:rsidP="00347203">
      <w:pPr>
        <w:widowControl w:val="0"/>
        <w:numPr>
          <w:ilvl w:val="0"/>
          <w:numId w:val="2"/>
        </w:numPr>
        <w:suppressLineNumbers/>
        <w:adjustRightInd w:val="0"/>
        <w:snapToGrid w:val="0"/>
        <w:ind w:firstLineChars="0"/>
        <w:jc w:val="both"/>
        <w:rPr>
          <w:rFonts w:cs="Times New Roman"/>
          <w:b/>
          <w:bCs/>
          <w:kern w:val="2"/>
          <w:szCs w:val="21"/>
        </w:rPr>
      </w:pPr>
      <w:bookmarkStart w:id="7" w:name="_Hlk149141344"/>
      <w:r w:rsidRPr="00D85E07">
        <w:rPr>
          <w:rFonts w:cs="Times New Roman" w:hint="eastAsia"/>
          <w:b/>
          <w:bCs/>
          <w:kern w:val="2"/>
          <w:szCs w:val="21"/>
        </w:rPr>
        <w:t>需重点说明的问题</w:t>
      </w:r>
    </w:p>
    <w:bookmarkEnd w:id="7"/>
    <w:p w14:paraId="3507EBDB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D85E07">
        <w:rPr>
          <w:rFonts w:cs="Times New Roman" w:hint="eastAsia"/>
          <w:bCs/>
          <w:kern w:val="2"/>
          <w:szCs w:val="21"/>
        </w:rPr>
        <w:t>环氧乙烷在药包材中的使用主要是作为灭菌剂，乙醛则是药包材中聚对苯二甲酸乙二醇酯（</w:t>
      </w:r>
      <w:r w:rsidRPr="00D85E07">
        <w:rPr>
          <w:rFonts w:cs="Times New Roman"/>
          <w:bCs/>
          <w:kern w:val="2"/>
          <w:szCs w:val="21"/>
        </w:rPr>
        <w:t>PET</w:t>
      </w:r>
      <w:r w:rsidRPr="00D85E07">
        <w:rPr>
          <w:rFonts w:cs="Times New Roman" w:hint="eastAsia"/>
          <w:bCs/>
          <w:kern w:val="2"/>
          <w:szCs w:val="21"/>
        </w:rPr>
        <w:t>）材料的分解产生，二者可能同时存在于同一产品中。由于乙醛与环氧乙烷二者极性相似，不容易分离，故根据二者的分离情况对色谱柱进行了考察，下述色谱柱可实现环氧乙烷和乙醛完全分离，即中等极性色谱柱，固定相一般为</w:t>
      </w:r>
      <w:r w:rsidRPr="00D85E07">
        <w:rPr>
          <w:rFonts w:cs="Times New Roman"/>
          <w:bCs/>
          <w:kern w:val="2"/>
          <w:szCs w:val="21"/>
        </w:rPr>
        <w:t>(6%)</w:t>
      </w:r>
      <w:proofErr w:type="gramStart"/>
      <w:r w:rsidRPr="00D85E07">
        <w:rPr>
          <w:rFonts w:cs="Times New Roman" w:hint="eastAsia"/>
          <w:bCs/>
          <w:kern w:val="2"/>
          <w:szCs w:val="21"/>
        </w:rPr>
        <w:t>氰丙基</w:t>
      </w:r>
      <w:proofErr w:type="gramEnd"/>
      <w:r w:rsidRPr="00D85E07">
        <w:rPr>
          <w:rFonts w:cs="Times New Roman" w:hint="eastAsia"/>
          <w:bCs/>
          <w:kern w:val="2"/>
          <w:szCs w:val="21"/>
        </w:rPr>
        <w:t>苯</w:t>
      </w:r>
      <w:r w:rsidRPr="00D85E07">
        <w:rPr>
          <w:rFonts w:cs="Times New Roman"/>
          <w:bCs/>
          <w:kern w:val="2"/>
          <w:szCs w:val="21"/>
        </w:rPr>
        <w:t>-(94%)</w:t>
      </w:r>
      <w:r w:rsidRPr="00D85E07">
        <w:rPr>
          <w:rFonts w:cs="Times New Roman" w:hint="eastAsia"/>
          <w:bCs/>
          <w:kern w:val="2"/>
          <w:szCs w:val="21"/>
        </w:rPr>
        <w:t>二甲基硅氧烷，如</w:t>
      </w:r>
      <w:r w:rsidRPr="00D85E07">
        <w:rPr>
          <w:rFonts w:cs="Times New Roman"/>
          <w:bCs/>
          <w:kern w:val="2"/>
          <w:szCs w:val="21"/>
        </w:rPr>
        <w:t xml:space="preserve">DB-624 </w:t>
      </w:r>
      <w:r w:rsidRPr="00D85E07">
        <w:rPr>
          <w:rFonts w:cs="Times New Roman" w:hint="eastAsia"/>
          <w:bCs/>
          <w:kern w:val="2"/>
          <w:szCs w:val="21"/>
        </w:rPr>
        <w:t>(</w:t>
      </w:r>
      <w:r w:rsidRPr="00D85E07">
        <w:rPr>
          <w:rFonts w:cs="Times New Roman"/>
          <w:bCs/>
          <w:kern w:val="2"/>
          <w:szCs w:val="21"/>
        </w:rPr>
        <w:t>30m</w:t>
      </w:r>
      <w:r w:rsidRPr="00D85E07">
        <w:rPr>
          <w:rFonts w:cs="Times New Roman" w:hint="eastAsia"/>
          <w:bCs/>
          <w:kern w:val="2"/>
          <w:szCs w:val="21"/>
        </w:rPr>
        <w:t>×</w:t>
      </w:r>
      <w:r w:rsidRPr="00D85E07">
        <w:rPr>
          <w:rFonts w:cs="Times New Roman"/>
          <w:bCs/>
          <w:kern w:val="2"/>
          <w:szCs w:val="21"/>
        </w:rPr>
        <w:t>0.25mm</w:t>
      </w:r>
      <w:r w:rsidRPr="00D85E07">
        <w:rPr>
          <w:rFonts w:cs="Times New Roman" w:hint="eastAsia"/>
          <w:bCs/>
          <w:kern w:val="2"/>
          <w:szCs w:val="21"/>
        </w:rPr>
        <w:t>×</w:t>
      </w:r>
      <w:r w:rsidRPr="00D85E07">
        <w:rPr>
          <w:rFonts w:cs="Times New Roman"/>
          <w:bCs/>
          <w:kern w:val="2"/>
          <w:szCs w:val="21"/>
        </w:rPr>
        <w:t>1.4</w:t>
      </w:r>
      <w:r w:rsidRPr="00D85E07">
        <w:rPr>
          <w:rFonts w:cs="Times New Roman"/>
          <w:bCs/>
          <w:i/>
          <w:iCs/>
          <w:kern w:val="2"/>
          <w:szCs w:val="21"/>
        </w:rPr>
        <w:t>μ</w:t>
      </w:r>
      <w:r w:rsidRPr="00D85E07">
        <w:rPr>
          <w:rFonts w:cs="Times New Roman"/>
          <w:bCs/>
          <w:kern w:val="2"/>
          <w:szCs w:val="21"/>
        </w:rPr>
        <w:t>m)</w:t>
      </w:r>
      <w:r w:rsidRPr="00D85E07">
        <w:rPr>
          <w:rFonts w:cs="Times New Roman" w:hint="eastAsia"/>
          <w:bCs/>
          <w:kern w:val="2"/>
          <w:szCs w:val="21"/>
        </w:rPr>
        <w:t>、</w:t>
      </w:r>
      <w:r w:rsidRPr="00D85E07">
        <w:rPr>
          <w:rFonts w:cs="Times New Roman"/>
          <w:bCs/>
          <w:kern w:val="2"/>
          <w:szCs w:val="21"/>
        </w:rPr>
        <w:t xml:space="preserve">DB-VRX </w:t>
      </w:r>
      <w:r w:rsidRPr="00D85E07">
        <w:rPr>
          <w:rFonts w:cs="Times New Roman" w:hint="eastAsia"/>
          <w:bCs/>
          <w:kern w:val="2"/>
          <w:szCs w:val="21"/>
        </w:rPr>
        <w:t>(</w:t>
      </w:r>
      <w:r w:rsidRPr="00D85E07">
        <w:rPr>
          <w:rFonts w:cs="Times New Roman"/>
          <w:bCs/>
          <w:kern w:val="2"/>
          <w:szCs w:val="21"/>
        </w:rPr>
        <w:t>30m</w:t>
      </w:r>
      <w:r w:rsidRPr="00D85E07">
        <w:rPr>
          <w:rFonts w:cs="Times New Roman" w:hint="eastAsia"/>
          <w:bCs/>
          <w:kern w:val="2"/>
          <w:szCs w:val="21"/>
        </w:rPr>
        <w:t>×</w:t>
      </w:r>
      <w:r w:rsidRPr="00D85E07">
        <w:rPr>
          <w:rFonts w:cs="Times New Roman"/>
          <w:bCs/>
          <w:kern w:val="2"/>
          <w:szCs w:val="21"/>
        </w:rPr>
        <w:t>0.25mm</w:t>
      </w:r>
      <w:r w:rsidRPr="00D85E07">
        <w:rPr>
          <w:rFonts w:cs="Times New Roman" w:hint="eastAsia"/>
          <w:bCs/>
          <w:kern w:val="2"/>
          <w:szCs w:val="21"/>
        </w:rPr>
        <w:t>×</w:t>
      </w:r>
      <w:r w:rsidRPr="00D85E07">
        <w:rPr>
          <w:rFonts w:cs="Times New Roman"/>
          <w:bCs/>
          <w:kern w:val="2"/>
          <w:szCs w:val="21"/>
        </w:rPr>
        <w:t>1.4</w:t>
      </w:r>
      <w:r w:rsidRPr="00D85E07">
        <w:rPr>
          <w:rFonts w:cs="Times New Roman"/>
          <w:bCs/>
          <w:i/>
          <w:iCs/>
          <w:kern w:val="2"/>
          <w:szCs w:val="21"/>
        </w:rPr>
        <w:t>μ</w:t>
      </w:r>
      <w:r w:rsidRPr="00D85E07">
        <w:rPr>
          <w:rFonts w:cs="Times New Roman"/>
          <w:bCs/>
          <w:kern w:val="2"/>
          <w:szCs w:val="21"/>
        </w:rPr>
        <w:t>m)</w:t>
      </w:r>
      <w:r w:rsidRPr="00D85E07">
        <w:rPr>
          <w:rFonts w:cs="Times New Roman" w:hint="eastAsia"/>
          <w:bCs/>
          <w:kern w:val="2"/>
          <w:szCs w:val="21"/>
        </w:rPr>
        <w:t>。</w:t>
      </w:r>
    </w:p>
    <w:p w14:paraId="0BEFF62C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D85E07">
        <w:rPr>
          <w:rFonts w:cs="Times New Roman" w:hint="eastAsia"/>
          <w:kern w:val="2"/>
          <w:szCs w:val="21"/>
        </w:rPr>
        <w:t>容器类样品的</w:t>
      </w:r>
      <w:proofErr w:type="gramStart"/>
      <w:r w:rsidRPr="00D85E07">
        <w:rPr>
          <w:rFonts w:cs="Times New Roman" w:hint="eastAsia"/>
          <w:kern w:val="2"/>
          <w:szCs w:val="21"/>
        </w:rPr>
        <w:t>供试品溶液</w:t>
      </w:r>
      <w:proofErr w:type="gramEnd"/>
      <w:r w:rsidRPr="00D85E07">
        <w:rPr>
          <w:rFonts w:cs="Times New Roman" w:hint="eastAsia"/>
          <w:kern w:val="2"/>
          <w:szCs w:val="21"/>
        </w:rPr>
        <w:t>制备方法引用了</w:t>
      </w:r>
      <w:r w:rsidRPr="00D85E07">
        <w:rPr>
          <w:rFonts w:cs="Times New Roman"/>
          <w:kern w:val="2"/>
          <w:szCs w:val="21"/>
        </w:rPr>
        <w:t>YBB00112004-2015</w:t>
      </w:r>
      <w:proofErr w:type="gramStart"/>
      <w:r w:rsidRPr="00D85E07">
        <w:rPr>
          <w:rFonts w:cs="Times New Roman" w:hint="eastAsia"/>
          <w:kern w:val="2"/>
          <w:szCs w:val="21"/>
        </w:rPr>
        <w:t>预灌封</w:t>
      </w:r>
      <w:proofErr w:type="gramEnd"/>
      <w:r w:rsidRPr="00D85E07">
        <w:rPr>
          <w:rFonts w:cs="Times New Roman" w:hint="eastAsia"/>
          <w:kern w:val="2"/>
          <w:szCs w:val="21"/>
        </w:rPr>
        <w:t>注射器组合件（带注射针）中的方法。</w:t>
      </w:r>
    </w:p>
    <w:p w14:paraId="0FC39FA6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 w:val="24"/>
          <w:szCs w:val="24"/>
        </w:rPr>
      </w:pPr>
      <w:r w:rsidRPr="00D85E07">
        <w:rPr>
          <w:rFonts w:cs="Times New Roman" w:hint="eastAsia"/>
          <w:szCs w:val="21"/>
        </w:rPr>
        <w:t>环氧乙烷标准溶液应</w:t>
      </w:r>
      <w:r w:rsidRPr="00D85E07">
        <w:rPr>
          <w:rFonts w:cs="Times New Roman"/>
          <w:szCs w:val="21"/>
        </w:rPr>
        <w:t>选用市</w:t>
      </w:r>
      <w:r w:rsidRPr="00D85E07">
        <w:rPr>
          <w:rFonts w:cs="Times New Roman" w:hint="eastAsia"/>
          <w:szCs w:val="21"/>
        </w:rPr>
        <w:t>售</w:t>
      </w:r>
      <w:r w:rsidRPr="00D85E07">
        <w:rPr>
          <w:rFonts w:cs="Times New Roman"/>
          <w:szCs w:val="21"/>
        </w:rPr>
        <w:t>有证标准溶液</w:t>
      </w:r>
      <w:r w:rsidRPr="00D85E07">
        <w:rPr>
          <w:rFonts w:cs="Times New Roman" w:hint="eastAsia"/>
          <w:szCs w:val="21"/>
        </w:rPr>
        <w:t>，标准</w:t>
      </w:r>
      <w:r w:rsidRPr="00D85E07">
        <w:rPr>
          <w:rFonts w:cs="Times New Roman"/>
          <w:szCs w:val="21"/>
        </w:rPr>
        <w:t>溶液的溶剂</w:t>
      </w:r>
      <w:r w:rsidRPr="00D85E07">
        <w:rPr>
          <w:rFonts w:cs="Times New Roman" w:hint="eastAsia"/>
          <w:szCs w:val="21"/>
        </w:rPr>
        <w:t>宜</w:t>
      </w:r>
      <w:r w:rsidRPr="00D85E07">
        <w:rPr>
          <w:rFonts w:cs="Times New Roman"/>
          <w:szCs w:val="21"/>
        </w:rPr>
        <w:t>为有机溶剂</w:t>
      </w:r>
      <w:r w:rsidRPr="00D85E07">
        <w:rPr>
          <w:rFonts w:cs="Times New Roman" w:hint="eastAsia"/>
          <w:szCs w:val="21"/>
        </w:rPr>
        <w:t>。</w:t>
      </w:r>
    </w:p>
    <w:p w14:paraId="5ED0567B" w14:textId="77777777" w:rsidR="00347203" w:rsidRPr="00D85E07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D85E07">
        <w:rPr>
          <w:rFonts w:cs="Times New Roman" w:hint="eastAsia"/>
          <w:kern w:val="2"/>
          <w:szCs w:val="21"/>
        </w:rPr>
        <w:t>与</w:t>
      </w:r>
      <w:r w:rsidRPr="00D85E07">
        <w:rPr>
          <w:rFonts w:cs="Times New Roman"/>
          <w:kern w:val="2"/>
          <w:szCs w:val="21"/>
        </w:rPr>
        <w:t>YBB00242005</w:t>
      </w:r>
      <w:r w:rsidRPr="00D85E07">
        <w:rPr>
          <w:rFonts w:cs="Times New Roman" w:hint="eastAsia"/>
          <w:kern w:val="2"/>
          <w:szCs w:val="21"/>
        </w:rPr>
        <w:t xml:space="preserve"> </w:t>
      </w:r>
      <w:r w:rsidRPr="00D85E07">
        <w:rPr>
          <w:rFonts w:cs="Times New Roman" w:hint="eastAsia"/>
          <w:kern w:val="2"/>
          <w:szCs w:val="21"/>
        </w:rPr>
        <w:t>环氧乙烷残留量测定法相比增加了第三法（气质联用色谱法），以对环氧乙烷进行定性验证。基于试验验证，本标准对</w:t>
      </w:r>
      <w:r w:rsidRPr="00D85E07">
        <w:rPr>
          <w:rFonts w:cs="Times New Roman"/>
          <w:kern w:val="2"/>
          <w:szCs w:val="21"/>
        </w:rPr>
        <w:t>YBB00242005</w:t>
      </w:r>
      <w:r w:rsidRPr="00D85E07">
        <w:rPr>
          <w:rFonts w:cs="Times New Roman" w:hint="eastAsia"/>
          <w:kern w:val="2"/>
          <w:szCs w:val="21"/>
        </w:rPr>
        <w:t xml:space="preserve"> </w:t>
      </w:r>
      <w:r w:rsidRPr="00D85E07">
        <w:rPr>
          <w:rFonts w:cs="Times New Roman" w:hint="eastAsia"/>
          <w:kern w:val="2"/>
          <w:szCs w:val="21"/>
        </w:rPr>
        <w:t>环氧乙烷残留量测定法中的色谱条件进行了优化，给出了供参考的色谱条件。</w:t>
      </w:r>
      <w:bookmarkStart w:id="8" w:name="_Hlk107930592"/>
    </w:p>
    <w:p w14:paraId="799288D8" w14:textId="77777777" w:rsidR="00347203" w:rsidRDefault="00347203" w:rsidP="00347203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 w:val="24"/>
          <w:szCs w:val="24"/>
        </w:rPr>
      </w:pPr>
      <w:r w:rsidRPr="00D85E07">
        <w:rPr>
          <w:rFonts w:cs="Times New Roman" w:hint="eastAsia"/>
          <w:kern w:val="2"/>
          <w:szCs w:val="21"/>
        </w:rPr>
        <w:t>本标准为方法标准，具体限度要求，参见相关通则</w:t>
      </w:r>
      <w:r w:rsidRPr="00D85E07">
        <w:rPr>
          <w:rFonts w:cs="Times New Roman" w:hint="eastAsia"/>
          <w:kern w:val="2"/>
          <w:sz w:val="24"/>
          <w:szCs w:val="24"/>
        </w:rPr>
        <w:t>。</w:t>
      </w:r>
      <w:bookmarkEnd w:id="0"/>
      <w:bookmarkEnd w:id="8"/>
    </w:p>
    <w:p w14:paraId="1B492C6F" w14:textId="1142E92C" w:rsidR="008D2D8B" w:rsidRDefault="008D2D8B" w:rsidP="008D2D8B">
      <w:pPr>
        <w:widowControl w:val="0"/>
        <w:numPr>
          <w:ilvl w:val="0"/>
          <w:numId w:val="2"/>
        </w:numPr>
        <w:suppressLineNumbers/>
        <w:adjustRightInd w:val="0"/>
        <w:snapToGrid w:val="0"/>
        <w:ind w:firstLineChars="0"/>
        <w:jc w:val="both"/>
        <w:rPr>
          <w:rFonts w:cs="Times New Roman"/>
          <w:b/>
          <w:bCs/>
          <w:kern w:val="2"/>
          <w:szCs w:val="21"/>
        </w:rPr>
      </w:pPr>
      <w:r>
        <w:rPr>
          <w:rFonts w:cs="Times New Roman" w:hint="eastAsia"/>
          <w:b/>
          <w:bCs/>
          <w:kern w:val="2"/>
          <w:szCs w:val="21"/>
        </w:rPr>
        <w:t>主要意见反馈及处理情况</w:t>
      </w:r>
    </w:p>
    <w:p w14:paraId="1CC009EE" w14:textId="77777777" w:rsidR="008D2D8B" w:rsidRPr="008D2D8B" w:rsidRDefault="008D2D8B" w:rsidP="008D2D8B">
      <w:pPr>
        <w:suppressLineNumbers/>
        <w:ind w:firstLine="420"/>
      </w:pPr>
      <w:r w:rsidRPr="008D2D8B">
        <w:rPr>
          <w:rFonts w:hint="eastAsia"/>
        </w:rPr>
        <w:t xml:space="preserve">1. </w:t>
      </w:r>
      <w:r w:rsidRPr="008D2D8B">
        <w:rPr>
          <w:rFonts w:hint="eastAsia"/>
        </w:rPr>
        <w:t>建议将适用于本测定法的常用品牌的毛细管柱生产厂家、型号，在表述中进行举例。</w:t>
      </w:r>
    </w:p>
    <w:p w14:paraId="34DC3994" w14:textId="0D82377E" w:rsidR="008D2D8B" w:rsidRPr="008D2D8B" w:rsidRDefault="008D2D8B" w:rsidP="008D2D8B">
      <w:pPr>
        <w:suppressLineNumbers/>
        <w:ind w:firstLine="420"/>
      </w:pPr>
      <w:r>
        <w:rPr>
          <w:rFonts w:hint="eastAsia"/>
        </w:rPr>
        <w:t>回复：</w:t>
      </w:r>
      <w:r w:rsidRPr="008D2D8B">
        <w:rPr>
          <w:rFonts w:hint="eastAsia"/>
        </w:rPr>
        <w:t>部分采纳。</w:t>
      </w:r>
      <w:r>
        <w:rPr>
          <w:rFonts w:hint="eastAsia"/>
        </w:rPr>
        <w:t>已</w:t>
      </w:r>
      <w:r w:rsidRPr="008D2D8B">
        <w:rPr>
          <w:rFonts w:hint="eastAsia"/>
        </w:rPr>
        <w:t>在色谱条件部分增加色谱柱的相关描述</w:t>
      </w:r>
      <w:r w:rsidRPr="008D2D8B">
        <w:t>。</w:t>
      </w:r>
    </w:p>
    <w:p w14:paraId="661BA772" w14:textId="392D5B7A" w:rsidR="008D2D8B" w:rsidRPr="008D2D8B" w:rsidRDefault="008D2D8B" w:rsidP="008D2D8B">
      <w:pPr>
        <w:suppressLineNumbers/>
        <w:ind w:firstLine="420"/>
      </w:pPr>
      <w:r>
        <w:lastRenderedPageBreak/>
        <w:t xml:space="preserve">2. </w:t>
      </w:r>
      <w:r w:rsidRPr="008D2D8B">
        <w:rPr>
          <w:rFonts w:hint="eastAsia"/>
        </w:rPr>
        <w:t>方法中“分别平行测定不少于</w:t>
      </w:r>
      <w:r w:rsidRPr="008D2D8B">
        <w:t>2</w:t>
      </w:r>
      <w:r w:rsidRPr="008D2D8B">
        <w:rPr>
          <w:rFonts w:hint="eastAsia"/>
        </w:rPr>
        <w:t>份对照品溶液和供试品溶液”，平行样的结果是否取平均值，是否应做文字更改“分别平行测定不少于</w:t>
      </w:r>
      <w:r w:rsidRPr="008D2D8B">
        <w:t>2</w:t>
      </w:r>
      <w:r w:rsidRPr="008D2D8B">
        <w:rPr>
          <w:rFonts w:hint="eastAsia"/>
        </w:rPr>
        <w:t>份对照品溶液和供试品溶液，结果取平均值”</w:t>
      </w:r>
    </w:p>
    <w:p w14:paraId="18693533" w14:textId="7E1EC84A" w:rsidR="008D2D8B" w:rsidRDefault="008D2D8B" w:rsidP="008D2D8B">
      <w:pPr>
        <w:suppressLineNumbers/>
        <w:ind w:firstLine="420"/>
      </w:pPr>
      <w:r>
        <w:rPr>
          <w:rFonts w:hint="eastAsia"/>
        </w:rPr>
        <w:t>回复：未采纳。</w:t>
      </w:r>
      <w:r w:rsidRPr="008D2D8B">
        <w:rPr>
          <w:rFonts w:hint="eastAsia"/>
        </w:rPr>
        <w:t>由于不同</w:t>
      </w:r>
      <w:r>
        <w:rPr>
          <w:rFonts w:hint="eastAsia"/>
        </w:rPr>
        <w:t>试样</w:t>
      </w:r>
      <w:r w:rsidRPr="008D2D8B">
        <w:rPr>
          <w:rFonts w:hint="eastAsia"/>
        </w:rPr>
        <w:t>间的环氧乙烷残留量存在差异性，因此本标准未规定取平均值作为测定结果</w:t>
      </w:r>
      <w:r>
        <w:rPr>
          <w:rFonts w:hint="eastAsia"/>
        </w:rPr>
        <w:t>。</w:t>
      </w:r>
    </w:p>
    <w:p w14:paraId="5D2BDFAA" w14:textId="2E382670" w:rsidR="008D2D8B" w:rsidRPr="008D2D8B" w:rsidRDefault="008D2D8B" w:rsidP="008D2D8B">
      <w:pPr>
        <w:suppressLineNumbers/>
        <w:ind w:firstLine="4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测定法（第一法）：</w:t>
      </w:r>
      <w:r w:rsidRPr="008D2D8B">
        <w:rPr>
          <w:rFonts w:hint="eastAsia"/>
        </w:rPr>
        <w:t>建议明确对照品溶液应连续</w:t>
      </w:r>
      <w:proofErr w:type="gramStart"/>
      <w:r w:rsidRPr="008D2D8B">
        <w:rPr>
          <w:rFonts w:hint="eastAsia"/>
        </w:rPr>
        <w:t>进样不少于</w:t>
      </w:r>
      <w:proofErr w:type="gramEnd"/>
      <w:r w:rsidRPr="008D2D8B">
        <w:t>3</w:t>
      </w:r>
      <w:r w:rsidRPr="008D2D8B">
        <w:rPr>
          <w:rFonts w:hint="eastAsia"/>
        </w:rPr>
        <w:t>次，所得待测物峰面积的</w:t>
      </w:r>
      <w:r w:rsidRPr="008D2D8B">
        <w:t>RSD</w:t>
      </w:r>
      <w:r w:rsidRPr="008D2D8B">
        <w:rPr>
          <w:rFonts w:hint="eastAsia"/>
        </w:rPr>
        <w:t>应不大于</w:t>
      </w:r>
      <w:r w:rsidRPr="008D2D8B">
        <w:t xml:space="preserve">10% </w:t>
      </w:r>
      <w:r w:rsidRPr="008D2D8B">
        <w:rPr>
          <w:rFonts w:hint="eastAsia"/>
        </w:rPr>
        <w:t>。</w:t>
      </w:r>
    </w:p>
    <w:p w14:paraId="0FB5F6AD" w14:textId="6E534F83" w:rsidR="008D2D8B" w:rsidRDefault="008D2D8B" w:rsidP="008D2D8B">
      <w:pPr>
        <w:suppressLineNumbers/>
        <w:ind w:firstLine="420"/>
      </w:pPr>
      <w:r>
        <w:rPr>
          <w:rFonts w:hint="eastAsia"/>
        </w:rPr>
        <w:t>回复：</w:t>
      </w:r>
      <w:r w:rsidRPr="008D2D8B">
        <w:rPr>
          <w:rFonts w:hint="eastAsia"/>
        </w:rPr>
        <w:t>部分采纳。</w:t>
      </w:r>
      <w:r>
        <w:rPr>
          <w:rFonts w:hint="eastAsia"/>
        </w:rPr>
        <w:t>已</w:t>
      </w:r>
      <w:r w:rsidRPr="008D2D8B">
        <w:rPr>
          <w:rFonts w:hint="eastAsia"/>
        </w:rPr>
        <w:t>在系统适用性部分增加相关描述“对照品溶液连续进样</w:t>
      </w:r>
      <w:r w:rsidRPr="008D2D8B">
        <w:t>5</w:t>
      </w:r>
      <w:r w:rsidRPr="008D2D8B">
        <w:rPr>
          <w:rFonts w:hint="eastAsia"/>
        </w:rPr>
        <w:t>次，所得环氧乙烷峰面积的</w:t>
      </w:r>
      <w:r w:rsidRPr="008D2D8B">
        <w:t>RSD</w:t>
      </w:r>
      <w:r w:rsidRPr="008D2D8B">
        <w:rPr>
          <w:rFonts w:hint="eastAsia"/>
        </w:rPr>
        <w:t>应不大于</w:t>
      </w:r>
      <w:r w:rsidRPr="008D2D8B">
        <w:t>10%</w:t>
      </w:r>
      <w:r w:rsidRPr="008D2D8B">
        <w:rPr>
          <w:rFonts w:hint="eastAsia"/>
        </w:rPr>
        <w:t>。”</w:t>
      </w:r>
    </w:p>
    <w:p w14:paraId="5FC915FA" w14:textId="4B20F12A" w:rsidR="008D2D8B" w:rsidRPr="008D2D8B" w:rsidRDefault="008D2D8B" w:rsidP="008D2D8B">
      <w:pPr>
        <w:suppressLineNumbers/>
        <w:ind w:firstLine="420"/>
        <w:jc w:val="both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测定法（第二法）：</w:t>
      </w:r>
      <w:r w:rsidRPr="008D2D8B">
        <w:rPr>
          <w:rFonts w:hint="eastAsia"/>
        </w:rPr>
        <w:t>建议增加对标准曲线相关系数大小进行规定，如</w:t>
      </w:r>
      <w:r w:rsidRPr="008D2D8B">
        <w:t>:r</w:t>
      </w:r>
      <w:r w:rsidRPr="008D2D8B">
        <w:rPr>
          <w:rFonts w:hint="eastAsia"/>
        </w:rPr>
        <w:t>在</w:t>
      </w:r>
      <w:r w:rsidRPr="008D2D8B">
        <w:t>0.99</w:t>
      </w:r>
      <w:r w:rsidRPr="008D2D8B">
        <w:rPr>
          <w:rFonts w:hint="eastAsia"/>
        </w:rPr>
        <w:t>以上。</w:t>
      </w:r>
    </w:p>
    <w:p w14:paraId="407937C4" w14:textId="2BA409FC" w:rsidR="0090019E" w:rsidRPr="004A19A0" w:rsidRDefault="008D2D8B" w:rsidP="004A19A0">
      <w:pPr>
        <w:suppressLineNumbers/>
        <w:ind w:firstLine="420"/>
        <w:rPr>
          <w:rFonts w:hint="eastAsia"/>
        </w:rPr>
      </w:pPr>
      <w:r>
        <w:rPr>
          <w:rFonts w:hint="eastAsia"/>
        </w:rPr>
        <w:t>回复：部分</w:t>
      </w:r>
      <w:r w:rsidRPr="008D2D8B">
        <w:rPr>
          <w:rFonts w:hint="eastAsia"/>
        </w:rPr>
        <w:t>采纳，已修改为“线性相关系数</w:t>
      </w:r>
      <w:r w:rsidRPr="008D2D8B">
        <w:t>r</w:t>
      </w:r>
      <w:r w:rsidRPr="008D2D8B">
        <w:rPr>
          <w:rFonts w:hint="eastAsia"/>
        </w:rPr>
        <w:t>应不小于</w:t>
      </w:r>
      <w:r w:rsidRPr="008D2D8B">
        <w:t>0.995”</w:t>
      </w:r>
      <w:r w:rsidRPr="008D2D8B">
        <w:t>。</w:t>
      </w:r>
      <w:bookmarkStart w:id="9" w:name="_GoBack"/>
      <w:bookmarkEnd w:id="9"/>
    </w:p>
    <w:sectPr w:rsidR="0090019E" w:rsidRPr="004A19A0" w:rsidSect="00B51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EBAB" w14:textId="77777777" w:rsidR="00325142" w:rsidRDefault="00325142" w:rsidP="00347203">
      <w:pPr>
        <w:spacing w:line="240" w:lineRule="auto"/>
        <w:ind w:firstLine="420"/>
      </w:pPr>
      <w:r>
        <w:separator/>
      </w:r>
    </w:p>
  </w:endnote>
  <w:endnote w:type="continuationSeparator" w:id="0">
    <w:p w14:paraId="4F93EFFA" w14:textId="77777777" w:rsidR="00325142" w:rsidRDefault="00325142" w:rsidP="0034720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8C244" w14:textId="77777777" w:rsidR="00347203" w:rsidRDefault="0034720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28577"/>
      <w:docPartObj>
        <w:docPartGallery w:val="Page Numbers (Bottom of Page)"/>
        <w:docPartUnique/>
      </w:docPartObj>
    </w:sdtPr>
    <w:sdtEndPr/>
    <w:sdtContent>
      <w:p w14:paraId="5F80E892" w14:textId="5AF5E98F" w:rsidR="00404F4B" w:rsidRDefault="00404F4B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A0" w:rsidRPr="004A19A0">
          <w:rPr>
            <w:noProof/>
            <w:lang w:val="zh-CN"/>
          </w:rPr>
          <w:t>3</w:t>
        </w:r>
        <w:r>
          <w:fldChar w:fldCharType="end"/>
        </w:r>
      </w:p>
    </w:sdtContent>
  </w:sdt>
  <w:p w14:paraId="18FB400C" w14:textId="77777777" w:rsidR="00347203" w:rsidRDefault="0034720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489A" w14:textId="77777777" w:rsidR="00347203" w:rsidRDefault="0034720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0168" w14:textId="77777777" w:rsidR="00325142" w:rsidRDefault="00325142" w:rsidP="00347203">
      <w:pPr>
        <w:spacing w:line="240" w:lineRule="auto"/>
        <w:ind w:firstLine="420"/>
      </w:pPr>
      <w:r>
        <w:separator/>
      </w:r>
    </w:p>
  </w:footnote>
  <w:footnote w:type="continuationSeparator" w:id="0">
    <w:p w14:paraId="5C7CF00C" w14:textId="77777777" w:rsidR="00325142" w:rsidRDefault="00325142" w:rsidP="0034720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E6B3" w14:textId="3CB9D9EB" w:rsidR="00347203" w:rsidRDefault="004A19A0">
    <w:pPr>
      <w:pStyle w:val="a3"/>
      <w:ind w:firstLine="360"/>
    </w:pPr>
    <w:r>
      <w:rPr>
        <w:noProof/>
      </w:rPr>
      <w:pict w14:anchorId="0941C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52232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B226" w14:textId="4A00E49F" w:rsidR="00347203" w:rsidRDefault="004A19A0" w:rsidP="00B526AE">
    <w:pPr>
      <w:pStyle w:val="a3"/>
      <w:pBdr>
        <w:bottom w:val="single" w:sz="4" w:space="1" w:color="auto"/>
      </w:pBdr>
      <w:ind w:firstLine="360"/>
    </w:pPr>
    <w:r>
      <w:rPr>
        <w:noProof/>
      </w:rPr>
      <w:pict w14:anchorId="0D77DA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52233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B345" w14:textId="36E82993" w:rsidR="00347203" w:rsidRDefault="004A19A0">
    <w:pPr>
      <w:pStyle w:val="a3"/>
      <w:ind w:firstLine="360"/>
    </w:pPr>
    <w:r>
      <w:rPr>
        <w:noProof/>
      </w:rPr>
      <w:pict w14:anchorId="4E448D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952231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478E79"/>
    <w:multiLevelType w:val="singleLevel"/>
    <w:tmpl w:val="E1478E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3B072F"/>
    <w:multiLevelType w:val="hybridMultilevel"/>
    <w:tmpl w:val="0E4CCD7C"/>
    <w:lvl w:ilvl="0" w:tplc="02F2521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 w:tentative="1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abstractNum w:abstractNumId="2" w15:restartNumberingAfterBreak="0">
    <w:nsid w:val="24713C3A"/>
    <w:multiLevelType w:val="hybridMultilevel"/>
    <w:tmpl w:val="DDCC5BD4"/>
    <w:lvl w:ilvl="0" w:tplc="2996B306">
      <w:start w:val="3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6E8E0FD8"/>
    <w:multiLevelType w:val="hybridMultilevel"/>
    <w:tmpl w:val="920EBCA6"/>
    <w:lvl w:ilvl="0" w:tplc="FFFFFFFF">
      <w:start w:val="3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2" w:hanging="420"/>
      </w:pPr>
    </w:lvl>
    <w:lvl w:ilvl="2" w:tplc="FFFFFFFF" w:tentative="1">
      <w:start w:val="1"/>
      <w:numFmt w:val="lowerRoman"/>
      <w:lvlText w:val="%3."/>
      <w:lvlJc w:val="righ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lowerLetter"/>
      <w:lvlText w:val="%5)"/>
      <w:lvlJc w:val="left"/>
      <w:pPr>
        <w:ind w:left="2522" w:hanging="420"/>
      </w:pPr>
    </w:lvl>
    <w:lvl w:ilvl="5" w:tplc="FFFFFFFF" w:tentative="1">
      <w:start w:val="1"/>
      <w:numFmt w:val="lowerRoman"/>
      <w:lvlText w:val="%6."/>
      <w:lvlJc w:val="righ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lowerLetter"/>
      <w:lvlText w:val="%8)"/>
      <w:lvlJc w:val="left"/>
      <w:pPr>
        <w:ind w:left="3782" w:hanging="420"/>
      </w:pPr>
    </w:lvl>
    <w:lvl w:ilvl="8" w:tplc="FFFFFFFF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6F93340A"/>
    <w:multiLevelType w:val="hybridMultilevel"/>
    <w:tmpl w:val="CC8EF270"/>
    <w:lvl w:ilvl="0" w:tplc="D8DAA95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F0"/>
    <w:rsid w:val="00036D74"/>
    <w:rsid w:val="000D6E0F"/>
    <w:rsid w:val="000E5A31"/>
    <w:rsid w:val="0011333E"/>
    <w:rsid w:val="001840D4"/>
    <w:rsid w:val="001A02C9"/>
    <w:rsid w:val="001C0072"/>
    <w:rsid w:val="0024423A"/>
    <w:rsid w:val="002E7408"/>
    <w:rsid w:val="002F2935"/>
    <w:rsid w:val="00325142"/>
    <w:rsid w:val="00347203"/>
    <w:rsid w:val="00357F1E"/>
    <w:rsid w:val="003E2260"/>
    <w:rsid w:val="00404F4B"/>
    <w:rsid w:val="00483AE9"/>
    <w:rsid w:val="00494A72"/>
    <w:rsid w:val="004A19A0"/>
    <w:rsid w:val="0053622F"/>
    <w:rsid w:val="005860B0"/>
    <w:rsid w:val="005C01E3"/>
    <w:rsid w:val="005E0608"/>
    <w:rsid w:val="005F0130"/>
    <w:rsid w:val="00607070"/>
    <w:rsid w:val="006420E5"/>
    <w:rsid w:val="006C3A70"/>
    <w:rsid w:val="0077572E"/>
    <w:rsid w:val="007B10D2"/>
    <w:rsid w:val="007F3D60"/>
    <w:rsid w:val="00870C59"/>
    <w:rsid w:val="008D2D8B"/>
    <w:rsid w:val="0090019E"/>
    <w:rsid w:val="00914419"/>
    <w:rsid w:val="009307B9"/>
    <w:rsid w:val="009522E6"/>
    <w:rsid w:val="00A060E7"/>
    <w:rsid w:val="00A80F1F"/>
    <w:rsid w:val="00A82FAA"/>
    <w:rsid w:val="00B222F0"/>
    <w:rsid w:val="00B5120C"/>
    <w:rsid w:val="00B526AE"/>
    <w:rsid w:val="00BB7AC6"/>
    <w:rsid w:val="00BE5D31"/>
    <w:rsid w:val="00BF77F4"/>
    <w:rsid w:val="00C6162F"/>
    <w:rsid w:val="00CC0607"/>
    <w:rsid w:val="00D00BDB"/>
    <w:rsid w:val="00DA5597"/>
    <w:rsid w:val="00E2139B"/>
    <w:rsid w:val="00E22CF7"/>
    <w:rsid w:val="00EC308F"/>
    <w:rsid w:val="00EF0B1E"/>
    <w:rsid w:val="00EF3D68"/>
    <w:rsid w:val="00F51AF2"/>
    <w:rsid w:val="00F56253"/>
    <w:rsid w:val="00F6076D"/>
    <w:rsid w:val="00F614DD"/>
    <w:rsid w:val="00F620D3"/>
    <w:rsid w:val="00FB6F34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D32D9D"/>
  <w15:chartTrackingRefBased/>
  <w15:docId w15:val="{1F2E60EE-CED0-43A1-8D97-A929E745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03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34720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203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2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203"/>
    <w:rPr>
      <w:rFonts w:ascii="Times New Roman" w:eastAsia="宋体" w:hAnsi="Times New Roman"/>
      <w:kern w:val="0"/>
      <w:sz w:val="18"/>
      <w:szCs w:val="18"/>
    </w:rPr>
  </w:style>
  <w:style w:type="paragraph" w:styleId="a7">
    <w:name w:val="Revision"/>
    <w:hidden/>
    <w:uiPriority w:val="99"/>
    <w:semiHidden/>
    <w:rsid w:val="007B10D2"/>
    <w:rPr>
      <w:rFonts w:ascii="Times New Roman" w:eastAsia="宋体" w:hAnsi="Times New Roman"/>
      <w:kern w:val="0"/>
    </w:rPr>
  </w:style>
  <w:style w:type="character" w:styleId="a8">
    <w:name w:val="line number"/>
    <w:basedOn w:val="a0"/>
    <w:uiPriority w:val="99"/>
    <w:semiHidden/>
    <w:unhideWhenUsed/>
    <w:rsid w:val="00B5120C"/>
  </w:style>
  <w:style w:type="paragraph" w:styleId="a9">
    <w:name w:val="List Paragraph"/>
    <w:basedOn w:val="a"/>
    <w:uiPriority w:val="34"/>
    <w:qFormat/>
    <w:rsid w:val="0090019E"/>
    <w:pPr>
      <w:ind w:firstLine="420"/>
    </w:pPr>
  </w:style>
  <w:style w:type="paragraph" w:styleId="aa">
    <w:name w:val="Normal (Web)"/>
    <w:basedOn w:val="a"/>
    <w:uiPriority w:val="99"/>
    <w:semiHidden/>
    <w:unhideWhenUsed/>
    <w:rsid w:val="008D2D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D068-ACA2-4E14-BF52-BE0A2A52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annie</dc:creator>
  <cp:keywords/>
  <dc:description/>
  <cp:lastModifiedBy>陈蕾</cp:lastModifiedBy>
  <cp:revision>21</cp:revision>
  <dcterms:created xsi:type="dcterms:W3CDTF">2023-10-07T07:58:00Z</dcterms:created>
  <dcterms:modified xsi:type="dcterms:W3CDTF">2023-11-29T10:17:00Z</dcterms:modified>
</cp:coreProperties>
</file>