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60" w:lineRule="exact"/>
        <w:jc w:val="both"/>
        <w:rPr>
          <w:rFonts w:ascii="黑体" w:hAnsi="黑体" w:eastAsia="黑体" w:cs="黑体"/>
          <w:sz w:val="32"/>
          <w:szCs w:val="32"/>
          <w:lang w:val="en"/>
        </w:rPr>
      </w:pPr>
      <w:r>
        <w:rPr>
          <w:rFonts w:hint="eastAsia" w:ascii="黑体" w:hAnsi="黑体" w:eastAsia="黑体" w:cs="黑体"/>
          <w:sz w:val="32"/>
          <w:szCs w:val="32"/>
          <w:lang w:val="en"/>
        </w:rPr>
        <w:t>附件：</w:t>
      </w:r>
    </w:p>
    <w:p>
      <w:pPr>
        <w:pStyle w:val="3"/>
        <w:ind w:left="0" w:leftChars="0"/>
        <w:jc w:val="center"/>
        <w:rPr>
          <w:rFonts w:ascii="宋体" w:hAnsi="宋体" w:cs="宋体"/>
          <w:b/>
          <w:bCs/>
          <w:sz w:val="36"/>
          <w:szCs w:val="36"/>
        </w:rPr>
      </w:pPr>
      <w:bookmarkStart w:id="0" w:name="_GoBack"/>
      <w:r>
        <w:rPr>
          <w:rFonts w:hint="eastAsia" w:ascii="宋体" w:hAnsi="宋体" w:cs="宋体"/>
          <w:b/>
          <w:bCs/>
          <w:sz w:val="36"/>
          <w:szCs w:val="36"/>
        </w:rPr>
        <w:t>2023年“科技+</w:t>
      </w:r>
      <w:r>
        <w:rPr>
          <w:rFonts w:hint="eastAsia" w:ascii="宋体" w:hAnsi="宋体" w:cs="宋体"/>
          <w:b/>
          <w:bCs/>
          <w:sz w:val="36"/>
          <w:szCs w:val="36"/>
          <w:lang w:eastAsia="zh-CN"/>
        </w:rPr>
        <w:t>中医药</w:t>
      </w:r>
      <w:r>
        <w:rPr>
          <w:rFonts w:hint="eastAsia" w:ascii="宋体" w:hAnsi="宋体" w:cs="宋体"/>
          <w:b/>
          <w:bCs/>
          <w:sz w:val="36"/>
          <w:szCs w:val="36"/>
        </w:rPr>
        <w:t>”联合计划项目立项清单</w:t>
      </w:r>
      <w:bookmarkEnd w:id="0"/>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5320"/>
        <w:gridCol w:w="2442"/>
        <w:gridCol w:w="1483"/>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5" w:type="pct"/>
            <w:shd w:val="clear" w:color="auto" w:fill="FFFFFF"/>
            <w:noWrap w:val="0"/>
            <w:vAlign w:val="center"/>
          </w:tcPr>
          <w:p>
            <w:pPr>
              <w:widowControl/>
              <w:jc w:val="center"/>
              <w:textAlignment w:val="center"/>
              <w:rPr>
                <w:rFonts w:ascii="黑体" w:hAnsi="黑体" w:eastAsia="黑体" w:cs="黑体"/>
                <w:b/>
                <w:color w:val="000000"/>
                <w:kern w:val="0"/>
                <w:sz w:val="24"/>
                <w:szCs w:val="24"/>
                <w:lang w:bidi="ar"/>
              </w:rPr>
            </w:pPr>
            <w:r>
              <w:rPr>
                <w:rFonts w:hint="eastAsia" w:ascii="黑体" w:hAnsi="黑体" w:eastAsia="黑体" w:cs="黑体"/>
                <w:b/>
                <w:color w:val="000000"/>
                <w:kern w:val="0"/>
                <w:sz w:val="24"/>
                <w:szCs w:val="24"/>
                <w:lang w:bidi="ar"/>
              </w:rPr>
              <w:t>序号</w:t>
            </w:r>
          </w:p>
        </w:tc>
        <w:tc>
          <w:tcPr>
            <w:tcW w:w="1876" w:type="pct"/>
            <w:shd w:val="clear" w:color="auto" w:fill="FFFFFF"/>
            <w:noWrap w:val="0"/>
            <w:vAlign w:val="center"/>
          </w:tcPr>
          <w:p>
            <w:pPr>
              <w:widowControl/>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项目名称</w:t>
            </w:r>
          </w:p>
        </w:tc>
        <w:tc>
          <w:tcPr>
            <w:tcW w:w="861" w:type="pct"/>
            <w:shd w:val="clear" w:color="auto" w:fill="FFFFFF"/>
            <w:noWrap w:val="0"/>
            <w:vAlign w:val="center"/>
          </w:tcPr>
          <w:p>
            <w:pPr>
              <w:widowControl/>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申报单位</w:t>
            </w:r>
          </w:p>
        </w:tc>
        <w:tc>
          <w:tcPr>
            <w:tcW w:w="52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申报人</w:t>
            </w:r>
          </w:p>
        </w:tc>
        <w:tc>
          <w:tcPr>
            <w:tcW w:w="1473" w:type="pct"/>
            <w:shd w:val="clear" w:color="auto" w:fill="FFFFFF"/>
            <w:noWrap w:val="0"/>
            <w:vAlign w:val="center"/>
          </w:tcPr>
          <w:p>
            <w:pPr>
              <w:widowControl/>
              <w:jc w:val="center"/>
              <w:textAlignment w:val="center"/>
              <w:rPr>
                <w:rFonts w:ascii="黑体" w:hAnsi="黑体" w:eastAsia="黑体" w:cs="黑体"/>
                <w:b/>
                <w:color w:val="000000"/>
                <w:kern w:val="0"/>
                <w:sz w:val="24"/>
                <w:szCs w:val="24"/>
                <w:lang w:bidi="ar"/>
              </w:rPr>
            </w:pPr>
            <w:r>
              <w:rPr>
                <w:rFonts w:hint="eastAsia" w:ascii="黑体" w:hAnsi="黑体" w:eastAsia="黑体" w:cs="黑体"/>
                <w:b/>
                <w:color w:val="000000"/>
                <w:kern w:val="0"/>
                <w:sz w:val="24"/>
                <w:szCs w:val="24"/>
                <w:lang w:bidi="ar"/>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5"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1</w:t>
            </w:r>
          </w:p>
        </w:tc>
        <w:tc>
          <w:tcPr>
            <w:tcW w:w="1876"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 芳香中药胶囊剂绿色制造关键技术装备研究与开发 </w:t>
            </w:r>
          </w:p>
        </w:tc>
        <w:tc>
          <w:tcPr>
            <w:tcW w:w="861"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江西中医药大学 </w:t>
            </w:r>
          </w:p>
        </w:tc>
        <w:tc>
          <w:tcPr>
            <w:tcW w:w="52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黄小英 </w:t>
            </w:r>
          </w:p>
        </w:tc>
        <w:tc>
          <w:tcPr>
            <w:tcW w:w="147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1.江西杏林白马药业股份有限公司</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2.江西普正制药股份有限公司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65"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2</w:t>
            </w:r>
          </w:p>
        </w:tc>
        <w:tc>
          <w:tcPr>
            <w:tcW w:w="1876"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江西道地药材茶芎抗缺血性脑卒中的成药性评价研究 </w:t>
            </w:r>
          </w:p>
        </w:tc>
        <w:tc>
          <w:tcPr>
            <w:tcW w:w="861"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江西本草天工科技有限责任公司</w:t>
            </w:r>
          </w:p>
        </w:tc>
        <w:tc>
          <w:tcPr>
            <w:tcW w:w="52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李东勲 </w:t>
            </w:r>
          </w:p>
        </w:tc>
        <w:tc>
          <w:tcPr>
            <w:tcW w:w="147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中国食品药品检定研究院中药民族药检定所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5"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3</w:t>
            </w:r>
          </w:p>
        </w:tc>
        <w:tc>
          <w:tcPr>
            <w:tcW w:w="187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中医药代谢组学数据分析方法学研究及工具开发 </w:t>
            </w:r>
          </w:p>
        </w:tc>
        <w:tc>
          <w:tcPr>
            <w:tcW w:w="861"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江西中医药大学</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叶青 </w:t>
            </w:r>
          </w:p>
        </w:tc>
        <w:tc>
          <w:tcPr>
            <w:tcW w:w="147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65"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4</w:t>
            </w:r>
          </w:p>
        </w:tc>
        <w:tc>
          <w:tcPr>
            <w:tcW w:w="187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 </w:t>
            </w:r>
            <w:r>
              <w:rPr>
                <w:rFonts w:hint="eastAsia" w:ascii="仿宋" w:hAnsi="仿宋" w:eastAsia="仿宋" w:cs="仿宋"/>
                <w:b w:val="0"/>
                <w:bCs/>
                <w:color w:val="000000"/>
                <w:kern w:val="0"/>
                <w:sz w:val="24"/>
                <w:szCs w:val="24"/>
                <w:lang w:val="en-US" w:eastAsia="zh-CN" w:bidi="ar"/>
              </w:rPr>
              <w:tab/>
            </w:r>
            <w:r>
              <w:rPr>
                <w:rFonts w:hint="eastAsia" w:ascii="仿宋" w:hAnsi="仿宋" w:eastAsia="仿宋" w:cs="仿宋"/>
                <w:b w:val="0"/>
                <w:bCs/>
                <w:color w:val="000000"/>
                <w:kern w:val="0"/>
                <w:sz w:val="24"/>
                <w:szCs w:val="24"/>
                <w:lang w:val="en-US" w:eastAsia="zh-CN" w:bidi="ar"/>
              </w:rPr>
              <w:t xml:space="preserve">地方特色中药炮制品鳖血柴胡偏性变化关键机理及应用研究 </w:t>
            </w:r>
          </w:p>
        </w:tc>
        <w:tc>
          <w:tcPr>
            <w:tcW w:w="861"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南昌医学院 </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刘素兰 </w:t>
            </w:r>
          </w:p>
        </w:tc>
        <w:tc>
          <w:tcPr>
            <w:tcW w:w="147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65"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5</w:t>
            </w:r>
          </w:p>
        </w:tc>
        <w:tc>
          <w:tcPr>
            <w:tcW w:w="187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 “毒瘀互结”理论构建及其在冠脉血运重建术后心绞痛病机与防治策略中的应用研究 </w:t>
            </w:r>
          </w:p>
        </w:tc>
        <w:tc>
          <w:tcPr>
            <w:tcW w:w="861"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江西中医药大学附属医院</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邹国辉</w:t>
            </w:r>
          </w:p>
        </w:tc>
        <w:tc>
          <w:tcPr>
            <w:tcW w:w="147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5"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6</w:t>
            </w:r>
          </w:p>
        </w:tc>
        <w:tc>
          <w:tcPr>
            <w:tcW w:w="187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 基于“肺与大肠相表里”理论的古法中药饮片在肺癌和结直肠癌术后康复中的应用研究 </w:t>
            </w:r>
          </w:p>
        </w:tc>
        <w:tc>
          <w:tcPr>
            <w:tcW w:w="861"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江西省人民医院</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陈志平</w:t>
            </w:r>
          </w:p>
        </w:tc>
        <w:tc>
          <w:tcPr>
            <w:tcW w:w="147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1.南昌大学第一附属医院</w:t>
            </w:r>
          </w:p>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2.江西景德中药股份有限公司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5"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7</w:t>
            </w:r>
          </w:p>
        </w:tc>
        <w:tc>
          <w:tcPr>
            <w:tcW w:w="187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 基于时空网络生物信息结合AI算法研究溃疡性结肠炎中“湿”“热”病机关系及其生物学基础 </w:t>
            </w:r>
          </w:p>
        </w:tc>
        <w:tc>
          <w:tcPr>
            <w:tcW w:w="861"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江西中医药大学附属医院 </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严小军 </w:t>
            </w:r>
          </w:p>
        </w:tc>
        <w:tc>
          <w:tcPr>
            <w:tcW w:w="147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江西中医药大学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65"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8</w:t>
            </w:r>
          </w:p>
        </w:tc>
        <w:tc>
          <w:tcPr>
            <w:tcW w:w="187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 仙方活命饮在慢性前列腺炎、弱精子症基础与临床转化应用研究 </w:t>
            </w:r>
          </w:p>
        </w:tc>
        <w:tc>
          <w:tcPr>
            <w:tcW w:w="861"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南昌市新华医院</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ab/>
            </w:r>
            <w:r>
              <w:rPr>
                <w:rFonts w:hint="eastAsia" w:ascii="仿宋" w:hAnsi="仿宋" w:eastAsia="仿宋" w:cs="仿宋"/>
                <w:b w:val="0"/>
                <w:bCs/>
                <w:color w:val="000000"/>
                <w:kern w:val="0"/>
                <w:sz w:val="24"/>
                <w:szCs w:val="24"/>
                <w:lang w:val="en-US" w:eastAsia="zh-CN" w:bidi="ar"/>
              </w:rPr>
              <w:t xml:space="preserve">陈胜辉 </w:t>
            </w:r>
          </w:p>
        </w:tc>
        <w:tc>
          <w:tcPr>
            <w:tcW w:w="147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江西中医药大学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5"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9</w:t>
            </w:r>
          </w:p>
        </w:tc>
        <w:tc>
          <w:tcPr>
            <w:tcW w:w="187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反复胚胎种植失败的中西医结合临床治疗关键策略研究及推广应用 </w:t>
            </w:r>
          </w:p>
        </w:tc>
        <w:tc>
          <w:tcPr>
            <w:tcW w:w="861"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江西省妇幼保健院 </w:t>
            </w:r>
          </w:p>
        </w:tc>
        <w:tc>
          <w:tcPr>
            <w:tcW w:w="52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陈晓勇 </w:t>
            </w:r>
          </w:p>
        </w:tc>
        <w:tc>
          <w:tcPr>
            <w:tcW w:w="1473"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w:t>
            </w:r>
          </w:p>
        </w:tc>
      </w:tr>
    </w:tbl>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BA546"/>
    <w:rsid w:val="DBFBA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ascii="Times New Roman" w:hAnsi="Times New Roman"/>
    </w:rPr>
  </w:style>
  <w:style w:type="paragraph" w:styleId="3">
    <w:name w:val="Body Text Indent"/>
    <w:basedOn w:val="1"/>
    <w:next w:val="2"/>
    <w:qFormat/>
    <w:uiPriority w:val="0"/>
    <w:pPr>
      <w:spacing w:after="120"/>
      <w:ind w:left="420" w:leftChars="200"/>
    </w:pPr>
    <w:rPr>
      <w:szCs w:val="22"/>
    </w:rPr>
  </w:style>
  <w:style w:type="paragraph" w:styleId="4">
    <w:name w:val="Body Text First Indent"/>
    <w:basedOn w:val="5"/>
    <w:next w:val="5"/>
    <w:qFormat/>
    <w:uiPriority w:val="0"/>
    <w:pPr>
      <w:ind w:firstLine="200" w:firstLineChars="200"/>
    </w:pPr>
    <w:rPr>
      <w:szCs w:val="22"/>
    </w:rPr>
  </w:style>
  <w:style w:type="paragraph" w:styleId="5">
    <w:name w:val="Body Text"/>
    <w:basedOn w:val="1"/>
    <w:next w:val="4"/>
    <w:qFormat/>
    <w:uiPriority w:val="0"/>
    <w:pPr>
      <w:spacing w:after="120"/>
    </w:pPr>
  </w:style>
  <w:style w:type="paragraph" w:styleId="6">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2023-12-05T10:03:00Z</dcterms:created>
  <dc:creator>test</dc:creator>
  <cp:lastModifiedBy>test</cp:lastModifiedBy>
  <dcterms:modified xsi:type="dcterms:W3CDTF">2023-12-05T10:03:24Z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