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附件2</w:t>
      </w:r>
    </w:p>
    <w:p>
      <w:pPr>
        <w:snapToGrid w:val="0"/>
        <w:spacing w:line="600" w:lineRule="exact"/>
        <w:jc w:val="lef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52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52"/>
        </w:rPr>
        <w:t>52个中西医结合诊疗方案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52"/>
        </w:rPr>
        <w:t>目录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24"/>
          <w:szCs w:val="32"/>
        </w:rPr>
      </w:pPr>
    </w:p>
    <w:tbl>
      <w:tblPr>
        <w:tblStyle w:val="4"/>
        <w:tblW w:w="88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7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阿尔茨海默病中西医结合诊疗指南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癫痫中西医结合诊疗指南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2型糖尿病中西医结合诊疗指南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儿童青少年近视中西医结合诊疗指南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儿童紫癜性肾炎中西医结合诊疗指南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儿童功能性消化不良中西医结合诊疗指南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肺癌中西医结合诊疗指南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复发性流产中西医结合诊疗指南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非创伤性股骨头坏死中西医结合诊疗指南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冠状动脉微血管病中西医结合诊疗指南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冠状动脉粥样硬化中西医结合诊疗指南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肝硬化中西医结合诊疗指南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肝豆状核变性中西医结合诊疗指南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肝纤维化中西医结合诊疗指南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Graves病中西医结合诊疗指南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广泛性焦虑障碍中西医结合诊疗指南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化疗所致周围神经病理性疼痛中西医结合诊疗指南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IgA肾病中西医结合诊疗指南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脊髓占位病变（腰骶部）术后尿潴留中西医结合诊疗指南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结肠癌和直肠癌中西医结合诊疗指南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急性心肌梗死中西医结合诊疗指南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脊髓型颈椎病中西医结合诊疗指南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急性胰腺炎中西医结合诊疗指南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溃疡性结肠炎中西医结合诊疗指南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卵巢储备功能下降中西医结合诊疗指南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慢性肾衰竭中西医结合诊疗指南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慢加急性肝衰竭中西医结合诊疗指南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耐药肺结核中西医结合诊疗指南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女性不孕症中西医结合诊疗指南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脑梗死中西医结合诊疗指南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脑出血中西医结合诊疗指南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帕金森病运动并发症中西医结合诊疗指南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乳腺癌中西医结合诊疗指南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乳腺癌术后内分泌治疗期中西医结合诊疗指南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食管癌中西医结合诊疗指南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糖尿病肾脏疾病中西医结合诊疗指南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糖尿病足中西医结合诊疗指南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痛风及高尿酸血症中西医结合诊疗指南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胃癌中西医结合诊疗指南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萎缩性胃炎胃癌前病变中西医结合诊疗指南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新型冠状病毒感染重型、危重型中西医结合诊疗指南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膝骨关节炎中西医结合诊疗指南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心绞痛（冠状动脉血运重建术后）中西医结合诊疗指南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系统性红斑狼疮中西医结合诊疗指南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原发性肝癌中西医结合诊疗指南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腰椎管狭窄症中西医结合诊疗指南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幼年特发性关节炎中西医结合诊疗指南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抑郁症中西医结合诊疗指南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中草药相关肾损伤中西医结合诊疗指南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支气管哮喘中西医结合诊疗指南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子宫腺肌病中西医结合诊疗指南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775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再生障碍性贫血中西医结合诊疗指南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4DF0"/>
    <w:rsid w:val="4DE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styleId="4">
    <w:name w:val="Table Grid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2023-11-30T09:29:00Z</dcterms:created>
  <dc:creator>admin</dc:creator>
  <cp:lastModifiedBy>admin</cp:lastModifiedBy>
  <dcterms:modified xsi:type="dcterms:W3CDTF">2023-11-30T09:31:08Z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