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17"/>
        </w:tabs>
        <w:spacing w:line="360" w:lineRule="auto"/>
        <w:jc w:val="center"/>
        <w:rPr>
          <w:rFonts w:hint="eastAsia" w:ascii="方正小标宋简体" w:hAnsi="仿宋" w:eastAsia="方正小标宋简体" w:cs="Times New Roman"/>
          <w:bCs/>
          <w:sz w:val="44"/>
          <w:szCs w:val="44"/>
          <w:lang w:val="en-US" w:eastAsia="zh-CN"/>
        </w:rPr>
      </w:pPr>
    </w:p>
    <w:p>
      <w:pPr>
        <w:tabs>
          <w:tab w:val="left" w:pos="1917"/>
        </w:tabs>
        <w:spacing w:line="360" w:lineRule="auto"/>
        <w:jc w:val="center"/>
        <w:rPr>
          <w:rFonts w:hint="eastAsia" w:ascii="方正小标宋简体" w:hAnsi="仿宋" w:eastAsia="方正小标宋简体" w:cs="Times New Roman"/>
          <w:bCs/>
          <w:sz w:val="44"/>
          <w:szCs w:val="44"/>
          <w:lang w:val="en-US" w:eastAsia="zh-CN"/>
        </w:rPr>
      </w:pPr>
    </w:p>
    <w:p>
      <w:pPr>
        <w:keepNext w:val="0"/>
        <w:keepLines w:val="0"/>
        <w:pageBreakBefore w:val="0"/>
        <w:widowControl w:val="0"/>
        <w:tabs>
          <w:tab w:val="left" w:pos="1917"/>
        </w:tabs>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bCs/>
          <w:sz w:val="44"/>
          <w:szCs w:val="44"/>
          <w:lang w:val="en-US" w:eastAsia="zh-CN"/>
        </w:rPr>
      </w:pPr>
      <w:r>
        <w:rPr>
          <w:rFonts w:hint="eastAsia" w:ascii="方正小标宋简体" w:hAnsi="仿宋" w:eastAsia="方正小标宋简体" w:cs="Times New Roman"/>
          <w:bCs/>
          <w:sz w:val="44"/>
          <w:szCs w:val="44"/>
          <w:lang w:val="en-US" w:eastAsia="zh-CN"/>
        </w:rPr>
        <w:t>山东省基本医疗保险中药饮片</w:t>
      </w:r>
    </w:p>
    <w:p>
      <w:pPr>
        <w:keepNext w:val="0"/>
        <w:keepLines w:val="0"/>
        <w:pageBreakBefore w:val="0"/>
        <w:widowControl w:val="0"/>
        <w:tabs>
          <w:tab w:val="left" w:pos="1917"/>
        </w:tabs>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s="Times New Roman"/>
          <w:bCs/>
          <w:sz w:val="44"/>
          <w:szCs w:val="44"/>
          <w:lang w:val="en-US" w:eastAsia="zh-CN"/>
        </w:rPr>
      </w:pPr>
      <w:r>
        <w:rPr>
          <w:rFonts w:hint="eastAsia" w:ascii="方正小标宋简体" w:hAnsi="仿宋" w:eastAsia="方正小标宋简体" w:cs="Times New Roman"/>
          <w:bCs/>
          <w:sz w:val="44"/>
          <w:szCs w:val="44"/>
          <w:lang w:val="en-US" w:eastAsia="zh-CN"/>
        </w:rPr>
        <w:t>支付管理暂行办法</w:t>
      </w:r>
    </w:p>
    <w:p>
      <w:pPr>
        <w:keepNext w:val="0"/>
        <w:keepLines w:val="0"/>
        <w:pageBreakBefore w:val="0"/>
        <w:widowControl w:val="0"/>
        <w:tabs>
          <w:tab w:val="left" w:pos="1917"/>
        </w:tabs>
        <w:kinsoku/>
        <w:wordWrap/>
        <w:overflowPunct/>
        <w:topLinePunct w:val="0"/>
        <w:autoSpaceDE/>
        <w:autoSpaceDN/>
        <w:bidi w:val="0"/>
        <w:adjustRightInd/>
        <w:snapToGrid/>
        <w:spacing w:line="600" w:lineRule="exact"/>
        <w:jc w:val="center"/>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（征求意见稿）</w:t>
      </w:r>
    </w:p>
    <w:p>
      <w:pPr>
        <w:spacing w:line="560" w:lineRule="exact"/>
        <w:jc w:val="center"/>
        <w:rPr>
          <w:rFonts w:hint="eastAsia" w:ascii="仿宋" w:hAnsi="仿宋" w:eastAsia="仿宋"/>
          <w:sz w:val="32"/>
          <w:szCs w:val="44"/>
          <w:lang w:eastAsia="zh-CN"/>
        </w:rPr>
      </w:pPr>
    </w:p>
    <w:p>
      <w:pPr>
        <w:pStyle w:val="12"/>
        <w:spacing w:line="560" w:lineRule="exact"/>
        <w:ind w:firstLine="0" w:firstLineChars="0"/>
        <w:jc w:val="center"/>
        <w:outlineLvl w:val="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 总 则</w:t>
      </w:r>
    </w:p>
    <w:p>
      <w:pPr>
        <w:pStyle w:val="12"/>
        <w:spacing w:line="560" w:lineRule="exact"/>
        <w:ind w:firstLine="0" w:firstLineChars="0"/>
        <w:jc w:val="center"/>
        <w:outlineLvl w:val="0"/>
        <w:rPr>
          <w:rFonts w:ascii="黑体" w:hAnsi="黑体" w:eastAsia="黑体"/>
          <w:sz w:val="32"/>
          <w:szCs w:val="32"/>
        </w:rPr>
      </w:pPr>
    </w:p>
    <w:p>
      <w:pPr>
        <w:ind w:firstLine="640" w:firstLineChars="200"/>
        <w:rPr>
          <w:rFonts w:ascii="仿宋_GB2312" w:eastAsia="仿宋_GB2312"/>
          <w:sz w:val="32"/>
          <w:szCs w:val="32"/>
        </w:rPr>
      </w:pPr>
      <w:r>
        <w:rPr>
          <w:rFonts w:hint="eastAsia" w:ascii="黑体" w:hAnsi="黑体" w:eastAsia="黑体" w:cs="Times New Roman"/>
          <w:bCs/>
          <w:sz w:val="32"/>
          <w:szCs w:val="32"/>
        </w:rPr>
        <w:t xml:space="preserve">第一条 </w:t>
      </w:r>
      <w:r>
        <w:rPr>
          <w:rFonts w:hint="eastAsia" w:ascii="仿宋_GB2312" w:eastAsia="仿宋_GB2312"/>
          <w:color w:val="000000" w:themeColor="text1"/>
          <w:sz w:val="32"/>
          <w:szCs w:val="32"/>
          <w14:textFill>
            <w14:solidFill>
              <w14:schemeClr w14:val="tx1"/>
            </w14:solidFill>
          </w14:textFill>
        </w:rPr>
        <w:t>为进一步</w:t>
      </w:r>
      <w:r>
        <w:rPr>
          <w:rFonts w:hint="eastAsia" w:ascii="仿宋_GB2312" w:eastAsia="仿宋_GB2312"/>
          <w:color w:val="000000" w:themeColor="text1"/>
          <w:sz w:val="32"/>
          <w:szCs w:val="32"/>
          <w:lang w:eastAsia="zh-CN"/>
          <w14:textFill>
            <w14:solidFill>
              <w14:schemeClr w14:val="tx1"/>
            </w14:solidFill>
          </w14:textFill>
        </w:rPr>
        <w:t>规范和加强</w:t>
      </w:r>
      <w:r>
        <w:rPr>
          <w:rFonts w:hint="eastAsia" w:ascii="仿宋_GB2312" w:eastAsia="仿宋_GB2312"/>
          <w:color w:val="000000" w:themeColor="text1"/>
          <w:sz w:val="32"/>
          <w:szCs w:val="32"/>
          <w14:textFill>
            <w14:solidFill>
              <w14:schemeClr w14:val="tx1"/>
            </w14:solidFill>
          </w14:textFill>
        </w:rPr>
        <w:t>我省基本医疗保险中药饮片支付管理工作，</w:t>
      </w:r>
      <w:r>
        <w:rPr>
          <w:rFonts w:hint="eastAsia" w:ascii="仿宋_GB2312" w:hAnsi="仿宋" w:eastAsia="仿宋_GB2312" w:cs="Times New Roman"/>
          <w:bCs/>
          <w:color w:val="000000" w:themeColor="text1"/>
          <w:sz w:val="32"/>
          <w:szCs w:val="32"/>
          <w14:textFill>
            <w14:solidFill>
              <w14:schemeClr w14:val="tx1"/>
            </w14:solidFill>
          </w14:textFill>
        </w:rPr>
        <w:t>根据《基本医疗保险用药管理暂行办法》（国家医疗保障局令第1号）</w:t>
      </w:r>
      <w:r>
        <w:rPr>
          <w:rFonts w:hint="eastAsia" w:ascii="仿宋_GB2312" w:eastAsia="仿宋_GB2312"/>
          <w:color w:val="000000" w:themeColor="text1"/>
          <w:sz w:val="32"/>
          <w:szCs w:val="32"/>
          <w14:textFill>
            <w14:solidFill>
              <w14:schemeClr w14:val="tx1"/>
            </w14:solidFill>
          </w14:textFill>
        </w:rPr>
        <w:t>及有关文件精神，结合我省实际，制定本办法。</w:t>
      </w:r>
    </w:p>
    <w:p>
      <w:pPr>
        <w:ind w:firstLine="640" w:firstLineChars="200"/>
        <w:rPr>
          <w:rFonts w:hint="eastAsia" w:ascii="仿宋_GB2312" w:eastAsia="仿宋_GB2312" w:hAnsiTheme="minorHAnsi" w:cstheme="minorBidi"/>
          <w:bCs w:val="0"/>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中药饮片医保支付管理坚持以人民健康为中心，切实保障参保人员合理用药需求；坚持保基本的功能定位，以临床必需、安全有效、价格合理为基本原则；坚持彰显中药特色优势，</w:t>
      </w:r>
      <w:r>
        <w:rPr>
          <w:rFonts w:hint="eastAsia" w:ascii="仿宋_GB2312" w:eastAsia="仿宋_GB2312" w:hAnsiTheme="minorHAnsi" w:cstheme="minorBidi"/>
          <w:bCs w:val="0"/>
          <w:sz w:val="32"/>
          <w:szCs w:val="32"/>
        </w:rPr>
        <w:t>促进中医药传承创新发展。</w:t>
      </w:r>
    </w:p>
    <w:p>
      <w:pPr>
        <w:ind w:firstLine="640" w:firstLineChars="20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中药饮片医保支付实行准入管理。省级医疗保障部门负责《</w:t>
      </w:r>
      <w:r>
        <w:rPr>
          <w:rFonts w:hint="eastAsia" w:ascii="仿宋_GB2312" w:eastAsia="仿宋_GB2312"/>
          <w:sz w:val="32"/>
          <w:szCs w:val="32"/>
          <w:lang w:eastAsia="zh-CN"/>
        </w:rPr>
        <w:t>山东省</w:t>
      </w:r>
      <w:r>
        <w:rPr>
          <w:rFonts w:hint="eastAsia" w:ascii="仿宋_GB2312" w:eastAsia="仿宋_GB2312"/>
          <w:sz w:val="32"/>
          <w:szCs w:val="32"/>
        </w:rPr>
        <w:t>基本医疗保险中药饮片目录》（以下简称</w:t>
      </w:r>
      <w:r>
        <w:rPr>
          <w:rFonts w:hint="eastAsia" w:ascii="仿宋_GB2312" w:eastAsia="仿宋_GB2312"/>
          <w:sz w:val="32"/>
          <w:szCs w:val="32"/>
          <w:lang w:eastAsia="zh-CN"/>
        </w:rPr>
        <w:t>“《</w:t>
      </w:r>
      <w:r>
        <w:rPr>
          <w:rFonts w:hint="eastAsia" w:ascii="仿宋_GB2312" w:eastAsia="仿宋_GB2312"/>
          <w:sz w:val="32"/>
          <w:szCs w:val="32"/>
        </w:rPr>
        <w:t>中药饮片目录</w:t>
      </w:r>
      <w:r>
        <w:rPr>
          <w:rFonts w:hint="eastAsia" w:ascii="仿宋_GB2312" w:eastAsia="仿宋_GB2312"/>
          <w:sz w:val="32"/>
          <w:szCs w:val="32"/>
          <w:lang w:eastAsia="zh-CN"/>
        </w:rPr>
        <w:t>》”</w:t>
      </w:r>
      <w:r>
        <w:rPr>
          <w:rFonts w:hint="eastAsia" w:ascii="仿宋_GB2312" w:eastAsia="仿宋_GB2312"/>
          <w:sz w:val="32"/>
          <w:szCs w:val="32"/>
        </w:rPr>
        <w:t>）的制定、调整、发布等工作。设区市医疗保障部门负责</w:t>
      </w:r>
      <w:r>
        <w:rPr>
          <w:rFonts w:hint="eastAsia" w:ascii="仿宋_GB2312" w:eastAsia="仿宋_GB2312"/>
          <w:sz w:val="32"/>
          <w:szCs w:val="32"/>
          <w:lang w:eastAsia="zh-CN"/>
        </w:rPr>
        <w:t>本地中药饮片初审、推荐，并</w:t>
      </w:r>
      <w:r>
        <w:rPr>
          <w:rFonts w:hint="eastAsia" w:ascii="仿宋_GB2312" w:eastAsia="仿宋_GB2312"/>
          <w:sz w:val="32"/>
          <w:szCs w:val="32"/>
        </w:rPr>
        <w:t>执行全省统一的</w:t>
      </w:r>
      <w:r>
        <w:rPr>
          <w:rFonts w:hint="eastAsia" w:ascii="仿宋_GB2312" w:eastAsia="仿宋_GB2312"/>
          <w:sz w:val="32"/>
          <w:szCs w:val="32"/>
          <w:lang w:eastAsia="zh-CN"/>
        </w:rPr>
        <w:t>《</w:t>
      </w:r>
      <w:r>
        <w:rPr>
          <w:rFonts w:hint="eastAsia" w:ascii="仿宋_GB2312" w:eastAsia="仿宋_GB2312"/>
          <w:sz w:val="32"/>
          <w:szCs w:val="32"/>
        </w:rPr>
        <w:t>中药饮片目录</w:t>
      </w:r>
      <w:r>
        <w:rPr>
          <w:rFonts w:hint="eastAsia" w:ascii="仿宋_GB2312" w:eastAsia="仿宋_GB2312"/>
          <w:sz w:val="32"/>
          <w:szCs w:val="32"/>
          <w:lang w:eastAsia="zh-CN"/>
        </w:rPr>
        <w:t>》</w:t>
      </w:r>
      <w:r>
        <w:rPr>
          <w:rFonts w:hint="eastAsia" w:ascii="仿宋_GB2312" w:eastAsia="仿宋_GB2312"/>
          <w:sz w:val="32"/>
          <w:szCs w:val="32"/>
        </w:rPr>
        <w:t>。符合《中药饮片目录》的药品费用，按照国家、省规定由基本医疗保险基金支付。</w:t>
      </w:r>
    </w:p>
    <w:p>
      <w:pPr>
        <w:ind w:firstLine="640" w:firstLineChars="200"/>
        <w:rPr>
          <w:rFonts w:ascii="仿宋_GB2312" w:eastAsia="仿宋_GB2312"/>
          <w:color w:val="000000" w:themeColor="text1"/>
          <w:sz w:val="32"/>
          <w:szCs w:val="32"/>
          <w14:textFill>
            <w14:solidFill>
              <w14:schemeClr w14:val="tx1"/>
            </w14:solidFill>
          </w14:textFill>
        </w:rPr>
      </w:pPr>
    </w:p>
    <w:p>
      <w:pPr>
        <w:ind w:firstLine="640" w:firstLineChars="200"/>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目录制定和调整</w:t>
      </w:r>
    </w:p>
    <w:p>
      <w:pPr>
        <w:ind w:firstLine="640" w:firstLineChars="200"/>
        <w:jc w:val="center"/>
        <w:rPr>
          <w:rFonts w:ascii="黑体" w:hAnsi="黑体" w:eastAsia="黑体"/>
          <w:sz w:val="32"/>
          <w:szCs w:val="32"/>
          <w:highlight w:val="lightGray"/>
        </w:rPr>
      </w:pPr>
    </w:p>
    <w:p>
      <w:pPr>
        <w:ind w:firstLine="640" w:firstLineChars="200"/>
        <w:rPr>
          <w:rFonts w:ascii="仿宋_GB2312" w:eastAsia="仿宋_GB2312"/>
          <w:sz w:val="32"/>
          <w:szCs w:val="32"/>
        </w:rPr>
      </w:pPr>
      <w:r>
        <w:rPr>
          <w:rFonts w:hint="eastAsia" w:ascii="黑体" w:hAnsi="黑体" w:eastAsia="黑体" w:cs="Times New Roman"/>
          <w:bCs/>
          <w:sz w:val="32"/>
          <w:szCs w:val="32"/>
        </w:rPr>
        <w:t>第</w:t>
      </w:r>
      <w:r>
        <w:rPr>
          <w:rFonts w:hint="eastAsia" w:ascii="黑体" w:hAnsi="黑体" w:eastAsia="黑体" w:cs="Times New Roman"/>
          <w:bCs/>
          <w:sz w:val="32"/>
          <w:szCs w:val="32"/>
          <w:lang w:eastAsia="zh-CN"/>
        </w:rPr>
        <w:t>四</w:t>
      </w:r>
      <w:r>
        <w:rPr>
          <w:rFonts w:hint="eastAsia" w:ascii="黑体" w:hAnsi="黑体" w:eastAsia="黑体" w:cs="Times New Roman"/>
          <w:bCs/>
          <w:sz w:val="32"/>
          <w:szCs w:val="32"/>
        </w:rPr>
        <w:t xml:space="preserve">条 </w:t>
      </w:r>
      <w:r>
        <w:rPr>
          <w:rFonts w:hint="eastAsia" w:ascii="仿宋_GB2312" w:eastAsia="仿宋_GB2312"/>
          <w:sz w:val="32"/>
          <w:szCs w:val="32"/>
        </w:rPr>
        <w:t>纳入《中药饮片目录》的中药饮片应当具备以下条件：</w:t>
      </w:r>
    </w:p>
    <w:p>
      <w:pPr>
        <w:ind w:firstLine="640" w:firstLineChars="200"/>
        <w:rPr>
          <w:rFonts w:hint="eastAsia" w:ascii="仿宋_GB2312" w:hAnsi="仿宋" w:eastAsia="仿宋_GB2312" w:cs="Times New Roman"/>
          <w:bCs/>
          <w:sz w:val="32"/>
          <w:szCs w:val="32"/>
          <w:highlight w:val="none"/>
        </w:rPr>
      </w:pPr>
      <w:r>
        <w:rPr>
          <w:rFonts w:hint="eastAsia" w:ascii="仿宋_GB2312" w:eastAsia="仿宋_GB2312"/>
          <w:sz w:val="32"/>
          <w:szCs w:val="32"/>
        </w:rPr>
        <w:t>（一）</w:t>
      </w:r>
      <w:r>
        <w:rPr>
          <w:rFonts w:hint="eastAsia" w:ascii="仿宋_GB2312" w:eastAsia="仿宋_GB2312"/>
          <w:sz w:val="32"/>
          <w:szCs w:val="32"/>
          <w:highlight w:val="none"/>
        </w:rPr>
        <w:t>符合</w:t>
      </w:r>
      <w:r>
        <w:rPr>
          <w:rFonts w:hint="eastAsia" w:ascii="仿宋_GB2312" w:hAnsi="仿宋" w:eastAsia="仿宋_GB2312" w:cs="Times New Roman"/>
          <w:bCs/>
          <w:sz w:val="32"/>
          <w:szCs w:val="32"/>
          <w:highlight w:val="none"/>
        </w:rPr>
        <w:t>国家药品标准</w:t>
      </w:r>
      <w:r>
        <w:rPr>
          <w:rFonts w:hint="eastAsia" w:ascii="仿宋_GB2312" w:hAnsi="仿宋" w:eastAsia="仿宋_GB2312" w:cs="Times New Roman"/>
          <w:bCs/>
          <w:sz w:val="32"/>
          <w:szCs w:val="32"/>
          <w:highlight w:val="none"/>
          <w:lang w:eastAsia="zh-CN"/>
        </w:rPr>
        <w:t>或山东</w:t>
      </w:r>
      <w:r>
        <w:rPr>
          <w:rFonts w:hint="eastAsia" w:ascii="仿宋_GB2312" w:hAnsi="仿宋" w:eastAsia="仿宋_GB2312" w:cs="Times New Roman"/>
          <w:bCs/>
          <w:sz w:val="32"/>
          <w:szCs w:val="32"/>
          <w:highlight w:val="none"/>
        </w:rPr>
        <w:t>省药品监督管理部门制定的炮制规范；</w:t>
      </w:r>
    </w:p>
    <w:p>
      <w:pPr>
        <w:ind w:firstLine="640" w:firstLineChars="200"/>
        <w:rPr>
          <w:rFonts w:ascii="仿宋_GB2312" w:hAnsi="仿宋" w:eastAsia="仿宋_GB2312" w:cs="Times New Roman"/>
          <w:bCs/>
          <w:sz w:val="32"/>
          <w:szCs w:val="32"/>
          <w:highlight w:val="none"/>
        </w:rPr>
      </w:pPr>
      <w:r>
        <w:rPr>
          <w:rFonts w:hint="eastAsia" w:ascii="仿宋_GB2312" w:eastAsia="仿宋_GB2312"/>
          <w:sz w:val="32"/>
          <w:szCs w:val="32"/>
          <w:highlight w:val="none"/>
        </w:rPr>
        <w:t>（二）</w:t>
      </w:r>
      <w:r>
        <w:rPr>
          <w:rFonts w:hint="eastAsia" w:ascii="仿宋_GB2312" w:eastAsia="仿宋_GB2312"/>
          <w:sz w:val="32"/>
          <w:szCs w:val="32"/>
        </w:rPr>
        <w:t>临</w:t>
      </w:r>
      <w:r>
        <w:rPr>
          <w:rFonts w:hint="eastAsia" w:ascii="仿宋_GB2312" w:eastAsia="仿宋_GB2312"/>
          <w:sz w:val="32"/>
          <w:szCs w:val="32"/>
          <w:highlight w:val="none"/>
        </w:rPr>
        <w:t>床必需、安全有效、价格合理；</w:t>
      </w:r>
    </w:p>
    <w:p>
      <w:pPr>
        <w:ind w:firstLine="640" w:firstLineChars="200"/>
        <w:rPr>
          <w:rFonts w:ascii="仿宋_GB2312" w:eastAsia="仿宋_GB2312"/>
          <w:sz w:val="32"/>
          <w:szCs w:val="32"/>
        </w:rPr>
      </w:pPr>
      <w:r>
        <w:rPr>
          <w:rFonts w:hint="eastAsia" w:ascii="仿宋_GB2312" w:eastAsia="仿宋_GB2312"/>
          <w:sz w:val="32"/>
          <w:szCs w:val="32"/>
          <w:highlight w:val="none"/>
        </w:rPr>
        <w:t>（三）基本医疗保险</w:t>
      </w:r>
      <w:r>
        <w:rPr>
          <w:rFonts w:hint="eastAsia" w:ascii="仿宋_GB2312" w:eastAsia="仿宋_GB2312"/>
          <w:sz w:val="32"/>
          <w:szCs w:val="32"/>
        </w:rPr>
        <w:t>基金可承受；</w:t>
      </w:r>
    </w:p>
    <w:p>
      <w:pPr>
        <w:ind w:firstLine="640" w:firstLineChars="200"/>
        <w:rPr>
          <w:rFonts w:ascii="仿宋_GB2312" w:eastAsia="仿宋_GB2312"/>
          <w:sz w:val="32"/>
          <w:szCs w:val="32"/>
        </w:rPr>
      </w:pPr>
      <w:r>
        <w:rPr>
          <w:rFonts w:hint="eastAsia" w:ascii="仿宋_GB2312" w:eastAsia="仿宋_GB2312"/>
          <w:sz w:val="32"/>
          <w:szCs w:val="32"/>
        </w:rPr>
        <w:t>（四）取得国家医疗保障</w:t>
      </w:r>
      <w:r>
        <w:rPr>
          <w:rFonts w:hint="eastAsia" w:ascii="仿宋_GB2312" w:eastAsia="仿宋_GB2312"/>
          <w:sz w:val="32"/>
          <w:szCs w:val="32"/>
          <w:lang w:eastAsia="zh-CN"/>
        </w:rPr>
        <w:t>中药饮片</w:t>
      </w:r>
      <w:r>
        <w:rPr>
          <w:rFonts w:hint="eastAsia" w:ascii="仿宋_GB2312" w:eastAsia="仿宋_GB2312"/>
          <w:sz w:val="32"/>
          <w:szCs w:val="32"/>
        </w:rPr>
        <w:t>统一</w:t>
      </w:r>
      <w:r>
        <w:rPr>
          <w:rFonts w:hint="eastAsia" w:ascii="仿宋_GB2312" w:eastAsia="仿宋_GB2312"/>
          <w:sz w:val="32"/>
          <w:szCs w:val="32"/>
          <w:lang w:eastAsia="zh-CN"/>
        </w:rPr>
        <w:t>代码</w:t>
      </w:r>
      <w:r>
        <w:rPr>
          <w:rFonts w:hint="eastAsia" w:ascii="仿宋_GB2312" w:eastAsia="仿宋_GB2312"/>
          <w:sz w:val="32"/>
          <w:szCs w:val="32"/>
        </w:rPr>
        <w:t>。</w:t>
      </w:r>
    </w:p>
    <w:p>
      <w:pPr>
        <w:spacing w:line="360" w:lineRule="auto"/>
        <w:ind w:firstLine="640" w:firstLineChars="200"/>
        <w:rPr>
          <w:rFonts w:ascii="仿宋_GB2312" w:hAnsi="仿宋" w:eastAsia="仿宋_GB2312" w:cs="Times New Roman"/>
          <w:bCs/>
          <w:sz w:val="32"/>
          <w:szCs w:val="32"/>
        </w:rPr>
      </w:pPr>
      <w:r>
        <w:rPr>
          <w:rFonts w:hint="eastAsia" w:ascii="黑体" w:hAnsi="黑体" w:eastAsia="黑体" w:cs="Times New Roman"/>
          <w:bCs/>
          <w:sz w:val="32"/>
          <w:szCs w:val="32"/>
        </w:rPr>
        <w:t>第</w:t>
      </w:r>
      <w:r>
        <w:rPr>
          <w:rFonts w:hint="eastAsia" w:ascii="黑体" w:hAnsi="黑体" w:eastAsia="黑体" w:cs="Times New Roman"/>
          <w:bCs/>
          <w:sz w:val="32"/>
          <w:szCs w:val="32"/>
          <w:lang w:eastAsia="zh-CN"/>
        </w:rPr>
        <w:t>五</w:t>
      </w:r>
      <w:r>
        <w:rPr>
          <w:rFonts w:hint="eastAsia" w:ascii="黑体" w:hAnsi="黑体" w:eastAsia="黑体" w:cs="Times New Roman"/>
          <w:bCs/>
          <w:sz w:val="32"/>
          <w:szCs w:val="32"/>
        </w:rPr>
        <w:t>条</w:t>
      </w:r>
      <w:r>
        <w:rPr>
          <w:rFonts w:ascii="仿宋_GB2312" w:hAnsi="仿宋" w:eastAsia="仿宋_GB2312" w:cs="Times New Roman"/>
          <w:bCs/>
          <w:sz w:val="32"/>
          <w:szCs w:val="32"/>
        </w:rPr>
        <w:t xml:space="preserve"> </w:t>
      </w:r>
      <w:r>
        <w:rPr>
          <w:rFonts w:hint="eastAsia" w:ascii="仿宋_GB2312" w:hAnsi="仿宋" w:eastAsia="仿宋_GB2312" w:cs="Times New Roman"/>
          <w:bCs/>
          <w:sz w:val="32"/>
          <w:szCs w:val="32"/>
          <w:lang w:eastAsia="zh-CN"/>
        </w:rPr>
        <w:t>有</w:t>
      </w:r>
      <w:r>
        <w:rPr>
          <w:rFonts w:hint="eastAsia" w:ascii="仿宋_GB2312" w:eastAsia="仿宋_GB2312"/>
          <w:sz w:val="32"/>
          <w:szCs w:val="32"/>
        </w:rPr>
        <w:t>以下情形</w:t>
      </w:r>
      <w:r>
        <w:rPr>
          <w:rFonts w:hint="eastAsia" w:ascii="仿宋_GB2312" w:eastAsia="仿宋_GB2312"/>
          <w:sz w:val="32"/>
          <w:szCs w:val="32"/>
          <w:lang w:eastAsia="zh-CN"/>
        </w:rPr>
        <w:t>之一</w:t>
      </w:r>
      <w:r>
        <w:rPr>
          <w:rFonts w:hint="eastAsia" w:ascii="仿宋_GB2312" w:eastAsia="仿宋_GB2312"/>
          <w:sz w:val="32"/>
          <w:szCs w:val="32"/>
        </w:rPr>
        <w:t>的</w:t>
      </w:r>
      <w:r>
        <w:rPr>
          <w:rFonts w:hint="eastAsia" w:ascii="仿宋_GB2312" w:hAnsi="仿宋" w:eastAsia="仿宋_GB2312" w:cs="Times New Roman"/>
          <w:bCs/>
          <w:sz w:val="32"/>
          <w:szCs w:val="32"/>
        </w:rPr>
        <w:t>中药饮片</w:t>
      </w:r>
      <w:r>
        <w:rPr>
          <w:rFonts w:hint="eastAsia" w:ascii="仿宋_GB2312" w:eastAsia="仿宋_GB2312"/>
          <w:sz w:val="32"/>
          <w:szCs w:val="32"/>
        </w:rPr>
        <w:t>不纳入医保基金支付范围：</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（一）主要起滋补、保健作用的；</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（二）国家珍贵、濒危野生动植物药材；</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（三）主要起增强性功能、治疗脱发、减肥、美容、戒烟、戒酒等作用的；</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（四）国家医保药品目录规定不得纳入基金支付范围的；</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（五）其他不符合基本医疗保险用药规定的情形。</w:t>
      </w:r>
    </w:p>
    <w:p>
      <w:pPr>
        <w:ind w:firstLine="640" w:firstLineChars="200"/>
        <w:rPr>
          <w:rFonts w:hint="eastAsia" w:ascii="黑体" w:hAnsi="黑体" w:eastAsia="黑体"/>
          <w:sz w:val="32"/>
          <w:szCs w:val="32"/>
        </w:rPr>
      </w:pPr>
      <w:r>
        <w:rPr>
          <w:rFonts w:hint="eastAsia" w:ascii="黑体" w:hAnsi="黑体" w:eastAsia="黑体" w:cs="Times New Roman"/>
          <w:bCs/>
          <w:sz w:val="32"/>
          <w:szCs w:val="32"/>
        </w:rPr>
        <w:t>第</w:t>
      </w:r>
      <w:r>
        <w:rPr>
          <w:rFonts w:hint="eastAsia" w:ascii="黑体" w:hAnsi="黑体" w:eastAsia="黑体" w:cs="Times New Roman"/>
          <w:bCs/>
          <w:sz w:val="32"/>
          <w:szCs w:val="32"/>
          <w:lang w:eastAsia="zh-CN"/>
        </w:rPr>
        <w:t>六</w:t>
      </w:r>
      <w:r>
        <w:rPr>
          <w:rFonts w:hint="eastAsia" w:ascii="黑体" w:hAnsi="黑体" w:eastAsia="黑体" w:cs="Times New Roman"/>
          <w:bCs/>
          <w:sz w:val="32"/>
          <w:szCs w:val="32"/>
        </w:rPr>
        <w:t>条</w:t>
      </w:r>
      <w:r>
        <w:rPr>
          <w:rFonts w:hint="eastAsia" w:ascii="仿宋_GB2312" w:hAnsi="仿宋" w:eastAsia="仿宋_GB2312" w:cs="Times New Roman"/>
          <w:bCs/>
          <w:sz w:val="32"/>
          <w:szCs w:val="32"/>
        </w:rPr>
        <w:t xml:space="preserve"> 《中药饮片目录》实行动态调整，主要程序包括定点医疗机构申报、设区市医疗保障部门初审、省级医疗保障部门组织专家评审、报国家医疗保障行政部门备案、</w:t>
      </w:r>
      <w:r>
        <w:rPr>
          <w:rFonts w:hint="eastAsia" w:ascii="仿宋_GB2312" w:hAnsi="仿宋" w:eastAsia="仿宋_GB2312" w:cs="Times New Roman"/>
          <w:bCs/>
          <w:sz w:val="32"/>
          <w:szCs w:val="32"/>
          <w:lang w:eastAsia="zh-CN"/>
        </w:rPr>
        <w:t>发布</w:t>
      </w:r>
      <w:r>
        <w:rPr>
          <w:rFonts w:hint="eastAsia" w:ascii="仿宋_GB2312" w:hAnsi="仿宋" w:eastAsia="仿宋_GB2312" w:cs="Times New Roman"/>
          <w:bCs/>
          <w:sz w:val="32"/>
          <w:szCs w:val="32"/>
        </w:rPr>
        <w:t>等。</w:t>
      </w:r>
      <w:r>
        <w:rPr>
          <w:rFonts w:hint="eastAsia" w:ascii="仿宋_GB2312" w:hAnsi="仿宋" w:eastAsia="仿宋_GB2312" w:cs="Times New Roman"/>
          <w:bCs/>
          <w:sz w:val="32"/>
          <w:szCs w:val="32"/>
          <w:lang w:eastAsia="zh-CN"/>
        </w:rPr>
        <w:t>具体调整频次根据申报情况确定。</w:t>
      </w:r>
    </w:p>
    <w:p>
      <w:pPr>
        <w:ind w:firstLine="640" w:firstLineChars="200"/>
        <w:rPr>
          <w:rFonts w:ascii="仿宋_GB2312" w:hAnsi="仿宋" w:eastAsia="仿宋_GB2312" w:cs="Times New Roman"/>
          <w:bCs/>
          <w:sz w:val="32"/>
          <w:szCs w:val="32"/>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hAnsi="仿宋" w:eastAsia="仿宋_GB2312" w:cs="Times New Roman"/>
          <w:bCs/>
          <w:sz w:val="32"/>
          <w:szCs w:val="32"/>
          <w:lang w:val="en-US" w:eastAsia="zh-CN"/>
        </w:rPr>
        <w:t>申请</w:t>
      </w:r>
      <w:r>
        <w:rPr>
          <w:rFonts w:hint="eastAsia" w:ascii="仿宋_GB2312" w:hAnsi="仿宋" w:eastAsia="仿宋_GB2312" w:cs="Times New Roman"/>
          <w:bCs/>
          <w:sz w:val="32"/>
          <w:szCs w:val="32"/>
        </w:rPr>
        <w:t>纳入基金支付范围的中药饮片</w:t>
      </w:r>
      <w:r>
        <w:rPr>
          <w:rFonts w:hint="eastAsia" w:ascii="仿宋_GB2312" w:hAnsi="仿宋" w:eastAsia="仿宋_GB2312" w:cs="Times New Roman"/>
          <w:bCs/>
          <w:sz w:val="32"/>
          <w:szCs w:val="32"/>
          <w:lang w:eastAsia="zh-CN"/>
        </w:rPr>
        <w:t>，</w:t>
      </w:r>
      <w:r>
        <w:rPr>
          <w:rFonts w:hint="eastAsia" w:ascii="仿宋_GB2312" w:eastAsia="仿宋_GB2312"/>
          <w:sz w:val="32"/>
          <w:szCs w:val="32"/>
          <w:lang w:eastAsia="zh-CN"/>
        </w:rPr>
        <w:t>按照属地管理原则，</w:t>
      </w:r>
      <w:r>
        <w:rPr>
          <w:rFonts w:hint="eastAsia" w:ascii="仿宋_GB2312" w:hAnsi="仿宋" w:eastAsia="仿宋_GB2312" w:cs="Times New Roman"/>
          <w:bCs/>
          <w:sz w:val="32"/>
          <w:szCs w:val="32"/>
        </w:rPr>
        <w:t>由二级及以上定点医疗机构按程序向所在地设区市医疗保障部门申报</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医疗机构申报</w:t>
      </w:r>
      <w:r>
        <w:rPr>
          <w:rFonts w:hint="eastAsia" w:ascii="仿宋_GB2312" w:hAnsi="仿宋" w:eastAsia="仿宋_GB2312" w:cs="Times New Roman"/>
          <w:bCs/>
          <w:sz w:val="32"/>
          <w:szCs w:val="32"/>
          <w:lang w:eastAsia="zh-CN"/>
        </w:rPr>
        <w:t>应</w:t>
      </w:r>
      <w:r>
        <w:rPr>
          <w:rFonts w:hint="eastAsia" w:ascii="仿宋_GB2312" w:hAnsi="仿宋" w:eastAsia="仿宋_GB2312" w:cs="Times New Roman"/>
          <w:bCs/>
          <w:sz w:val="32"/>
          <w:szCs w:val="32"/>
        </w:rPr>
        <w:t>提供以下材料：</w:t>
      </w:r>
    </w:p>
    <w:p>
      <w:pPr>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（一）中药饮片纳入医保基金支付范围的申请；</w:t>
      </w:r>
    </w:p>
    <w:p>
      <w:pPr>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拟纳入基本医疗保险支付范围</w:t>
      </w:r>
      <w:bookmarkStart w:id="1" w:name="_GoBack"/>
      <w:bookmarkEnd w:id="1"/>
      <w:r>
        <w:rPr>
          <w:rFonts w:hint="eastAsia" w:ascii="仿宋_GB2312" w:hAnsi="仿宋" w:eastAsia="仿宋_GB2312" w:cs="Times New Roman"/>
          <w:bCs/>
          <w:sz w:val="32"/>
          <w:szCs w:val="32"/>
        </w:rPr>
        <w:t>中药饮片申报表</w:t>
      </w:r>
      <w:r>
        <w:rPr>
          <w:rFonts w:hint="eastAsia" w:ascii="仿宋_GB2312" w:hAnsi="仿宋" w:eastAsia="仿宋_GB2312" w:cs="Times New Roman"/>
          <w:bCs/>
          <w:sz w:val="32"/>
          <w:szCs w:val="32"/>
          <w:lang w:eastAsia="zh-CN"/>
        </w:rPr>
        <w:t>》（附件</w:t>
      </w: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lang w:eastAsia="zh-CN"/>
        </w:rPr>
        <w:t>）</w:t>
      </w:r>
      <w:r>
        <w:rPr>
          <w:rFonts w:ascii="仿宋_GB2312" w:hAnsi="仿宋" w:eastAsia="仿宋_GB2312" w:cs="Times New Roman"/>
          <w:bCs/>
          <w:sz w:val="32"/>
          <w:szCs w:val="32"/>
        </w:rPr>
        <w:t>；</w:t>
      </w:r>
    </w:p>
    <w:p>
      <w:pPr>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eastAsia="zh-CN"/>
        </w:rPr>
        <w:t>（三）</w:t>
      </w:r>
      <w:r>
        <w:rPr>
          <w:rFonts w:ascii="仿宋_GB2312" w:hAnsi="仿宋" w:eastAsia="仿宋_GB2312" w:cs="Times New Roman"/>
          <w:bCs/>
          <w:sz w:val="32"/>
          <w:szCs w:val="32"/>
        </w:rPr>
        <w:t>符合国家标准或</w:t>
      </w:r>
      <w:r>
        <w:rPr>
          <w:rFonts w:hint="eastAsia" w:ascii="仿宋_GB2312" w:hAnsi="仿宋" w:eastAsia="仿宋_GB2312" w:cs="Times New Roman"/>
          <w:bCs/>
          <w:sz w:val="32"/>
          <w:szCs w:val="32"/>
          <w:lang w:eastAsia="zh-CN"/>
        </w:rPr>
        <w:t>山东省</w:t>
      </w:r>
      <w:r>
        <w:rPr>
          <w:rFonts w:ascii="仿宋_GB2312" w:hAnsi="仿宋" w:eastAsia="仿宋_GB2312" w:cs="Times New Roman"/>
          <w:bCs/>
          <w:sz w:val="32"/>
          <w:szCs w:val="32"/>
        </w:rPr>
        <w:t>炮制规范的证明；</w:t>
      </w:r>
    </w:p>
    <w:p>
      <w:pPr>
        <w:widowControl/>
        <w:shd w:val="clear" w:color="auto" w:fill="FFFFFF"/>
        <w:spacing w:line="590" w:lineRule="atLeast"/>
        <w:ind w:firstLine="640"/>
        <w:rPr>
          <w:rFonts w:hint="eastAsia" w:ascii="黑体" w:hAnsi="黑体" w:eastAsia="黑体"/>
          <w:sz w:val="32"/>
          <w:szCs w:val="32"/>
        </w:rPr>
      </w:pP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）根据实际情况需提供的其他相关材料。</w:t>
      </w:r>
    </w:p>
    <w:p>
      <w:pPr>
        <w:widowControl/>
        <w:shd w:val="clear" w:color="auto" w:fill="FFFFFF"/>
        <w:spacing w:line="590" w:lineRule="atLeast"/>
        <w:ind w:firstLine="640"/>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八</w:t>
      </w:r>
      <w:r>
        <w:rPr>
          <w:rFonts w:hint="eastAsia" w:ascii="黑体" w:hAnsi="黑体" w:eastAsia="黑体"/>
          <w:sz w:val="32"/>
          <w:szCs w:val="32"/>
        </w:rPr>
        <w:t xml:space="preserve">条 </w:t>
      </w:r>
      <w:r>
        <w:rPr>
          <w:rFonts w:hint="eastAsia" w:ascii="仿宋_GB2312" w:hAnsi="仿宋" w:eastAsia="仿宋_GB2312" w:cs="Times New Roman"/>
          <w:bCs/>
          <w:sz w:val="32"/>
          <w:szCs w:val="32"/>
        </w:rPr>
        <w:t>设区市医疗保障部门收到医疗机构申请后，对相关材料进行审核，根据参保人员用药需求及医保基金支撑能力等进行测算，提出</w:t>
      </w:r>
      <w:r>
        <w:rPr>
          <w:rFonts w:hint="eastAsia" w:ascii="仿宋_GB2312" w:hAnsi="仿宋" w:eastAsia="仿宋_GB2312" w:cs="Times New Roman"/>
          <w:bCs/>
          <w:sz w:val="32"/>
          <w:szCs w:val="32"/>
          <w:lang w:eastAsia="zh-CN"/>
        </w:rPr>
        <w:t>拟</w:t>
      </w:r>
      <w:r>
        <w:rPr>
          <w:rFonts w:hint="eastAsia" w:ascii="仿宋_GB2312" w:hAnsi="仿宋" w:eastAsia="仿宋_GB2312" w:cs="Times New Roman"/>
          <w:bCs/>
          <w:sz w:val="32"/>
          <w:szCs w:val="32"/>
        </w:rPr>
        <w:t>纳入医保基金支付范围的中药饮片</w:t>
      </w:r>
      <w:r>
        <w:rPr>
          <w:rFonts w:hint="eastAsia" w:ascii="仿宋_GB2312" w:hAnsi="仿宋" w:eastAsia="仿宋_GB2312" w:cs="Times New Roman"/>
          <w:bCs/>
          <w:sz w:val="32"/>
          <w:szCs w:val="32"/>
          <w:lang w:eastAsia="zh-CN"/>
        </w:rPr>
        <w:t>初审</w:t>
      </w:r>
      <w:r>
        <w:rPr>
          <w:rFonts w:hint="eastAsia" w:ascii="仿宋_GB2312" w:hAnsi="仿宋" w:eastAsia="仿宋_GB2312" w:cs="Times New Roman"/>
          <w:bCs/>
          <w:sz w:val="32"/>
          <w:szCs w:val="32"/>
        </w:rPr>
        <w:t>名单，</w:t>
      </w:r>
      <w:r>
        <w:rPr>
          <w:rFonts w:hint="eastAsia" w:ascii="仿宋_GB2312" w:hAnsi="仿宋" w:eastAsia="仿宋_GB2312" w:cs="Times New Roman"/>
          <w:bCs/>
          <w:sz w:val="32"/>
          <w:szCs w:val="32"/>
          <w:lang w:eastAsia="zh-CN"/>
        </w:rPr>
        <w:t>填写《</w:t>
      </w:r>
      <w:r>
        <w:rPr>
          <w:rFonts w:hint="eastAsia" w:ascii="仿宋_GB2312" w:hAnsi="仿宋" w:eastAsia="仿宋_GB2312" w:cs="Times New Roman"/>
          <w:bCs/>
          <w:sz w:val="32"/>
          <w:szCs w:val="32"/>
        </w:rPr>
        <w:t>拟纳入基本医疗保险支付范围的中药饮片推荐名单</w:t>
      </w:r>
      <w:r>
        <w:rPr>
          <w:rFonts w:hint="eastAsia" w:ascii="仿宋_GB2312" w:hAnsi="仿宋" w:eastAsia="仿宋_GB2312" w:cs="Times New Roman"/>
          <w:bCs/>
          <w:sz w:val="32"/>
          <w:szCs w:val="32"/>
          <w:lang w:eastAsia="zh-CN"/>
        </w:rPr>
        <w:t>》（附件</w:t>
      </w: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报省级医疗保障部门。</w:t>
      </w:r>
    </w:p>
    <w:p>
      <w:pPr>
        <w:widowControl/>
        <w:shd w:val="clear" w:color="auto" w:fill="FFFFFF"/>
        <w:spacing w:line="590" w:lineRule="atLeast"/>
        <w:ind w:firstLine="640"/>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eastAsia="仿宋_GB2312"/>
          <w:sz w:val="32"/>
          <w:szCs w:val="32"/>
        </w:rPr>
        <w:t xml:space="preserve"> 省级医疗保障部门组织医学、药学、药物经济学、医保管理等方面专家，</w:t>
      </w:r>
      <w:r>
        <w:rPr>
          <w:rFonts w:hint="eastAsia" w:ascii="仿宋_GB2312" w:hAnsi="仿宋" w:eastAsia="仿宋_GB2312" w:cs="Times New Roman"/>
          <w:bCs/>
          <w:sz w:val="32"/>
          <w:szCs w:val="32"/>
        </w:rPr>
        <w:t>对设区市医疗保障部门</w:t>
      </w:r>
      <w:r>
        <w:rPr>
          <w:rFonts w:hint="eastAsia" w:ascii="仿宋_GB2312" w:hAnsi="仿宋" w:eastAsia="仿宋_GB2312" w:cs="Times New Roman"/>
          <w:bCs/>
          <w:sz w:val="32"/>
          <w:szCs w:val="32"/>
          <w:lang w:eastAsia="zh-CN"/>
        </w:rPr>
        <w:t>报送</w:t>
      </w:r>
      <w:r>
        <w:rPr>
          <w:rFonts w:hint="eastAsia" w:ascii="仿宋_GB2312" w:hAnsi="仿宋" w:eastAsia="仿宋_GB2312" w:cs="Times New Roman"/>
          <w:bCs/>
          <w:sz w:val="32"/>
          <w:szCs w:val="32"/>
        </w:rPr>
        <w:t>的中药饮片进行评审，</w:t>
      </w:r>
      <w:r>
        <w:rPr>
          <w:rFonts w:hint="eastAsia" w:ascii="仿宋_GB2312" w:eastAsia="仿宋_GB2312"/>
          <w:sz w:val="32"/>
          <w:szCs w:val="32"/>
        </w:rPr>
        <w:t>确定纳入基金支付范围的中药饮片</w:t>
      </w:r>
      <w:r>
        <w:rPr>
          <w:rFonts w:hint="default" w:ascii="仿宋_GB2312" w:eastAsia="仿宋_GB2312"/>
          <w:sz w:val="32"/>
          <w:szCs w:val="32"/>
          <w:lang w:val="en"/>
        </w:rPr>
        <w:t>,</w:t>
      </w:r>
      <w:r>
        <w:rPr>
          <w:rFonts w:hint="eastAsia" w:ascii="仿宋_GB2312" w:eastAsia="仿宋_GB2312"/>
          <w:sz w:val="32"/>
          <w:szCs w:val="32"/>
          <w:lang w:val="en" w:eastAsia="zh-CN"/>
        </w:rPr>
        <w:t>向国家医疗保障行政部门备案后，按规定程序发布实施。</w:t>
      </w:r>
    </w:p>
    <w:p>
      <w:pPr>
        <w:widowControl/>
        <w:shd w:val="clear" w:color="auto" w:fill="FFFFFF"/>
        <w:spacing w:line="590" w:lineRule="atLeast"/>
        <w:ind w:firstLine="640"/>
        <w:rPr>
          <w:rFonts w:hint="eastAsia" w:ascii="仿宋_GB2312" w:hAnsi="仿宋" w:eastAsia="仿宋_GB2312" w:cs="Times New Roman"/>
          <w:bCs/>
          <w:sz w:val="32"/>
          <w:szCs w:val="32"/>
        </w:rPr>
      </w:pPr>
      <w:r>
        <w:rPr>
          <w:rFonts w:hint="eastAsia" w:ascii="黑体" w:hAnsi="黑体" w:eastAsia="黑体" w:cs="Times New Roman"/>
          <w:bCs/>
          <w:sz w:val="32"/>
          <w:szCs w:val="32"/>
        </w:rPr>
        <w:t>第十条</w:t>
      </w:r>
      <w:r>
        <w:rPr>
          <w:rFonts w:hint="eastAsia" w:ascii="黑体" w:hAnsi="黑体" w:eastAsia="黑体" w:cs="Times New Roman"/>
          <w:bCs/>
          <w:sz w:val="32"/>
          <w:szCs w:val="32"/>
          <w:lang w:val="en-US" w:eastAsia="zh-CN"/>
        </w:rPr>
        <w:t xml:space="preserve"> </w:t>
      </w:r>
      <w:r>
        <w:rPr>
          <w:rFonts w:hint="eastAsia" w:ascii="仿宋_GB2312" w:hAnsi="仿宋" w:eastAsia="仿宋_GB2312" w:cs="Times New Roman"/>
          <w:bCs/>
          <w:sz w:val="32"/>
          <w:szCs w:val="32"/>
        </w:rPr>
        <w:t>经</w:t>
      </w:r>
      <w:r>
        <w:rPr>
          <w:rFonts w:hint="eastAsia" w:ascii="仿宋_GB2312" w:hAnsi="仿宋" w:eastAsia="仿宋_GB2312" w:cs="Times New Roman"/>
          <w:bCs/>
          <w:sz w:val="32"/>
          <w:szCs w:val="32"/>
          <w:lang w:eastAsia="zh-CN"/>
        </w:rPr>
        <w:t>山东省</w:t>
      </w:r>
      <w:r>
        <w:rPr>
          <w:rFonts w:hint="eastAsia" w:ascii="仿宋_GB2312" w:hAnsi="仿宋" w:eastAsia="仿宋_GB2312" w:cs="Times New Roman"/>
          <w:bCs/>
          <w:sz w:val="32"/>
          <w:szCs w:val="32"/>
        </w:rPr>
        <w:t>药品监督管理部门批准或备案，符合国家或省卫生健康部门制定的应对重大突发公共卫生事件诊疗方案的中药饮片，可按程序临时纳入基金支付范围。</w:t>
      </w:r>
    </w:p>
    <w:p>
      <w:pPr>
        <w:spacing w:line="360" w:lineRule="auto"/>
        <w:ind w:firstLine="640" w:firstLineChars="200"/>
        <w:rPr>
          <w:rFonts w:ascii="仿宋_GB2312" w:hAnsi="仿宋" w:eastAsia="仿宋_GB2312" w:cs="Times New Roman"/>
          <w:bCs/>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一</w:t>
      </w:r>
      <w:r>
        <w:rPr>
          <w:rFonts w:hint="eastAsia" w:ascii="黑体" w:hAnsi="黑体" w:eastAsia="黑体" w:cs="Times New Roman"/>
          <w:bCs/>
          <w:sz w:val="32"/>
          <w:szCs w:val="32"/>
        </w:rPr>
        <w:t xml:space="preserve">条 </w:t>
      </w:r>
      <w:r>
        <w:rPr>
          <w:rFonts w:hint="eastAsia" w:ascii="仿宋_GB2312" w:hAnsi="仿宋" w:eastAsia="仿宋_GB2312" w:cs="Times New Roman"/>
          <w:bCs/>
          <w:sz w:val="32"/>
          <w:szCs w:val="32"/>
        </w:rPr>
        <w:t>中药饮片有</w:t>
      </w:r>
      <w:r>
        <w:rPr>
          <w:rFonts w:hint="eastAsia" w:ascii="仿宋_GB2312" w:hAnsi="仿宋" w:eastAsia="仿宋_GB2312" w:cs="Times New Roman"/>
          <w:bCs/>
          <w:sz w:val="32"/>
          <w:szCs w:val="32"/>
          <w:lang w:eastAsia="zh-CN"/>
        </w:rPr>
        <w:t>下列</w:t>
      </w:r>
      <w:r>
        <w:rPr>
          <w:rFonts w:hint="eastAsia" w:ascii="仿宋_GB2312" w:hAnsi="仿宋" w:eastAsia="仿宋_GB2312" w:cs="Times New Roman"/>
          <w:bCs/>
          <w:sz w:val="32"/>
          <w:szCs w:val="32"/>
        </w:rPr>
        <w:t>情形</w:t>
      </w:r>
      <w:r>
        <w:rPr>
          <w:rFonts w:hint="eastAsia" w:ascii="仿宋_GB2312" w:hAnsi="仿宋" w:eastAsia="仿宋_GB2312" w:cs="Times New Roman"/>
          <w:bCs/>
          <w:sz w:val="32"/>
          <w:szCs w:val="32"/>
          <w:lang w:eastAsia="zh-CN"/>
        </w:rPr>
        <w:t>之一</w:t>
      </w:r>
      <w:r>
        <w:rPr>
          <w:rFonts w:hint="eastAsia" w:ascii="仿宋_GB2312" w:hAnsi="仿宋" w:eastAsia="仿宋_GB2312" w:cs="Times New Roman"/>
          <w:bCs/>
          <w:sz w:val="32"/>
          <w:szCs w:val="32"/>
        </w:rPr>
        <w:t>的，</w:t>
      </w:r>
      <w:r>
        <w:rPr>
          <w:rFonts w:hint="eastAsia" w:ascii="仿宋_GB2312" w:hAnsi="仿宋" w:eastAsia="仿宋_GB2312" w:cs="Times New Roman"/>
          <w:bCs/>
          <w:sz w:val="32"/>
          <w:szCs w:val="32"/>
          <w:lang w:eastAsia="zh-CN"/>
        </w:rPr>
        <w:t>按规定</w:t>
      </w:r>
      <w:r>
        <w:rPr>
          <w:rFonts w:hint="eastAsia" w:ascii="仿宋_GB2312" w:hAnsi="仿宋" w:eastAsia="仿宋_GB2312" w:cs="Times New Roman"/>
          <w:bCs/>
          <w:sz w:val="32"/>
          <w:szCs w:val="32"/>
        </w:rPr>
        <w:t>调出基金支付范围：</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（一）被药品监督管理部门停止执行药品标准和炮制规范的；</w:t>
      </w:r>
    </w:p>
    <w:p>
      <w:pPr>
        <w:widowControl/>
        <w:shd w:val="clear" w:color="auto" w:fill="FFFFFF"/>
        <w:spacing w:line="590" w:lineRule="atLeast"/>
        <w:ind w:firstLine="640"/>
        <w:rPr>
          <w:rFonts w:ascii="仿宋_GB2312" w:hAnsi="仿宋" w:eastAsia="仿宋_GB2312" w:cs="Times New Roman"/>
          <w:bCs/>
          <w:sz w:val="32"/>
          <w:szCs w:val="32"/>
        </w:rPr>
      </w:pPr>
      <w:r>
        <w:rPr>
          <w:rFonts w:hint="eastAsia" w:ascii="仿宋_GB2312" w:hAnsi="仿宋" w:eastAsia="仿宋_GB2312" w:cs="Times New Roman"/>
          <w:bCs/>
          <w:sz w:val="32"/>
          <w:szCs w:val="32"/>
        </w:rPr>
        <w:t>（二）通过弄虚作假等违规手段纳入基金支付范围的；</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（三）综合考虑临床价值、安全性、经济性、医保基金可支撑等因素，经评估认为不适宜纳入基金支付范围的；</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（四）被有关部门纳入负面</w:t>
      </w:r>
      <w:r>
        <w:rPr>
          <w:rFonts w:hint="eastAsia" w:ascii="仿宋_GB2312" w:hAnsi="仿宋" w:eastAsia="仿宋_GB2312" w:cs="Times New Roman"/>
          <w:bCs/>
          <w:sz w:val="32"/>
          <w:szCs w:val="32"/>
          <w:lang w:eastAsia="zh-CN"/>
        </w:rPr>
        <w:t>清单</w:t>
      </w:r>
      <w:r>
        <w:rPr>
          <w:rFonts w:hint="eastAsia" w:ascii="仿宋_GB2312" w:hAnsi="仿宋" w:eastAsia="仿宋_GB2312" w:cs="Times New Roman"/>
          <w:bCs/>
          <w:sz w:val="32"/>
          <w:szCs w:val="32"/>
        </w:rPr>
        <w:t>管理的；</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（五）国家规定</w:t>
      </w:r>
      <w:r>
        <w:rPr>
          <w:rFonts w:hint="eastAsia" w:ascii="仿宋_GB2312" w:hAnsi="仿宋" w:eastAsia="仿宋_GB2312" w:cs="Times New Roman"/>
          <w:bCs/>
          <w:sz w:val="32"/>
          <w:szCs w:val="32"/>
          <w:lang w:eastAsia="zh-CN"/>
        </w:rPr>
        <w:t>应当直接调出的</w:t>
      </w:r>
      <w:r>
        <w:rPr>
          <w:rFonts w:hint="eastAsia" w:ascii="仿宋_GB2312" w:hAnsi="仿宋" w:eastAsia="仿宋_GB2312" w:cs="Times New Roman"/>
          <w:bCs/>
          <w:sz w:val="32"/>
          <w:szCs w:val="32"/>
        </w:rPr>
        <w:t>其他情形。</w:t>
      </w:r>
    </w:p>
    <w:p>
      <w:pPr>
        <w:spacing w:line="360" w:lineRule="auto"/>
        <w:ind w:firstLine="640" w:firstLineChars="200"/>
        <w:rPr>
          <w:rFonts w:hint="eastAsia" w:ascii="仿宋_GB2312" w:hAnsi="仿宋" w:eastAsia="仿宋_GB2312" w:cs="Times New Roman"/>
          <w:bCs/>
          <w:sz w:val="32"/>
          <w:szCs w:val="32"/>
          <w:lang w:val="en-US" w:eastAsia="zh-CN"/>
        </w:rPr>
      </w:pPr>
      <w:r>
        <w:rPr>
          <w:rFonts w:hint="eastAsia" w:ascii="仿宋_GB2312" w:hAnsi="仿宋" w:eastAsia="仿宋_GB2312" w:cs="Times New Roman"/>
          <w:bCs/>
          <w:sz w:val="32"/>
          <w:szCs w:val="32"/>
          <w:lang w:val="en-US" w:eastAsia="zh-CN"/>
        </w:rPr>
        <w:t xml:space="preserve"> 对于已纳入基金支付范围的中药饮片，存在上述（一）（四）条情形的，定点医疗机构应当及时报告所在地设区市医疗保障部门。</w:t>
      </w:r>
    </w:p>
    <w:p>
      <w:pPr>
        <w:spacing w:line="360" w:lineRule="auto"/>
        <w:ind w:firstLine="640" w:firstLineChars="200"/>
        <w:rPr>
          <w:rFonts w:hint="default" w:ascii="仿宋_GB2312" w:hAnsi="仿宋" w:eastAsia="仿宋_GB2312" w:cs="Times New Roman"/>
          <w:bCs/>
          <w:sz w:val="32"/>
          <w:szCs w:val="32"/>
          <w:lang w:val="en-US" w:eastAsia="zh-CN"/>
        </w:rPr>
      </w:pPr>
    </w:p>
    <w:p>
      <w:pPr>
        <w:jc w:val="center"/>
        <w:rPr>
          <w:sz w:val="32"/>
          <w:szCs w:val="32"/>
          <w:highlight w:val="lightGray"/>
        </w:rPr>
      </w:pPr>
      <w:r>
        <w:rPr>
          <w:rFonts w:hint="eastAsia" w:ascii="黑体" w:hAnsi="黑体" w:eastAsia="黑体"/>
          <w:color w:val="000000" w:themeColor="text1"/>
          <w:sz w:val="32"/>
          <w:szCs w:val="32"/>
          <w14:textFill>
            <w14:solidFill>
              <w14:schemeClr w14:val="tx1"/>
            </w14:solidFill>
          </w14:textFill>
        </w:rPr>
        <w:t>第三章 医保支付和监督管理</w:t>
      </w:r>
    </w:p>
    <w:p>
      <w:pPr>
        <w:spacing w:line="360" w:lineRule="auto"/>
        <w:ind w:firstLine="640" w:firstLineChars="200"/>
        <w:jc w:val="center"/>
        <w:rPr>
          <w:rFonts w:ascii="黑体" w:hAnsi="黑体" w:eastAsia="黑体"/>
          <w:sz w:val="32"/>
          <w:szCs w:val="32"/>
          <w:highlight w:val="lightGray"/>
        </w:rPr>
      </w:pPr>
    </w:p>
    <w:p>
      <w:pPr>
        <w:ind w:firstLine="640" w:firstLineChars="200"/>
        <w:rPr>
          <w:rFonts w:hint="eastAsia" w:ascii="仿宋_GB2312" w:hAnsi="仿宋" w:eastAsia="仿宋_GB2312" w:cs="Times New Roman"/>
          <w:bCs/>
          <w:sz w:val="32"/>
          <w:szCs w:val="32"/>
          <w:u w:val="none"/>
          <w:lang w:eastAsia="zh-CN"/>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二</w:t>
      </w:r>
      <w:r>
        <w:rPr>
          <w:rFonts w:hint="eastAsia" w:ascii="黑体" w:hAnsi="黑体" w:eastAsia="黑体" w:cs="Times New Roman"/>
          <w:bCs/>
          <w:sz w:val="32"/>
          <w:szCs w:val="32"/>
        </w:rPr>
        <w:t>条</w:t>
      </w:r>
      <w:r>
        <w:rPr>
          <w:rFonts w:hint="eastAsia" w:ascii="仿宋_GB2312" w:hAnsi="仿宋" w:eastAsia="仿宋_GB2312" w:cs="Times New Roman"/>
          <w:bCs/>
          <w:sz w:val="32"/>
          <w:szCs w:val="32"/>
        </w:rPr>
        <w:t xml:space="preserve"> 纳入基金支付范围的中药饮片</w:t>
      </w:r>
      <w:r>
        <w:rPr>
          <w:rFonts w:hint="eastAsia" w:ascii="仿宋_GB2312" w:hAnsi="仿宋" w:eastAsia="仿宋_GB2312" w:cs="Times New Roman"/>
          <w:bCs/>
          <w:sz w:val="32"/>
          <w:szCs w:val="32"/>
          <w:lang w:eastAsia="zh-CN"/>
        </w:rPr>
        <w:t>原则上按照甲类药品管理</w:t>
      </w:r>
      <w:r>
        <w:rPr>
          <w:rFonts w:hint="eastAsia" w:ascii="仿宋_GB2312" w:hAnsi="仿宋" w:eastAsia="仿宋_GB2312" w:cs="Times New Roman"/>
          <w:bCs/>
          <w:strike w:val="0"/>
          <w:dstrike w:val="0"/>
          <w:sz w:val="32"/>
          <w:szCs w:val="32"/>
          <w:lang w:eastAsia="zh-CN"/>
        </w:rPr>
        <w:t>。</w:t>
      </w:r>
      <w:r>
        <w:rPr>
          <w:rFonts w:hint="eastAsia" w:ascii="仿宋_GB2312" w:hAnsi="仿宋" w:eastAsia="仿宋_GB2312" w:cs="Times New Roman"/>
          <w:bCs/>
          <w:sz w:val="32"/>
          <w:szCs w:val="32"/>
          <w:u w:val="none"/>
          <w:lang w:val="en-US" w:eastAsia="zh-CN"/>
        </w:rPr>
        <w:t>国家和省明确的单独使用时不予支付的中药饮片，</w:t>
      </w:r>
      <w:r>
        <w:rPr>
          <w:rFonts w:hint="eastAsia" w:ascii="仿宋_GB2312" w:hAnsi="仿宋" w:eastAsia="仿宋_GB2312" w:cs="Times New Roman"/>
          <w:bCs/>
          <w:sz w:val="32"/>
          <w:szCs w:val="32"/>
          <w:u w:val="none"/>
        </w:rPr>
        <w:t>单独使用</w:t>
      </w:r>
      <w:r>
        <w:rPr>
          <w:rFonts w:hint="eastAsia" w:ascii="仿宋_GB2312" w:hAnsi="仿宋" w:eastAsia="仿宋_GB2312" w:cs="Times New Roman"/>
          <w:bCs/>
          <w:sz w:val="32"/>
          <w:szCs w:val="32"/>
          <w:u w:val="none"/>
          <w:lang w:val="en-US" w:eastAsia="zh-CN"/>
        </w:rPr>
        <w:t>或</w:t>
      </w:r>
      <w:r>
        <w:rPr>
          <w:rFonts w:hint="eastAsia" w:ascii="仿宋_GB2312" w:hAnsi="仿宋" w:eastAsia="仿宋_GB2312" w:cs="Times New Roman"/>
          <w:bCs/>
          <w:sz w:val="32"/>
          <w:szCs w:val="32"/>
          <w:u w:val="none"/>
        </w:rPr>
        <w:t>全部由</w:t>
      </w:r>
      <w:r>
        <w:rPr>
          <w:rFonts w:hint="eastAsia" w:ascii="仿宋_GB2312" w:hAnsi="仿宋" w:eastAsia="仿宋_GB2312" w:cs="Times New Roman"/>
          <w:bCs/>
          <w:sz w:val="32"/>
          <w:szCs w:val="32"/>
          <w:u w:val="none"/>
          <w:lang w:val="en-US" w:eastAsia="zh-CN"/>
        </w:rPr>
        <w:t>此类</w:t>
      </w:r>
      <w:r>
        <w:rPr>
          <w:rFonts w:hint="eastAsia" w:ascii="仿宋_GB2312" w:hAnsi="仿宋" w:eastAsia="仿宋_GB2312" w:cs="Times New Roman"/>
          <w:bCs/>
          <w:sz w:val="32"/>
          <w:szCs w:val="32"/>
          <w:u w:val="none"/>
        </w:rPr>
        <w:t>饮片组成的处方</w:t>
      </w:r>
      <w:r>
        <w:rPr>
          <w:rFonts w:hint="eastAsia" w:ascii="仿宋_GB2312" w:hAnsi="仿宋" w:eastAsia="仿宋_GB2312" w:cs="Times New Roman"/>
          <w:bCs/>
          <w:sz w:val="32"/>
          <w:szCs w:val="32"/>
          <w:u w:val="none"/>
          <w:lang w:eastAsia="zh-CN"/>
        </w:rPr>
        <w:t>医保基金</w:t>
      </w:r>
      <w:r>
        <w:rPr>
          <w:rFonts w:hint="eastAsia" w:ascii="仿宋_GB2312" w:hAnsi="仿宋" w:eastAsia="仿宋_GB2312" w:cs="Times New Roman"/>
          <w:bCs/>
          <w:sz w:val="32"/>
          <w:szCs w:val="32"/>
          <w:u w:val="none"/>
          <w:lang w:val="en-US" w:eastAsia="zh-CN"/>
        </w:rPr>
        <w:t>均</w:t>
      </w:r>
      <w:r>
        <w:rPr>
          <w:rFonts w:hint="eastAsia" w:ascii="仿宋_GB2312" w:hAnsi="仿宋" w:eastAsia="仿宋_GB2312" w:cs="Times New Roman"/>
          <w:bCs/>
          <w:sz w:val="32"/>
          <w:szCs w:val="32"/>
          <w:u w:val="none"/>
        </w:rPr>
        <w:t>不予支付。</w:t>
      </w:r>
      <w:r>
        <w:rPr>
          <w:rFonts w:hint="eastAsia" w:ascii="仿宋_GB2312" w:hAnsi="仿宋" w:eastAsia="仿宋_GB2312" w:cs="Times New Roman"/>
          <w:bCs/>
          <w:sz w:val="32"/>
          <w:szCs w:val="32"/>
          <w:u w:val="none"/>
          <w:lang w:eastAsia="zh-CN"/>
        </w:rPr>
        <w:t>设区市医疗保障部门可充分考虑中药饮片成本、本地区医疗水平、经济发展水平、医保基金支撑能力、患者承受能力等因素，合理制定医保支付标准。</w:t>
      </w:r>
    </w:p>
    <w:p>
      <w:pPr>
        <w:spacing w:line="240" w:lineRule="auto"/>
        <w:ind w:firstLine="640" w:firstLineChars="200"/>
        <w:rPr>
          <w:rFonts w:ascii="仿宋_GB2312" w:hAnsi="仿宋" w:eastAsia="仿宋_GB2312" w:cs="Times New Roman"/>
          <w:bCs/>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三</w:t>
      </w:r>
      <w:r>
        <w:rPr>
          <w:rFonts w:hint="eastAsia" w:ascii="黑体" w:hAnsi="黑体" w:eastAsia="黑体" w:cs="Times New Roman"/>
          <w:bCs/>
          <w:sz w:val="32"/>
          <w:szCs w:val="32"/>
        </w:rPr>
        <w:t>条</w:t>
      </w:r>
      <w:r>
        <w:rPr>
          <w:rFonts w:hint="eastAsia" w:ascii="仿宋_GB2312" w:hAnsi="仿宋" w:eastAsia="仿宋_GB2312" w:cs="Times New Roman"/>
          <w:b/>
          <w:bCs/>
          <w:sz w:val="32"/>
          <w:szCs w:val="32"/>
        </w:rPr>
        <w:t xml:space="preserve"> </w:t>
      </w:r>
      <w:r>
        <w:rPr>
          <w:rFonts w:hint="eastAsia" w:ascii="仿宋_GB2312" w:eastAsia="仿宋_GB2312"/>
          <w:sz w:val="32"/>
          <w:szCs w:val="32"/>
        </w:rPr>
        <w:t>省级医疗保障部门及时向社会</w:t>
      </w:r>
      <w:r>
        <w:rPr>
          <w:rFonts w:hint="eastAsia" w:ascii="仿宋_GB2312" w:eastAsia="仿宋_GB2312"/>
          <w:sz w:val="32"/>
          <w:szCs w:val="32"/>
          <w:lang w:eastAsia="zh-CN"/>
        </w:rPr>
        <w:t>发布</w:t>
      </w:r>
      <w:r>
        <w:rPr>
          <w:rFonts w:hint="eastAsia" w:ascii="仿宋_GB2312" w:eastAsia="仿宋_GB2312"/>
          <w:sz w:val="32"/>
          <w:szCs w:val="32"/>
        </w:rPr>
        <w:t>《中药饮片目录》，并公布查询渠道。</w:t>
      </w:r>
      <w:r>
        <w:rPr>
          <w:rFonts w:hint="eastAsia" w:ascii="仿宋_GB2312" w:hAnsi="仿宋" w:eastAsia="仿宋_GB2312" w:cs="Times New Roman"/>
          <w:bCs/>
          <w:sz w:val="32"/>
          <w:szCs w:val="32"/>
          <w:lang w:eastAsia="zh-CN"/>
        </w:rPr>
        <w:t>各统筹区</w:t>
      </w:r>
      <w:r>
        <w:rPr>
          <w:rFonts w:hint="eastAsia" w:ascii="仿宋_GB2312" w:hAnsi="仿宋" w:eastAsia="仿宋_GB2312" w:cs="Times New Roman"/>
          <w:bCs/>
          <w:sz w:val="32"/>
          <w:szCs w:val="32"/>
        </w:rPr>
        <w:t>医疗保障</w:t>
      </w:r>
      <w:r>
        <w:rPr>
          <w:rFonts w:hint="eastAsia" w:ascii="仿宋_GB2312" w:hAnsi="仿宋" w:eastAsia="仿宋_GB2312" w:cs="Times New Roman"/>
          <w:bCs/>
          <w:sz w:val="32"/>
          <w:szCs w:val="32"/>
          <w:lang w:eastAsia="zh-CN"/>
        </w:rPr>
        <w:t>部门</w:t>
      </w:r>
      <w:r>
        <w:rPr>
          <w:rFonts w:hint="eastAsia" w:ascii="仿宋_GB2312" w:hAnsi="仿宋" w:eastAsia="仿宋_GB2312" w:cs="Times New Roman"/>
          <w:bCs/>
          <w:sz w:val="32"/>
          <w:szCs w:val="32"/>
        </w:rPr>
        <w:t>执行统一的国家</w:t>
      </w:r>
      <w:r>
        <w:rPr>
          <w:rFonts w:hint="eastAsia" w:ascii="仿宋_GB2312" w:hAnsi="仿宋" w:eastAsia="仿宋_GB2312" w:cs="Times New Roman"/>
          <w:bCs/>
          <w:sz w:val="32"/>
          <w:szCs w:val="32"/>
          <w:lang w:eastAsia="zh-CN"/>
        </w:rPr>
        <w:t>医疗保障中药饮片代码</w:t>
      </w:r>
      <w:r>
        <w:rPr>
          <w:rFonts w:hint="eastAsia" w:ascii="仿宋_GB2312" w:hAnsi="仿宋" w:eastAsia="仿宋_GB2312" w:cs="Times New Roman"/>
          <w:bCs/>
          <w:sz w:val="32"/>
          <w:szCs w:val="32"/>
        </w:rPr>
        <w:t>，及时做好数据信息维护工作。</w:t>
      </w:r>
    </w:p>
    <w:p>
      <w:pPr>
        <w:spacing w:line="360" w:lineRule="auto"/>
        <w:ind w:firstLine="640" w:firstLineChars="200"/>
        <w:rPr>
          <w:rFonts w:ascii="仿宋_GB2312" w:eastAsia="仿宋_GB2312"/>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四</w:t>
      </w:r>
      <w:r>
        <w:rPr>
          <w:rFonts w:hint="eastAsia" w:ascii="黑体" w:hAnsi="黑体" w:eastAsia="黑体" w:cs="Times New Roman"/>
          <w:bCs/>
          <w:sz w:val="32"/>
          <w:szCs w:val="32"/>
        </w:rPr>
        <w:t xml:space="preserve">条 </w:t>
      </w:r>
      <w:r>
        <w:rPr>
          <w:rFonts w:hint="eastAsia" w:ascii="仿宋_GB2312" w:eastAsia="仿宋_GB2312"/>
          <w:sz w:val="32"/>
          <w:szCs w:val="32"/>
        </w:rPr>
        <w:t>各级医疗保障部门加强对《中药饮片目录》</w:t>
      </w:r>
      <w:r>
        <w:rPr>
          <w:rFonts w:hint="eastAsia" w:ascii="仿宋_GB2312" w:eastAsia="仿宋_GB2312"/>
          <w:sz w:val="32"/>
          <w:szCs w:val="32"/>
          <w:lang w:eastAsia="zh-CN"/>
        </w:rPr>
        <w:t>执行</w:t>
      </w:r>
      <w:r>
        <w:rPr>
          <w:rFonts w:hint="eastAsia" w:ascii="仿宋_GB2312" w:eastAsia="仿宋_GB2312"/>
          <w:sz w:val="32"/>
          <w:szCs w:val="32"/>
        </w:rPr>
        <w:t>及医保基金使用情况的监督，</w:t>
      </w:r>
      <w:r>
        <w:rPr>
          <w:rFonts w:hint="eastAsia" w:ascii="仿宋_GB2312" w:eastAsia="仿宋_GB2312"/>
          <w:sz w:val="32"/>
          <w:szCs w:val="32"/>
          <w:lang w:eastAsia="zh-CN"/>
        </w:rPr>
        <w:t>完善</w:t>
      </w:r>
      <w:r>
        <w:rPr>
          <w:rFonts w:hint="eastAsia" w:ascii="仿宋_GB2312" w:eastAsia="仿宋_GB2312"/>
          <w:sz w:val="32"/>
          <w:szCs w:val="32"/>
        </w:rPr>
        <w:t>定点医药机构协议管理，强化费用审核，</w:t>
      </w:r>
      <w:r>
        <w:rPr>
          <w:rFonts w:hint="eastAsia" w:ascii="仿宋_GB2312" w:eastAsia="仿宋_GB2312"/>
          <w:sz w:val="32"/>
          <w:szCs w:val="32"/>
          <w:lang w:eastAsia="zh-CN"/>
        </w:rPr>
        <w:t>做好</w:t>
      </w:r>
      <w:r>
        <w:rPr>
          <w:rFonts w:hint="eastAsia" w:ascii="仿宋_GB2312" w:eastAsia="仿宋_GB2312"/>
          <w:sz w:val="32"/>
          <w:szCs w:val="32"/>
        </w:rPr>
        <w:t>医保基金支出及价格监测分析，提升医保用药规范性、安全性、有效性和经济性。执行中遇到重大问题，及时报告省级医疗保障部门。</w:t>
      </w:r>
    </w:p>
    <w:p>
      <w:pPr>
        <w:pStyle w:val="7"/>
        <w:shd w:val="clear" w:color="auto" w:fill="FFFFFF"/>
        <w:spacing w:before="0" w:beforeAutospacing="0" w:after="0" w:afterAutospacing="0" w:line="480" w:lineRule="atLeast"/>
        <w:ind w:firstLine="640"/>
        <w:jc w:val="both"/>
        <w:rPr>
          <w:rFonts w:ascii="仿宋_GB2312" w:hAnsi="仿宋" w:eastAsia="仿宋_GB2312" w:cs="Times New Roman"/>
          <w:bCs/>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五</w:t>
      </w:r>
      <w:r>
        <w:rPr>
          <w:rFonts w:hint="eastAsia" w:ascii="黑体" w:hAnsi="黑体" w:eastAsia="黑体" w:cs="Times New Roman"/>
          <w:bCs/>
          <w:sz w:val="32"/>
          <w:szCs w:val="32"/>
        </w:rPr>
        <w:t>条</w:t>
      </w:r>
      <w:r>
        <w:rPr>
          <w:rFonts w:hint="eastAsia" w:ascii="仿宋_GB2312" w:hAnsi="仿宋" w:eastAsia="仿宋_GB2312" w:cs="Times New Roman"/>
          <w:b/>
          <w:bCs/>
          <w:sz w:val="32"/>
          <w:szCs w:val="32"/>
        </w:rPr>
        <w:t xml:space="preserve"> </w:t>
      </w:r>
      <w:r>
        <w:rPr>
          <w:rFonts w:hint="eastAsia" w:ascii="仿宋_GB2312" w:hAnsi="仿宋" w:eastAsia="仿宋_GB2312" w:cs="Times New Roman"/>
          <w:bCs/>
          <w:sz w:val="32"/>
          <w:szCs w:val="32"/>
        </w:rPr>
        <w:t>定点医药机构应健全组织机构，完善内部制度规范，建立健全中药饮片“进、销、存”全流程记录和管理制度，确保用药安全合理。</w:t>
      </w:r>
    </w:p>
    <w:p>
      <w:pPr>
        <w:pStyle w:val="7"/>
        <w:shd w:val="clear" w:color="auto" w:fill="FFFFFF"/>
        <w:spacing w:before="0" w:beforeAutospacing="0" w:after="0" w:afterAutospacing="0" w:line="480" w:lineRule="atLeast"/>
        <w:ind w:firstLine="640"/>
        <w:jc w:val="both"/>
        <w:rPr>
          <w:rFonts w:ascii="仿宋_GB2312" w:hAnsi="仿宋" w:eastAsia="仿宋_GB2312" w:cs="Times New Roman"/>
          <w:bCs/>
          <w:sz w:val="32"/>
          <w:szCs w:val="32"/>
        </w:rPr>
      </w:pPr>
    </w:p>
    <w:p>
      <w:pPr>
        <w:pStyle w:val="7"/>
        <w:shd w:val="clear" w:color="auto" w:fill="FFFFFF"/>
        <w:spacing w:before="0" w:beforeAutospacing="0" w:after="0" w:afterAutospacing="0" w:line="480" w:lineRule="atLeast"/>
        <w:ind w:firstLine="0"/>
        <w:jc w:val="center"/>
        <w:rPr>
          <w:rFonts w:ascii="黑体" w:hAnsi="黑体" w:eastAsia="黑体" w:cstheme="minorBidi"/>
          <w:color w:val="000000" w:themeColor="text1"/>
          <w:kern w:val="2"/>
          <w:sz w:val="32"/>
          <w:szCs w:val="32"/>
          <w14:textFill>
            <w14:solidFill>
              <w14:schemeClr w14:val="tx1"/>
            </w14:solidFill>
          </w14:textFill>
        </w:rPr>
      </w:pPr>
      <w:r>
        <w:rPr>
          <w:rFonts w:hint="eastAsia" w:ascii="黑体" w:hAnsi="黑体" w:eastAsia="黑体" w:cstheme="minorBidi"/>
          <w:color w:val="000000" w:themeColor="text1"/>
          <w:kern w:val="2"/>
          <w:sz w:val="32"/>
          <w:szCs w:val="32"/>
          <w14:textFill>
            <w14:solidFill>
              <w14:schemeClr w14:val="tx1"/>
            </w14:solidFill>
          </w14:textFill>
        </w:rPr>
        <w:t>第</w:t>
      </w:r>
      <w:r>
        <w:rPr>
          <w:rFonts w:hint="eastAsia" w:ascii="黑体" w:hAnsi="黑体" w:eastAsia="黑体" w:cstheme="minorBidi"/>
          <w:color w:val="000000" w:themeColor="text1"/>
          <w:kern w:val="2"/>
          <w:sz w:val="32"/>
          <w:szCs w:val="32"/>
          <w:lang w:eastAsia="zh-CN"/>
          <w14:textFill>
            <w14:solidFill>
              <w14:schemeClr w14:val="tx1"/>
            </w14:solidFill>
          </w14:textFill>
        </w:rPr>
        <w:t>四</w:t>
      </w:r>
      <w:r>
        <w:rPr>
          <w:rFonts w:hint="eastAsia" w:ascii="黑体" w:hAnsi="黑体" w:eastAsia="黑体" w:cstheme="minorBidi"/>
          <w:color w:val="000000" w:themeColor="text1"/>
          <w:kern w:val="2"/>
          <w:sz w:val="32"/>
          <w:szCs w:val="32"/>
          <w14:textFill>
            <w14:solidFill>
              <w14:schemeClr w14:val="tx1"/>
            </w14:solidFill>
          </w14:textFill>
        </w:rPr>
        <w:t>章 附 则</w:t>
      </w:r>
    </w:p>
    <w:p>
      <w:pPr>
        <w:pStyle w:val="7"/>
        <w:shd w:val="clear" w:color="auto" w:fill="FFFFFF"/>
        <w:spacing w:before="0" w:beforeAutospacing="0" w:after="0" w:afterAutospacing="0" w:line="480" w:lineRule="atLeast"/>
        <w:ind w:firstLine="640"/>
        <w:jc w:val="both"/>
        <w:rPr>
          <w:rFonts w:hint="eastAsia" w:ascii="黑体" w:hAnsi="黑体" w:eastAsia="黑体" w:cs="Times New Roman"/>
          <w:bCs/>
          <w:sz w:val="32"/>
          <w:szCs w:val="32"/>
        </w:rPr>
      </w:pPr>
    </w:p>
    <w:p>
      <w:pPr>
        <w:pStyle w:val="7"/>
        <w:shd w:val="clear" w:color="auto" w:fill="FFFFFF"/>
        <w:spacing w:before="0" w:beforeAutospacing="0" w:after="0" w:afterAutospacing="0" w:line="560" w:lineRule="exact"/>
        <w:ind w:firstLine="640"/>
        <w:jc w:val="both"/>
        <w:rPr>
          <w:rFonts w:hint="eastAsia" w:ascii="仿宋_GB2312" w:eastAsia="仿宋_GB2312" w:hAnsiTheme="minorHAnsi" w:cstheme="minorBidi"/>
          <w:kern w:val="2"/>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六</w:t>
      </w:r>
      <w:r>
        <w:rPr>
          <w:rFonts w:hint="eastAsia" w:ascii="黑体" w:hAnsi="黑体" w:eastAsia="黑体" w:cs="Times New Roman"/>
          <w:bCs/>
          <w:sz w:val="32"/>
          <w:szCs w:val="32"/>
        </w:rPr>
        <w:t xml:space="preserve">条 </w:t>
      </w:r>
      <w:r>
        <w:rPr>
          <w:rFonts w:hint="eastAsia" w:ascii="仿宋_GB2312" w:eastAsia="仿宋_GB2312" w:hAnsiTheme="minorHAnsi" w:cstheme="minorBidi"/>
          <w:kern w:val="2"/>
          <w:sz w:val="32"/>
          <w:szCs w:val="32"/>
        </w:rPr>
        <w:t>已纳入</w:t>
      </w:r>
      <w:r>
        <w:rPr>
          <w:rFonts w:hint="eastAsia" w:ascii="仿宋_GB2312" w:eastAsia="仿宋_GB2312" w:hAnsiTheme="minorHAnsi" w:cstheme="minorBidi"/>
          <w:kern w:val="2"/>
          <w:sz w:val="32"/>
          <w:szCs w:val="32"/>
          <w:lang w:eastAsia="zh-CN"/>
        </w:rPr>
        <w:t>国家医保药品目录</w:t>
      </w:r>
      <w:r>
        <w:rPr>
          <w:rFonts w:hint="eastAsia" w:ascii="仿宋_GB2312" w:eastAsia="仿宋_GB2312" w:hAnsiTheme="minorHAnsi" w:cstheme="minorBidi"/>
          <w:kern w:val="2"/>
          <w:sz w:val="32"/>
          <w:szCs w:val="32"/>
        </w:rPr>
        <w:t>的中药饮片，直接纳入《中药饮片目录》。</w:t>
      </w:r>
    </w:p>
    <w:p>
      <w:pPr>
        <w:pStyle w:val="7"/>
        <w:shd w:val="clear" w:color="auto" w:fill="FFFFFF"/>
        <w:spacing w:before="0" w:beforeAutospacing="0" w:after="0" w:afterAutospacing="0" w:line="560" w:lineRule="exact"/>
        <w:ind w:firstLine="640"/>
        <w:jc w:val="both"/>
        <w:rPr>
          <w:rFonts w:hint="eastAsia" w:ascii="仿宋_GB2312" w:eastAsia="仿宋_GB2312" w:hAnsiTheme="minorHAnsi" w:cstheme="minorBidi"/>
          <w:bCs w:val="0"/>
          <w:kern w:val="2"/>
          <w:sz w:val="32"/>
          <w:szCs w:val="32"/>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七</w:t>
      </w:r>
      <w:r>
        <w:rPr>
          <w:rFonts w:hint="eastAsia" w:ascii="黑体" w:hAnsi="黑体" w:eastAsia="黑体" w:cs="Times New Roman"/>
          <w:bCs/>
          <w:sz w:val="32"/>
          <w:szCs w:val="32"/>
        </w:rPr>
        <w:t xml:space="preserve">条 </w:t>
      </w:r>
      <w:r>
        <w:rPr>
          <w:rFonts w:hint="eastAsia" w:ascii="仿宋_GB2312" w:eastAsia="仿宋_GB2312" w:hAnsiTheme="minorHAnsi" w:cstheme="minorBidi"/>
          <w:bCs w:val="0"/>
          <w:kern w:val="2"/>
          <w:sz w:val="32"/>
          <w:szCs w:val="32"/>
        </w:rPr>
        <w:t>本办法</w:t>
      </w:r>
      <w:r>
        <w:rPr>
          <w:rFonts w:hint="eastAsia" w:ascii="仿宋_GB2312" w:eastAsia="仿宋_GB2312" w:hAnsiTheme="minorHAnsi" w:cstheme="minorBidi"/>
          <w:bCs w:val="0"/>
          <w:kern w:val="2"/>
          <w:sz w:val="32"/>
          <w:szCs w:val="32"/>
          <w:lang w:eastAsia="zh-CN"/>
        </w:rPr>
        <w:t>施行</w:t>
      </w:r>
      <w:r>
        <w:rPr>
          <w:rFonts w:hint="eastAsia" w:ascii="仿宋_GB2312" w:eastAsia="仿宋_GB2312" w:hAnsiTheme="minorHAnsi" w:cstheme="minorBidi"/>
          <w:bCs w:val="0"/>
          <w:kern w:val="2"/>
          <w:sz w:val="32"/>
          <w:szCs w:val="32"/>
        </w:rPr>
        <w:t>前，已纳入统筹区基本医疗保险支付范围的中药饮片，原则上由</w:t>
      </w:r>
      <w:r>
        <w:rPr>
          <w:rFonts w:hint="eastAsia" w:ascii="仿宋_GB2312" w:eastAsia="仿宋_GB2312" w:hAnsiTheme="minorHAnsi" w:cstheme="minorBidi"/>
          <w:bCs w:val="0"/>
          <w:kern w:val="2"/>
          <w:sz w:val="32"/>
          <w:szCs w:val="32"/>
          <w:lang w:val="en-US" w:eastAsia="zh-CN"/>
        </w:rPr>
        <w:t>各统筹区</w:t>
      </w:r>
      <w:r>
        <w:rPr>
          <w:rFonts w:hint="eastAsia" w:ascii="仿宋_GB2312" w:eastAsia="仿宋_GB2312" w:hAnsiTheme="minorHAnsi" w:cstheme="minorBidi"/>
          <w:bCs w:val="0"/>
          <w:kern w:val="2"/>
          <w:sz w:val="32"/>
          <w:szCs w:val="32"/>
        </w:rPr>
        <w:t>医疗保障部门参照本办法，按照从简原则</w:t>
      </w:r>
      <w:r>
        <w:rPr>
          <w:rFonts w:hint="eastAsia" w:ascii="仿宋_GB2312" w:eastAsia="仿宋_GB2312" w:hAnsiTheme="minorHAnsi" w:cstheme="minorBidi"/>
          <w:bCs w:val="0"/>
          <w:kern w:val="2"/>
          <w:sz w:val="32"/>
          <w:szCs w:val="32"/>
          <w:lang w:eastAsia="zh-CN"/>
        </w:rPr>
        <w:t>进行初审</w:t>
      </w:r>
      <w:r>
        <w:rPr>
          <w:rFonts w:hint="eastAsia" w:ascii="仿宋_GB2312" w:eastAsia="仿宋_GB2312" w:hAnsiTheme="minorHAnsi" w:cstheme="minorBidi"/>
          <w:bCs w:val="0"/>
          <w:kern w:val="2"/>
          <w:sz w:val="32"/>
          <w:szCs w:val="32"/>
        </w:rPr>
        <w:t>，确定</w:t>
      </w:r>
      <w:r>
        <w:rPr>
          <w:rFonts w:hint="eastAsia" w:ascii="仿宋_GB2312" w:eastAsia="仿宋_GB2312" w:hAnsiTheme="minorHAnsi" w:cstheme="minorBidi"/>
          <w:bCs w:val="0"/>
          <w:kern w:val="2"/>
          <w:sz w:val="32"/>
          <w:szCs w:val="32"/>
          <w:lang w:eastAsia="zh-CN"/>
        </w:rPr>
        <w:t>推荐</w:t>
      </w:r>
      <w:r>
        <w:rPr>
          <w:rFonts w:hint="eastAsia" w:ascii="仿宋_GB2312" w:eastAsia="仿宋_GB2312" w:hAnsiTheme="minorHAnsi" w:cstheme="minorBidi"/>
          <w:bCs w:val="0"/>
          <w:kern w:val="2"/>
          <w:sz w:val="32"/>
          <w:szCs w:val="32"/>
        </w:rPr>
        <w:t>纳入基金支付范围</w:t>
      </w:r>
      <w:r>
        <w:rPr>
          <w:rFonts w:hint="eastAsia" w:ascii="仿宋_GB2312" w:eastAsia="仿宋_GB2312" w:hAnsiTheme="minorHAnsi" w:cstheme="minorBidi"/>
          <w:bCs w:val="0"/>
          <w:kern w:val="2"/>
          <w:sz w:val="32"/>
          <w:szCs w:val="32"/>
          <w:lang w:eastAsia="zh-CN"/>
        </w:rPr>
        <w:t>的中药饮片名单</w:t>
      </w:r>
      <w:r>
        <w:rPr>
          <w:rFonts w:hint="eastAsia" w:ascii="仿宋_GB2312" w:eastAsia="仿宋_GB2312" w:hAnsiTheme="minorHAnsi" w:cstheme="minorBidi"/>
          <w:bCs w:val="0"/>
          <w:kern w:val="2"/>
          <w:sz w:val="32"/>
          <w:szCs w:val="32"/>
        </w:rPr>
        <w:t>，报省级医疗保障部门</w:t>
      </w:r>
      <w:r>
        <w:rPr>
          <w:rFonts w:hint="eastAsia" w:ascii="仿宋_GB2312" w:eastAsia="仿宋_GB2312" w:hAnsiTheme="minorHAnsi" w:cstheme="minorBidi"/>
          <w:bCs w:val="0"/>
          <w:kern w:val="2"/>
          <w:sz w:val="32"/>
          <w:szCs w:val="32"/>
          <w:lang w:eastAsia="zh-CN"/>
        </w:rPr>
        <w:t>审核</w:t>
      </w:r>
      <w:r>
        <w:rPr>
          <w:rFonts w:hint="eastAsia" w:ascii="仿宋_GB2312" w:eastAsia="仿宋_GB2312" w:hAnsiTheme="minorHAnsi" w:cstheme="minorBidi"/>
          <w:bCs w:val="0"/>
          <w:kern w:val="2"/>
          <w:sz w:val="32"/>
          <w:szCs w:val="32"/>
        </w:rPr>
        <w:t>，经国家医保局备案通过后按规定发布。</w:t>
      </w:r>
    </w:p>
    <w:p>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黑体" w:hAnsi="黑体" w:eastAsia="黑体" w:cs="Times New Roman"/>
          <w:bCs/>
          <w:sz w:val="32"/>
          <w:szCs w:val="32"/>
        </w:rPr>
        <w:t>第十</w:t>
      </w:r>
      <w:r>
        <w:rPr>
          <w:rFonts w:hint="eastAsia" w:ascii="黑体" w:hAnsi="黑体" w:eastAsia="黑体" w:cs="Times New Roman"/>
          <w:bCs/>
          <w:sz w:val="32"/>
          <w:szCs w:val="32"/>
          <w:lang w:eastAsia="zh-CN"/>
        </w:rPr>
        <w:t>八</w:t>
      </w:r>
      <w:r>
        <w:rPr>
          <w:rFonts w:hint="eastAsia" w:ascii="黑体" w:hAnsi="黑体" w:eastAsia="黑体" w:cs="Times New Roman"/>
          <w:bCs/>
          <w:sz w:val="32"/>
          <w:szCs w:val="32"/>
        </w:rPr>
        <w:t>条</w:t>
      </w:r>
      <w:r>
        <w:rPr>
          <w:rFonts w:hint="eastAsia" w:ascii="仿宋_GB2312" w:hAnsi="仿宋" w:eastAsia="仿宋_GB2312" w:cs="Times New Roman"/>
          <w:bCs/>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本办法由山东省医疗保障局负责解释，自</w:t>
      </w:r>
      <w:r>
        <w:rPr>
          <w:rFonts w:ascii="仿宋_GB2312" w:eastAsia="仿宋_GB2312"/>
          <w:color w:val="000000" w:themeColor="text1"/>
          <w:sz w:val="32"/>
          <w:szCs w:val="32"/>
          <w14:textFill>
            <w14:solidFill>
              <w14:schemeClr w14:val="tx1"/>
            </w14:solidFill>
          </w14:textFill>
        </w:rPr>
        <w:t>2023年 月 日起施行。</w:t>
      </w:r>
      <w:r>
        <w:rPr>
          <w:rFonts w:hint="eastAsia" w:ascii="仿宋_GB2312" w:eastAsia="仿宋_GB2312"/>
          <w:color w:val="000000" w:themeColor="text1"/>
          <w:sz w:val="32"/>
          <w:szCs w:val="32"/>
          <w:lang w:eastAsia="zh-CN"/>
          <w14:textFill>
            <w14:solidFill>
              <w14:schemeClr w14:val="tx1"/>
            </w14:solidFill>
          </w14:textFill>
        </w:rPr>
        <w:t>执行期间如国家相关政策调整，从其规定。</w:t>
      </w:r>
    </w:p>
    <w:p>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560" w:lineRule="exact"/>
        <w:ind w:left="1678" w:leftChars="342" w:hanging="960" w:hangingChars="3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bookmarkStart w:id="0" w:name="_Hlk145323310"/>
      <w:r>
        <w:rPr>
          <w:rFonts w:hint="eastAsia" w:ascii="仿宋_GB2312" w:eastAsia="仿宋_GB2312"/>
          <w:sz w:val="32"/>
          <w:szCs w:val="32"/>
          <w:lang w:eastAsia="zh-CN"/>
        </w:rPr>
        <w:t>拟</w:t>
      </w:r>
      <w:r>
        <w:rPr>
          <w:rFonts w:hint="eastAsia" w:ascii="仿宋_GB2312" w:eastAsia="仿宋_GB2312"/>
          <w:color w:val="000000" w:themeColor="text1"/>
          <w:sz w:val="32"/>
          <w:szCs w:val="32"/>
          <w14:textFill>
            <w14:solidFill>
              <w14:schemeClr w14:val="tx1"/>
            </w14:solidFill>
          </w14:textFill>
        </w:rPr>
        <w:t>纳入基本医疗保险支付范围中药饮片申报表</w:t>
      </w:r>
      <w:bookmarkEnd w:id="0"/>
    </w:p>
    <w:p>
      <w:pPr>
        <w:spacing w:line="560" w:lineRule="exact"/>
        <w:ind w:left="1916" w:leftChars="760" w:hanging="320" w:hangingChars="1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拟</w:t>
      </w:r>
      <w:r>
        <w:rPr>
          <w:rFonts w:hint="eastAsia" w:ascii="仿宋_GB2312" w:eastAsia="仿宋_GB2312"/>
          <w:color w:val="000000" w:themeColor="text1"/>
          <w:sz w:val="32"/>
          <w:szCs w:val="32"/>
          <w14:textFill>
            <w14:solidFill>
              <w14:schemeClr w14:val="tx1"/>
            </w14:solidFill>
          </w14:textFill>
        </w:rPr>
        <w:t>纳入基本医疗保险支付范围的中药饮片推荐名单</w:t>
      </w:r>
    </w:p>
    <w:p>
      <w:pPr>
        <w:ind w:firstLine="1600" w:firstLineChars="500"/>
        <w:rPr>
          <w:rFonts w:ascii="仿宋_GB2312" w:eastAsia="仿宋_GB2312"/>
          <w:sz w:val="32"/>
          <w:szCs w:val="32"/>
        </w:rPr>
      </w:pPr>
    </w:p>
    <w:p>
      <w:pPr>
        <w:ind w:firstLine="640" w:firstLineChars="200"/>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ascii="仿宋_GB2312" w:eastAsia="仿宋_GB2312"/>
          <w:sz w:val="32"/>
          <w:szCs w:val="32"/>
        </w:rPr>
        <w:t xml:space="preserve">  </w:t>
      </w:r>
    </w:p>
    <w:p>
      <w:pPr>
        <w:rPr>
          <w:rFonts w:hint="eastAsia" w:ascii="黑体" w:hAnsi="黑体" w:eastAsia="黑体" w:cs="黑体"/>
          <w:sz w:val="32"/>
          <w:szCs w:val="32"/>
        </w:rPr>
      </w:pPr>
      <w:r>
        <w:rPr>
          <w:rFonts w:hint="eastAsia" w:ascii="黑体" w:hAnsi="黑体" w:eastAsia="黑体" w:cs="黑体"/>
          <w:sz w:val="32"/>
          <w:szCs w:val="32"/>
        </w:rPr>
        <w:t>附件1</w:t>
      </w:r>
    </w:p>
    <w:p>
      <w:pPr>
        <w:pStyle w:val="3"/>
        <w:spacing w:line="600" w:lineRule="exact"/>
        <w:jc w:val="center"/>
        <w:rPr>
          <w:rFonts w:hint="eastAsia" w:ascii="微软雅黑" w:hAnsi="微软雅黑" w:eastAsia="微软雅黑" w:cs="微软雅黑"/>
          <w:sz w:val="44"/>
          <w:szCs w:val="36"/>
          <w:lang w:eastAsia="zh-CN"/>
        </w:rPr>
      </w:pPr>
      <w:r>
        <w:rPr>
          <w:rFonts w:hint="eastAsia" w:ascii="微软雅黑" w:hAnsi="微软雅黑" w:eastAsia="微软雅黑" w:cs="微软雅黑"/>
          <w:sz w:val="44"/>
          <w:szCs w:val="36"/>
          <w:lang w:eastAsia="zh-CN"/>
        </w:rPr>
        <w:t>拟</w:t>
      </w:r>
      <w:r>
        <w:rPr>
          <w:rFonts w:hint="eastAsia" w:ascii="微软雅黑" w:hAnsi="微软雅黑" w:eastAsia="微软雅黑" w:cs="微软雅黑"/>
          <w:sz w:val="44"/>
          <w:szCs w:val="36"/>
        </w:rPr>
        <w:t>纳入基本医疗保险支付范围中药饮片申报表</w:t>
      </w:r>
    </w:p>
    <w:p>
      <w:pPr>
        <w:pStyle w:val="3"/>
        <w:spacing w:line="600" w:lineRule="exact"/>
        <w:rPr>
          <w:rFonts w:hint="eastAsia" w:ascii="仿宋_GB2312" w:eastAsia="仿宋_GB2312"/>
          <w:sz w:val="28"/>
          <w:szCs w:val="28"/>
          <w:lang w:val="en-US" w:eastAsia="zh-CN"/>
        </w:rPr>
      </w:pPr>
    </w:p>
    <w:p>
      <w:pPr>
        <w:pStyle w:val="3"/>
        <w:spacing w:line="600" w:lineRule="exact"/>
        <w:rPr>
          <w:rFonts w:ascii="黑体" w:hAnsi="黑体" w:eastAsia="黑体"/>
          <w:bCs/>
          <w:sz w:val="32"/>
          <w:szCs w:val="32"/>
        </w:rPr>
      </w:pPr>
      <w:r>
        <w:rPr>
          <w:rFonts w:hint="eastAsia" w:ascii="仿宋_GB2312" w:eastAsia="仿宋_GB2312"/>
          <w:sz w:val="28"/>
          <w:szCs w:val="28"/>
          <w:lang w:val="en-US" w:eastAsia="zh-CN"/>
        </w:rPr>
        <w:t>医疗机构名称</w:t>
      </w:r>
      <w:r>
        <w:rPr>
          <w:rFonts w:hint="eastAsia" w:ascii="仿宋_GB2312" w:eastAsia="仿宋_GB2312"/>
          <w:sz w:val="28"/>
          <w:szCs w:val="28"/>
        </w:rPr>
        <w:t xml:space="preserve">（加盖公章）：                                </w:t>
      </w:r>
    </w:p>
    <w:tbl>
      <w:tblPr>
        <w:tblStyle w:val="9"/>
        <w:tblpPr w:leftFromText="180" w:rightFromText="180" w:vertAnchor="text" w:horzAnchor="page" w:tblpX="1060" w:tblpY="135"/>
        <w:tblOverlap w:val="never"/>
        <w:tblW w:w="14498" w:type="dxa"/>
        <w:tblInd w:w="0" w:type="dxa"/>
        <w:tblLayout w:type="autofit"/>
        <w:tblCellMar>
          <w:top w:w="0" w:type="dxa"/>
          <w:left w:w="0" w:type="dxa"/>
          <w:bottom w:w="0" w:type="dxa"/>
          <w:right w:w="0" w:type="dxa"/>
        </w:tblCellMar>
      </w:tblPr>
      <w:tblGrid>
        <w:gridCol w:w="548"/>
        <w:gridCol w:w="1423"/>
        <w:gridCol w:w="1018"/>
        <w:gridCol w:w="1026"/>
        <w:gridCol w:w="1140"/>
        <w:gridCol w:w="1080"/>
        <w:gridCol w:w="1108"/>
        <w:gridCol w:w="899"/>
        <w:gridCol w:w="898"/>
        <w:gridCol w:w="772"/>
        <w:gridCol w:w="910"/>
        <w:gridCol w:w="886"/>
        <w:gridCol w:w="1389"/>
        <w:gridCol w:w="1401"/>
      </w:tblGrid>
      <w:tr>
        <w:tblPrEx>
          <w:tblCellMar>
            <w:top w:w="0" w:type="dxa"/>
            <w:left w:w="0" w:type="dxa"/>
            <w:bottom w:w="0" w:type="dxa"/>
            <w:right w:w="0" w:type="dxa"/>
          </w:tblCellMar>
        </w:tblPrEx>
        <w:trPr>
          <w:trHeight w:val="820" w:hRule="atLeast"/>
        </w:trPr>
        <w:tc>
          <w:tcPr>
            <w:tcW w:w="548" w:type="dxa"/>
            <w:tcBorders>
              <w:top w:val="single" w:color="000000" w:sz="8" w:space="0"/>
              <w:left w:val="single" w:color="000000" w:sz="8" w:space="0"/>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序号</w:t>
            </w:r>
          </w:p>
        </w:tc>
        <w:tc>
          <w:tcPr>
            <w:tcW w:w="1423"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国家医保</w:t>
            </w:r>
            <w:r>
              <w:rPr>
                <w:rFonts w:hint="eastAsia" w:ascii="仿宋_GB2312" w:eastAsia="仿宋_GB2312"/>
                <w:sz w:val="24"/>
                <w:szCs w:val="24"/>
                <w:lang w:eastAsia="zh-CN"/>
              </w:rPr>
              <w:t>代码</w:t>
            </w:r>
          </w:p>
        </w:tc>
        <w:tc>
          <w:tcPr>
            <w:tcW w:w="1018"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中药饮片名称</w:t>
            </w:r>
          </w:p>
        </w:tc>
        <w:tc>
          <w:tcPr>
            <w:tcW w:w="1026"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hint="eastAsia" w:ascii="仿宋_GB2312" w:eastAsia="仿宋_GB2312"/>
                <w:sz w:val="24"/>
                <w:szCs w:val="24"/>
                <w:lang w:val="en-US" w:eastAsia="zh-CN"/>
              </w:rPr>
            </w:pPr>
            <w:r>
              <w:rPr>
                <w:rFonts w:hint="eastAsia" w:ascii="仿宋_GB2312" w:eastAsia="仿宋_GB2312"/>
                <w:sz w:val="24"/>
                <w:szCs w:val="24"/>
                <w:lang w:val="en-US" w:eastAsia="zh-CN"/>
              </w:rPr>
              <w:t>生产企业</w:t>
            </w:r>
          </w:p>
        </w:tc>
        <w:tc>
          <w:tcPr>
            <w:tcW w:w="1140"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药材名称</w:t>
            </w:r>
          </w:p>
        </w:tc>
        <w:tc>
          <w:tcPr>
            <w:tcW w:w="1080"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炮制方法</w:t>
            </w:r>
          </w:p>
        </w:tc>
        <w:tc>
          <w:tcPr>
            <w:tcW w:w="1108"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功效分类</w:t>
            </w:r>
          </w:p>
        </w:tc>
        <w:tc>
          <w:tcPr>
            <w:tcW w:w="899"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药材来源</w:t>
            </w:r>
          </w:p>
        </w:tc>
        <w:tc>
          <w:tcPr>
            <w:tcW w:w="898"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药用部位</w:t>
            </w:r>
          </w:p>
        </w:tc>
        <w:tc>
          <w:tcPr>
            <w:tcW w:w="772"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性味与归经</w:t>
            </w:r>
          </w:p>
        </w:tc>
        <w:tc>
          <w:tcPr>
            <w:tcW w:w="910"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功能与主治</w:t>
            </w:r>
          </w:p>
        </w:tc>
        <w:tc>
          <w:tcPr>
            <w:tcW w:w="886" w:type="dxa"/>
            <w:tcBorders>
              <w:top w:val="single" w:color="000000" w:sz="8" w:space="0"/>
              <w:left w:val="nil"/>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用法与用量</w:t>
            </w:r>
          </w:p>
        </w:tc>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炮制规范及执行标准名称</w:t>
            </w:r>
          </w:p>
        </w:tc>
        <w:tc>
          <w:tcPr>
            <w:tcW w:w="140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参考零售价（元</w:t>
            </w:r>
            <w:r>
              <w:rPr>
                <w:rFonts w:ascii="仿宋_GB2312" w:eastAsia="仿宋_GB2312"/>
                <w:sz w:val="24"/>
                <w:szCs w:val="24"/>
              </w:rPr>
              <w:t>/克）</w:t>
            </w:r>
          </w:p>
        </w:tc>
      </w:tr>
      <w:tr>
        <w:tblPrEx>
          <w:tblCellMar>
            <w:top w:w="0" w:type="dxa"/>
            <w:left w:w="0" w:type="dxa"/>
            <w:bottom w:w="0" w:type="dxa"/>
            <w:right w:w="0" w:type="dxa"/>
          </w:tblCellMar>
        </w:tblPrEx>
        <w:trPr>
          <w:trHeight w:val="555" w:hRule="atLeast"/>
        </w:trPr>
        <w:tc>
          <w:tcPr>
            <w:tcW w:w="54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42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2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ind w:left="-2197" w:leftChars="-1052" w:hanging="12" w:hangingChars="5"/>
              <w:jc w:val="center"/>
              <w:rPr>
                <w:rFonts w:ascii="仿宋_GB2312"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ind w:left="-2197" w:leftChars="-1052" w:hanging="12" w:hangingChars="5"/>
              <w:jc w:val="center"/>
              <w:rPr>
                <w:rFonts w:ascii="仿宋_GB2312"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77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1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8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40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4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42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2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77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1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8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40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4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42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2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77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1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8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40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4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42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2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77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1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8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40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4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42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2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4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1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9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77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1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86"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40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bl>
    <w:p>
      <w:pPr>
        <w:widowControl/>
        <w:adjustRightInd w:val="0"/>
        <w:snapToGrid w:val="0"/>
        <w:spacing w:line="360" w:lineRule="auto"/>
        <w:jc w:val="left"/>
        <w:rPr>
          <w:rFonts w:ascii="仿宋_GB2312" w:eastAsia="仿宋_GB2312"/>
          <w:sz w:val="28"/>
          <w:szCs w:val="28"/>
        </w:rPr>
      </w:pPr>
      <w:r>
        <w:rPr>
          <w:rFonts w:ascii="仿宋_GB2312" w:eastAsia="仿宋_GB2312"/>
          <w:sz w:val="28"/>
          <w:szCs w:val="28"/>
        </w:rPr>
        <w:t xml:space="preserve">     填表人</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联系电话：</w:t>
      </w:r>
    </w:p>
    <w:p>
      <w:pPr>
        <w:rPr>
          <w:rFonts w:hint="eastAsia" w:ascii="仿宋_GB2312" w:eastAsia="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附件2</w:t>
      </w:r>
    </w:p>
    <w:p>
      <w:pPr>
        <w:pStyle w:val="3"/>
        <w:spacing w:line="600" w:lineRule="exact"/>
        <w:jc w:val="center"/>
        <w:rPr>
          <w:rFonts w:hint="eastAsia" w:ascii="微软雅黑" w:hAnsi="微软雅黑" w:eastAsia="微软雅黑" w:cs="微软雅黑"/>
          <w:sz w:val="44"/>
          <w:szCs w:val="36"/>
          <w:lang w:eastAsia="zh-CN"/>
        </w:rPr>
      </w:pPr>
      <w:r>
        <w:rPr>
          <w:rFonts w:hint="eastAsia" w:ascii="微软雅黑" w:hAnsi="微软雅黑" w:eastAsia="微软雅黑" w:cs="微软雅黑"/>
          <w:sz w:val="44"/>
          <w:szCs w:val="36"/>
        </w:rPr>
        <w:t>拟纳入基本医疗保险支付范围的中药饮片推荐名单</w:t>
      </w:r>
    </w:p>
    <w:p>
      <w:pPr>
        <w:pStyle w:val="3"/>
        <w:spacing w:line="600" w:lineRule="exact"/>
        <w:rPr>
          <w:rFonts w:ascii="黑体" w:hAnsi="黑体" w:eastAsia="黑体"/>
          <w:bCs/>
          <w:sz w:val="32"/>
          <w:szCs w:val="32"/>
        </w:rPr>
      </w:pPr>
      <w:r>
        <w:rPr>
          <w:rFonts w:hint="eastAsia" w:ascii="仿宋_GB2312" w:eastAsia="仿宋_GB2312"/>
          <w:sz w:val="28"/>
          <w:szCs w:val="28"/>
          <w:lang w:val="en-US" w:eastAsia="zh-CN"/>
        </w:rPr>
        <w:t>推荐</w:t>
      </w:r>
      <w:r>
        <w:rPr>
          <w:rFonts w:hint="eastAsia" w:ascii="仿宋_GB2312" w:eastAsia="仿宋_GB2312"/>
          <w:sz w:val="28"/>
          <w:szCs w:val="28"/>
        </w:rPr>
        <w:t xml:space="preserve">单位（加盖公章）：                                 </w:t>
      </w:r>
    </w:p>
    <w:tbl>
      <w:tblPr>
        <w:tblStyle w:val="9"/>
        <w:tblW w:w="14217" w:type="dxa"/>
        <w:tblInd w:w="-619" w:type="dxa"/>
        <w:tblLayout w:type="autofit"/>
        <w:tblCellMar>
          <w:top w:w="0" w:type="dxa"/>
          <w:left w:w="0" w:type="dxa"/>
          <w:bottom w:w="0" w:type="dxa"/>
          <w:right w:w="0" w:type="dxa"/>
        </w:tblCellMar>
      </w:tblPr>
      <w:tblGrid>
        <w:gridCol w:w="581"/>
        <w:gridCol w:w="1508"/>
        <w:gridCol w:w="1079"/>
        <w:gridCol w:w="1220"/>
        <w:gridCol w:w="1221"/>
        <w:gridCol w:w="952"/>
        <w:gridCol w:w="953"/>
        <w:gridCol w:w="952"/>
        <w:gridCol w:w="818"/>
        <w:gridCol w:w="964"/>
        <w:gridCol w:w="851"/>
        <w:gridCol w:w="1559"/>
        <w:gridCol w:w="1559"/>
      </w:tblGrid>
      <w:tr>
        <w:tblPrEx>
          <w:tblCellMar>
            <w:top w:w="0" w:type="dxa"/>
            <w:left w:w="0" w:type="dxa"/>
            <w:bottom w:w="0" w:type="dxa"/>
            <w:right w:w="0" w:type="dxa"/>
          </w:tblCellMar>
        </w:tblPrEx>
        <w:trPr>
          <w:trHeight w:val="820" w:hRule="atLeast"/>
        </w:trPr>
        <w:tc>
          <w:tcPr>
            <w:tcW w:w="581" w:type="dxa"/>
            <w:tcBorders>
              <w:top w:val="single" w:color="000000" w:sz="8" w:space="0"/>
              <w:left w:val="single" w:color="000000" w:sz="8" w:space="0"/>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序号</w:t>
            </w:r>
          </w:p>
        </w:tc>
        <w:tc>
          <w:tcPr>
            <w:tcW w:w="1508"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国家医保</w:t>
            </w:r>
            <w:r>
              <w:rPr>
                <w:rFonts w:hint="eastAsia" w:ascii="仿宋_GB2312" w:eastAsia="仿宋_GB2312"/>
                <w:sz w:val="24"/>
                <w:szCs w:val="24"/>
                <w:lang w:eastAsia="zh-CN"/>
              </w:rPr>
              <w:t>代码</w:t>
            </w:r>
          </w:p>
        </w:tc>
        <w:tc>
          <w:tcPr>
            <w:tcW w:w="1079"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中药饮片名称</w:t>
            </w:r>
          </w:p>
        </w:tc>
        <w:tc>
          <w:tcPr>
            <w:tcW w:w="1220"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药材名称</w:t>
            </w:r>
          </w:p>
        </w:tc>
        <w:tc>
          <w:tcPr>
            <w:tcW w:w="1221"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炮制方法</w:t>
            </w:r>
          </w:p>
        </w:tc>
        <w:tc>
          <w:tcPr>
            <w:tcW w:w="952"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功效分类</w:t>
            </w:r>
          </w:p>
        </w:tc>
        <w:tc>
          <w:tcPr>
            <w:tcW w:w="953"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药材来源</w:t>
            </w:r>
          </w:p>
        </w:tc>
        <w:tc>
          <w:tcPr>
            <w:tcW w:w="952"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药用部位</w:t>
            </w:r>
          </w:p>
        </w:tc>
        <w:tc>
          <w:tcPr>
            <w:tcW w:w="818"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性味与归经</w:t>
            </w:r>
          </w:p>
        </w:tc>
        <w:tc>
          <w:tcPr>
            <w:tcW w:w="964" w:type="dxa"/>
            <w:tcBorders>
              <w:top w:val="single" w:color="000000" w:sz="8" w:space="0"/>
              <w:left w:val="nil"/>
              <w:bottom w:val="single" w:color="auto" w:sz="4" w:space="0"/>
              <w:right w:val="single" w:color="000000" w:sz="8"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功能与主治</w:t>
            </w:r>
          </w:p>
        </w:tc>
        <w:tc>
          <w:tcPr>
            <w:tcW w:w="851" w:type="dxa"/>
            <w:tcBorders>
              <w:top w:val="single" w:color="000000" w:sz="8" w:space="0"/>
              <w:left w:val="nil"/>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用法与用量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炮制规范及执行标准名称</w:t>
            </w:r>
          </w:p>
        </w:tc>
        <w:tc>
          <w:tcPr>
            <w:tcW w:w="155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r>
              <w:rPr>
                <w:rFonts w:hint="eastAsia" w:ascii="仿宋_GB2312" w:eastAsia="仿宋_GB2312"/>
                <w:sz w:val="24"/>
                <w:szCs w:val="24"/>
              </w:rPr>
              <w:t>参考零售价（元</w:t>
            </w:r>
            <w:r>
              <w:rPr>
                <w:rFonts w:ascii="仿宋_GB2312" w:eastAsia="仿宋_GB2312"/>
                <w:sz w:val="24"/>
                <w:szCs w:val="24"/>
              </w:rPr>
              <w:t>/克）</w:t>
            </w:r>
          </w:p>
        </w:tc>
      </w:tr>
      <w:tr>
        <w:tblPrEx>
          <w:tblCellMar>
            <w:top w:w="0" w:type="dxa"/>
            <w:left w:w="0" w:type="dxa"/>
            <w:bottom w:w="0" w:type="dxa"/>
            <w:right w:w="0" w:type="dxa"/>
          </w:tblCellMar>
        </w:tblPrEx>
        <w:trPr>
          <w:trHeight w:val="555" w:hRule="atLeast"/>
        </w:trPr>
        <w:tc>
          <w:tcPr>
            <w:tcW w:w="58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5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7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ind w:left="-2197" w:leftChars="-1052" w:hanging="12" w:hangingChars="5"/>
              <w:jc w:val="center"/>
              <w:rPr>
                <w:rFonts w:ascii="仿宋_GB2312" w:eastAsia="仿宋_GB2312"/>
                <w:sz w:val="24"/>
                <w:szCs w:val="24"/>
              </w:rPr>
            </w:pPr>
          </w:p>
        </w:tc>
        <w:tc>
          <w:tcPr>
            <w:tcW w:w="122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8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5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7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8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5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7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8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5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7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r>
        <w:tblPrEx>
          <w:tblCellMar>
            <w:top w:w="0" w:type="dxa"/>
            <w:left w:w="0" w:type="dxa"/>
            <w:bottom w:w="0" w:type="dxa"/>
            <w:right w:w="0" w:type="dxa"/>
          </w:tblCellMar>
        </w:tblPrEx>
        <w:trPr>
          <w:trHeight w:val="555" w:hRule="atLeast"/>
        </w:trPr>
        <w:tc>
          <w:tcPr>
            <w:tcW w:w="58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textAlignment w:val="center"/>
              <w:rPr>
                <w:rFonts w:ascii="仿宋_GB2312" w:eastAsia="仿宋_GB2312"/>
                <w:sz w:val="24"/>
                <w:szCs w:val="24"/>
              </w:rPr>
            </w:pPr>
          </w:p>
        </w:tc>
        <w:tc>
          <w:tcPr>
            <w:tcW w:w="150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07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0"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22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3"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52"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18"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964"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eastAsia="仿宋_GB2312"/>
                <w:sz w:val="24"/>
                <w:szCs w:val="24"/>
              </w:rPr>
            </w:pPr>
          </w:p>
        </w:tc>
        <w:tc>
          <w:tcPr>
            <w:tcW w:w="1559" w:type="dxa"/>
            <w:tcBorders>
              <w:top w:val="single" w:color="auto" w:sz="4" w:space="0"/>
              <w:left w:val="single" w:color="auto" w:sz="4" w:space="0"/>
              <w:bottom w:val="single" w:color="auto" w:sz="4" w:space="0"/>
              <w:right w:val="single" w:color="auto" w:sz="4" w:space="0"/>
            </w:tcBorders>
            <w:tcMar>
              <w:bottom w:w="0" w:type="dxa"/>
            </w:tcMar>
            <w:vAlign w:val="center"/>
          </w:tcPr>
          <w:p>
            <w:pPr>
              <w:widowControl/>
              <w:spacing w:line="300" w:lineRule="atLeast"/>
              <w:jc w:val="center"/>
              <w:rPr>
                <w:rFonts w:ascii="仿宋_GB2312" w:eastAsia="仿宋_GB2312"/>
                <w:sz w:val="24"/>
                <w:szCs w:val="24"/>
              </w:rPr>
            </w:pPr>
          </w:p>
        </w:tc>
      </w:tr>
    </w:tbl>
    <w:p>
      <w:pPr>
        <w:widowControl/>
        <w:adjustRightInd w:val="0"/>
        <w:snapToGrid w:val="0"/>
        <w:spacing w:line="360" w:lineRule="auto"/>
        <w:jc w:val="left"/>
        <w:rPr>
          <w:rFonts w:ascii="仿宋_GB2312" w:eastAsia="仿宋_GB2312"/>
          <w:sz w:val="28"/>
          <w:szCs w:val="28"/>
        </w:rPr>
      </w:pPr>
      <w:r>
        <w:rPr>
          <w:rFonts w:ascii="仿宋_GB2312" w:eastAsia="仿宋_GB2312"/>
          <w:sz w:val="28"/>
          <w:szCs w:val="28"/>
        </w:rPr>
        <w:t xml:space="preserve">   填表人</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联系电话：</w:t>
      </w:r>
    </w:p>
    <w:p>
      <w:pPr>
        <w:spacing w:line="320" w:lineRule="exact"/>
        <w:rPr>
          <w:rFonts w:ascii="仿宋_GB2312" w:hAnsi="Times New Roman" w:eastAsia="仿宋_GB2312"/>
          <w:bCs/>
          <w:szCs w:val="21"/>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019065"/>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3NmZiNGYwOGI1ZGRhZGFkYWYzMTI5NmI4NmM2NjMifQ=="/>
  </w:docVars>
  <w:rsids>
    <w:rsidRoot w:val="00005974"/>
    <w:rsid w:val="00000400"/>
    <w:rsid w:val="00004493"/>
    <w:rsid w:val="00005974"/>
    <w:rsid w:val="000134C1"/>
    <w:rsid w:val="00014851"/>
    <w:rsid w:val="00015EF4"/>
    <w:rsid w:val="00041435"/>
    <w:rsid w:val="00047896"/>
    <w:rsid w:val="00057521"/>
    <w:rsid w:val="00060B75"/>
    <w:rsid w:val="00075E96"/>
    <w:rsid w:val="0007684A"/>
    <w:rsid w:val="0007701D"/>
    <w:rsid w:val="00082450"/>
    <w:rsid w:val="000A1C85"/>
    <w:rsid w:val="000C7D03"/>
    <w:rsid w:val="000E56CC"/>
    <w:rsid w:val="001019F4"/>
    <w:rsid w:val="0010532F"/>
    <w:rsid w:val="00107C38"/>
    <w:rsid w:val="0011150B"/>
    <w:rsid w:val="00113DF1"/>
    <w:rsid w:val="001306C7"/>
    <w:rsid w:val="0013607B"/>
    <w:rsid w:val="00136E6E"/>
    <w:rsid w:val="0014361C"/>
    <w:rsid w:val="0016111E"/>
    <w:rsid w:val="00167718"/>
    <w:rsid w:val="00173327"/>
    <w:rsid w:val="00175B3F"/>
    <w:rsid w:val="00181720"/>
    <w:rsid w:val="001846E7"/>
    <w:rsid w:val="00186613"/>
    <w:rsid w:val="00193B62"/>
    <w:rsid w:val="0019530F"/>
    <w:rsid w:val="001B3F77"/>
    <w:rsid w:val="001C1A97"/>
    <w:rsid w:val="001C1F34"/>
    <w:rsid w:val="001D77F6"/>
    <w:rsid w:val="001E0BE9"/>
    <w:rsid w:val="001E0F06"/>
    <w:rsid w:val="001E4337"/>
    <w:rsid w:val="001F1D2A"/>
    <w:rsid w:val="00204958"/>
    <w:rsid w:val="00225454"/>
    <w:rsid w:val="002278B1"/>
    <w:rsid w:val="00240764"/>
    <w:rsid w:val="0024759E"/>
    <w:rsid w:val="002530A1"/>
    <w:rsid w:val="00253D6B"/>
    <w:rsid w:val="00262EBD"/>
    <w:rsid w:val="00264B06"/>
    <w:rsid w:val="002709A0"/>
    <w:rsid w:val="002739C4"/>
    <w:rsid w:val="0027726B"/>
    <w:rsid w:val="0028470E"/>
    <w:rsid w:val="0029492D"/>
    <w:rsid w:val="002B0B38"/>
    <w:rsid w:val="002B0B64"/>
    <w:rsid w:val="002B568C"/>
    <w:rsid w:val="002B655F"/>
    <w:rsid w:val="002C7BE3"/>
    <w:rsid w:val="002D38A3"/>
    <w:rsid w:val="002F523E"/>
    <w:rsid w:val="003045FB"/>
    <w:rsid w:val="0031657F"/>
    <w:rsid w:val="00323583"/>
    <w:rsid w:val="0032416E"/>
    <w:rsid w:val="00326500"/>
    <w:rsid w:val="00340789"/>
    <w:rsid w:val="003525F9"/>
    <w:rsid w:val="00376474"/>
    <w:rsid w:val="00382A0F"/>
    <w:rsid w:val="00386C2B"/>
    <w:rsid w:val="00390554"/>
    <w:rsid w:val="0039265B"/>
    <w:rsid w:val="0039551F"/>
    <w:rsid w:val="00397F34"/>
    <w:rsid w:val="003B0040"/>
    <w:rsid w:val="003B03AF"/>
    <w:rsid w:val="003B094C"/>
    <w:rsid w:val="003B151D"/>
    <w:rsid w:val="003C3F26"/>
    <w:rsid w:val="003D0E47"/>
    <w:rsid w:val="003D1F0C"/>
    <w:rsid w:val="003D3EE4"/>
    <w:rsid w:val="003D4368"/>
    <w:rsid w:val="003E024B"/>
    <w:rsid w:val="003E30AA"/>
    <w:rsid w:val="004051BC"/>
    <w:rsid w:val="00405400"/>
    <w:rsid w:val="00421AFA"/>
    <w:rsid w:val="00421E74"/>
    <w:rsid w:val="00434D4D"/>
    <w:rsid w:val="00441D94"/>
    <w:rsid w:val="00461C76"/>
    <w:rsid w:val="00463744"/>
    <w:rsid w:val="00477E71"/>
    <w:rsid w:val="00481183"/>
    <w:rsid w:val="004832D5"/>
    <w:rsid w:val="004875FF"/>
    <w:rsid w:val="00496616"/>
    <w:rsid w:val="004A1E1F"/>
    <w:rsid w:val="004A3198"/>
    <w:rsid w:val="004E27BA"/>
    <w:rsid w:val="004E28FA"/>
    <w:rsid w:val="004F00B5"/>
    <w:rsid w:val="004F0A4F"/>
    <w:rsid w:val="00516B16"/>
    <w:rsid w:val="00535CD0"/>
    <w:rsid w:val="00547D59"/>
    <w:rsid w:val="00576184"/>
    <w:rsid w:val="00584DF0"/>
    <w:rsid w:val="00590121"/>
    <w:rsid w:val="00593869"/>
    <w:rsid w:val="00597B72"/>
    <w:rsid w:val="005A3D5B"/>
    <w:rsid w:val="005B3EC8"/>
    <w:rsid w:val="005B5237"/>
    <w:rsid w:val="005D215E"/>
    <w:rsid w:val="005D5C02"/>
    <w:rsid w:val="005E1749"/>
    <w:rsid w:val="005E26F4"/>
    <w:rsid w:val="005E6164"/>
    <w:rsid w:val="005F0396"/>
    <w:rsid w:val="005F5D4C"/>
    <w:rsid w:val="005F6123"/>
    <w:rsid w:val="006033FF"/>
    <w:rsid w:val="00613AFD"/>
    <w:rsid w:val="00615905"/>
    <w:rsid w:val="006160C5"/>
    <w:rsid w:val="00624422"/>
    <w:rsid w:val="00641402"/>
    <w:rsid w:val="00653400"/>
    <w:rsid w:val="00653560"/>
    <w:rsid w:val="00677005"/>
    <w:rsid w:val="00677524"/>
    <w:rsid w:val="00681DB6"/>
    <w:rsid w:val="00683060"/>
    <w:rsid w:val="006866C9"/>
    <w:rsid w:val="00693F4B"/>
    <w:rsid w:val="006A4947"/>
    <w:rsid w:val="006B4C05"/>
    <w:rsid w:val="006B56C2"/>
    <w:rsid w:val="006C4E86"/>
    <w:rsid w:val="006C5D69"/>
    <w:rsid w:val="006D18DF"/>
    <w:rsid w:val="006D68DF"/>
    <w:rsid w:val="006E5992"/>
    <w:rsid w:val="006E7EF4"/>
    <w:rsid w:val="006F5203"/>
    <w:rsid w:val="00711060"/>
    <w:rsid w:val="00711D9E"/>
    <w:rsid w:val="00715CA7"/>
    <w:rsid w:val="00715F9D"/>
    <w:rsid w:val="00721044"/>
    <w:rsid w:val="00727710"/>
    <w:rsid w:val="0073136E"/>
    <w:rsid w:val="00736DFB"/>
    <w:rsid w:val="0074551A"/>
    <w:rsid w:val="00745A45"/>
    <w:rsid w:val="00750C74"/>
    <w:rsid w:val="00770BFD"/>
    <w:rsid w:val="00771FFD"/>
    <w:rsid w:val="00774C06"/>
    <w:rsid w:val="007772F8"/>
    <w:rsid w:val="00790733"/>
    <w:rsid w:val="007967EC"/>
    <w:rsid w:val="007A6354"/>
    <w:rsid w:val="007C342D"/>
    <w:rsid w:val="007E3334"/>
    <w:rsid w:val="007F19C5"/>
    <w:rsid w:val="007F6BB5"/>
    <w:rsid w:val="00812CC8"/>
    <w:rsid w:val="008279D6"/>
    <w:rsid w:val="008407D9"/>
    <w:rsid w:val="00846078"/>
    <w:rsid w:val="008674FA"/>
    <w:rsid w:val="00870468"/>
    <w:rsid w:val="008736F7"/>
    <w:rsid w:val="00877A38"/>
    <w:rsid w:val="00885CFD"/>
    <w:rsid w:val="00892030"/>
    <w:rsid w:val="00896A2C"/>
    <w:rsid w:val="0089728A"/>
    <w:rsid w:val="008A4882"/>
    <w:rsid w:val="008B2438"/>
    <w:rsid w:val="008B3E0D"/>
    <w:rsid w:val="008B4AF4"/>
    <w:rsid w:val="008B6089"/>
    <w:rsid w:val="008E336A"/>
    <w:rsid w:val="00932D75"/>
    <w:rsid w:val="00934049"/>
    <w:rsid w:val="00943916"/>
    <w:rsid w:val="00947876"/>
    <w:rsid w:val="00955B0E"/>
    <w:rsid w:val="00957EEE"/>
    <w:rsid w:val="009624E5"/>
    <w:rsid w:val="009651E5"/>
    <w:rsid w:val="00965EA7"/>
    <w:rsid w:val="00967617"/>
    <w:rsid w:val="00973557"/>
    <w:rsid w:val="00976779"/>
    <w:rsid w:val="00980FE5"/>
    <w:rsid w:val="00990F34"/>
    <w:rsid w:val="0099673E"/>
    <w:rsid w:val="00996E5A"/>
    <w:rsid w:val="009A686C"/>
    <w:rsid w:val="009B0F93"/>
    <w:rsid w:val="009E1BD3"/>
    <w:rsid w:val="009E2857"/>
    <w:rsid w:val="009E598C"/>
    <w:rsid w:val="009F02B6"/>
    <w:rsid w:val="00A03E7F"/>
    <w:rsid w:val="00A1776E"/>
    <w:rsid w:val="00A309CC"/>
    <w:rsid w:val="00A6043A"/>
    <w:rsid w:val="00A62C0B"/>
    <w:rsid w:val="00A636CB"/>
    <w:rsid w:val="00A7257E"/>
    <w:rsid w:val="00A75305"/>
    <w:rsid w:val="00A91E96"/>
    <w:rsid w:val="00A94B63"/>
    <w:rsid w:val="00A97B35"/>
    <w:rsid w:val="00AA3E56"/>
    <w:rsid w:val="00AA42C0"/>
    <w:rsid w:val="00AB44F6"/>
    <w:rsid w:val="00AB5A07"/>
    <w:rsid w:val="00AB6950"/>
    <w:rsid w:val="00AC0409"/>
    <w:rsid w:val="00AC3586"/>
    <w:rsid w:val="00AC7EFC"/>
    <w:rsid w:val="00AD39AE"/>
    <w:rsid w:val="00AD72DA"/>
    <w:rsid w:val="00AF0CD9"/>
    <w:rsid w:val="00B035B3"/>
    <w:rsid w:val="00B0436D"/>
    <w:rsid w:val="00B2307A"/>
    <w:rsid w:val="00B3407A"/>
    <w:rsid w:val="00B351E1"/>
    <w:rsid w:val="00B57961"/>
    <w:rsid w:val="00B62F93"/>
    <w:rsid w:val="00B6415F"/>
    <w:rsid w:val="00B65ED8"/>
    <w:rsid w:val="00B70AFE"/>
    <w:rsid w:val="00B76A4B"/>
    <w:rsid w:val="00B76FE2"/>
    <w:rsid w:val="00B8708F"/>
    <w:rsid w:val="00BB34BB"/>
    <w:rsid w:val="00BE59EE"/>
    <w:rsid w:val="00BE7A29"/>
    <w:rsid w:val="00BF6D7E"/>
    <w:rsid w:val="00C2494B"/>
    <w:rsid w:val="00C25A05"/>
    <w:rsid w:val="00C33F7F"/>
    <w:rsid w:val="00C36DB6"/>
    <w:rsid w:val="00C44A1F"/>
    <w:rsid w:val="00C552F4"/>
    <w:rsid w:val="00C62496"/>
    <w:rsid w:val="00C74F92"/>
    <w:rsid w:val="00C9386C"/>
    <w:rsid w:val="00C94A4E"/>
    <w:rsid w:val="00C9543B"/>
    <w:rsid w:val="00CA14A3"/>
    <w:rsid w:val="00CC4298"/>
    <w:rsid w:val="00CE0E72"/>
    <w:rsid w:val="00CE26E4"/>
    <w:rsid w:val="00CE2792"/>
    <w:rsid w:val="00CE75BF"/>
    <w:rsid w:val="00D03938"/>
    <w:rsid w:val="00D2629B"/>
    <w:rsid w:val="00D40A20"/>
    <w:rsid w:val="00D71CBC"/>
    <w:rsid w:val="00D81AF7"/>
    <w:rsid w:val="00D97FDE"/>
    <w:rsid w:val="00DA136C"/>
    <w:rsid w:val="00DA2064"/>
    <w:rsid w:val="00DB6CAD"/>
    <w:rsid w:val="00DC26E9"/>
    <w:rsid w:val="00DD2BCB"/>
    <w:rsid w:val="00DD3472"/>
    <w:rsid w:val="00DE2C9D"/>
    <w:rsid w:val="00E15DAD"/>
    <w:rsid w:val="00E21D95"/>
    <w:rsid w:val="00E331E9"/>
    <w:rsid w:val="00E52AE7"/>
    <w:rsid w:val="00E52C51"/>
    <w:rsid w:val="00E764CB"/>
    <w:rsid w:val="00E85A79"/>
    <w:rsid w:val="00E95A11"/>
    <w:rsid w:val="00EA48B8"/>
    <w:rsid w:val="00ED099E"/>
    <w:rsid w:val="00ED3311"/>
    <w:rsid w:val="00EE5D96"/>
    <w:rsid w:val="00EF643E"/>
    <w:rsid w:val="00EF6E9F"/>
    <w:rsid w:val="00EF7EB4"/>
    <w:rsid w:val="00F00569"/>
    <w:rsid w:val="00F12C4D"/>
    <w:rsid w:val="00F1553F"/>
    <w:rsid w:val="00F202D8"/>
    <w:rsid w:val="00F22615"/>
    <w:rsid w:val="00F339FA"/>
    <w:rsid w:val="00F53015"/>
    <w:rsid w:val="00F6127E"/>
    <w:rsid w:val="00F728DE"/>
    <w:rsid w:val="00F95F35"/>
    <w:rsid w:val="00FA762D"/>
    <w:rsid w:val="00FC3913"/>
    <w:rsid w:val="00FD3551"/>
    <w:rsid w:val="00FE06C1"/>
    <w:rsid w:val="00FE3780"/>
    <w:rsid w:val="047F73DA"/>
    <w:rsid w:val="06B26186"/>
    <w:rsid w:val="071939AD"/>
    <w:rsid w:val="0CEC6BA3"/>
    <w:rsid w:val="0F3BC98F"/>
    <w:rsid w:val="0FDF63D4"/>
    <w:rsid w:val="13BD4025"/>
    <w:rsid w:val="1A092647"/>
    <w:rsid w:val="1B482AC6"/>
    <w:rsid w:val="1BFA1D55"/>
    <w:rsid w:val="1C372A1C"/>
    <w:rsid w:val="1CFF5BF8"/>
    <w:rsid w:val="1E752F2D"/>
    <w:rsid w:val="1FDF6E5F"/>
    <w:rsid w:val="20D17AE7"/>
    <w:rsid w:val="22E64202"/>
    <w:rsid w:val="24FF19C6"/>
    <w:rsid w:val="25E60A39"/>
    <w:rsid w:val="27A2757B"/>
    <w:rsid w:val="27DF9B02"/>
    <w:rsid w:val="27E06998"/>
    <w:rsid w:val="27FF23C5"/>
    <w:rsid w:val="2BA353F1"/>
    <w:rsid w:val="2ED0712E"/>
    <w:rsid w:val="33292380"/>
    <w:rsid w:val="35DE5C64"/>
    <w:rsid w:val="37AA0860"/>
    <w:rsid w:val="3BF5652E"/>
    <w:rsid w:val="3D3F9D18"/>
    <w:rsid w:val="3DB3E04F"/>
    <w:rsid w:val="3DDD47E4"/>
    <w:rsid w:val="3EEFBE1D"/>
    <w:rsid w:val="406C7CB7"/>
    <w:rsid w:val="41BF1CDD"/>
    <w:rsid w:val="42D7274C"/>
    <w:rsid w:val="455EB036"/>
    <w:rsid w:val="49636B68"/>
    <w:rsid w:val="4A14501A"/>
    <w:rsid w:val="4D5F057C"/>
    <w:rsid w:val="4FFF3F48"/>
    <w:rsid w:val="503D2EB9"/>
    <w:rsid w:val="50DB19DB"/>
    <w:rsid w:val="537BDDF5"/>
    <w:rsid w:val="573DA737"/>
    <w:rsid w:val="57ED4F07"/>
    <w:rsid w:val="597F27DC"/>
    <w:rsid w:val="5B5F1950"/>
    <w:rsid w:val="5BFFC5BD"/>
    <w:rsid w:val="5DCF6A9F"/>
    <w:rsid w:val="5EC7D855"/>
    <w:rsid w:val="5F6878C6"/>
    <w:rsid w:val="5F6DA777"/>
    <w:rsid w:val="5F9F6E22"/>
    <w:rsid w:val="5FB663BE"/>
    <w:rsid w:val="62820D2A"/>
    <w:rsid w:val="637F0B53"/>
    <w:rsid w:val="646B3E96"/>
    <w:rsid w:val="64F4BE7C"/>
    <w:rsid w:val="6BF7C1A6"/>
    <w:rsid w:val="6D7FABCB"/>
    <w:rsid w:val="6DDB0D57"/>
    <w:rsid w:val="6EB7F8D3"/>
    <w:rsid w:val="6FEF9BF3"/>
    <w:rsid w:val="6FFE2304"/>
    <w:rsid w:val="72FD5CF5"/>
    <w:rsid w:val="73FC73BE"/>
    <w:rsid w:val="75FB2860"/>
    <w:rsid w:val="773FF13C"/>
    <w:rsid w:val="77950728"/>
    <w:rsid w:val="77B69AA4"/>
    <w:rsid w:val="77EF86F0"/>
    <w:rsid w:val="77FB238D"/>
    <w:rsid w:val="795D0192"/>
    <w:rsid w:val="797E383A"/>
    <w:rsid w:val="7A5A7311"/>
    <w:rsid w:val="7ABF637B"/>
    <w:rsid w:val="7AEF3025"/>
    <w:rsid w:val="7B7C4BCB"/>
    <w:rsid w:val="7BAEEE2E"/>
    <w:rsid w:val="7BBFAB72"/>
    <w:rsid w:val="7BE2283F"/>
    <w:rsid w:val="7BFB5B2C"/>
    <w:rsid w:val="7BFBDAED"/>
    <w:rsid w:val="7CBF0244"/>
    <w:rsid w:val="7CF78B06"/>
    <w:rsid w:val="7CFADB2F"/>
    <w:rsid w:val="7DBFA9D9"/>
    <w:rsid w:val="7DF5BD13"/>
    <w:rsid w:val="7E17BF6D"/>
    <w:rsid w:val="7E3E6A20"/>
    <w:rsid w:val="7ED4DBC8"/>
    <w:rsid w:val="7EFCFD05"/>
    <w:rsid w:val="7EFF178C"/>
    <w:rsid w:val="7EFF6C59"/>
    <w:rsid w:val="7F5524F8"/>
    <w:rsid w:val="7F7FD10D"/>
    <w:rsid w:val="7FB7683F"/>
    <w:rsid w:val="7FDC5ECE"/>
    <w:rsid w:val="7FEC095B"/>
    <w:rsid w:val="7FECF2E5"/>
    <w:rsid w:val="7FFB47EF"/>
    <w:rsid w:val="7FFFA73B"/>
    <w:rsid w:val="865FE1C8"/>
    <w:rsid w:val="A7916487"/>
    <w:rsid w:val="ABC770B8"/>
    <w:rsid w:val="B9BDD507"/>
    <w:rsid w:val="BADBE368"/>
    <w:rsid w:val="BBF83DA9"/>
    <w:rsid w:val="BCD1F296"/>
    <w:rsid w:val="BCFF7C69"/>
    <w:rsid w:val="BDEE7BF1"/>
    <w:rsid w:val="BF9F5D37"/>
    <w:rsid w:val="BFA9DD21"/>
    <w:rsid w:val="BFFF6EC4"/>
    <w:rsid w:val="CFDBC63F"/>
    <w:rsid w:val="D4FF401D"/>
    <w:rsid w:val="D597728C"/>
    <w:rsid w:val="D5FA8277"/>
    <w:rsid w:val="DB9FCCE3"/>
    <w:rsid w:val="DBBD9E41"/>
    <w:rsid w:val="DBBFD43F"/>
    <w:rsid w:val="DBF53B2A"/>
    <w:rsid w:val="DBF5E77A"/>
    <w:rsid w:val="DBF7A864"/>
    <w:rsid w:val="DBFEE35B"/>
    <w:rsid w:val="DE3B4745"/>
    <w:rsid w:val="DE6F39CB"/>
    <w:rsid w:val="DE7F78EB"/>
    <w:rsid w:val="DEDFC82B"/>
    <w:rsid w:val="DF3F5292"/>
    <w:rsid w:val="DF4B825F"/>
    <w:rsid w:val="DF8706C6"/>
    <w:rsid w:val="DFBF4CCE"/>
    <w:rsid w:val="DFCD6DA6"/>
    <w:rsid w:val="DFCF1040"/>
    <w:rsid w:val="DFF7942F"/>
    <w:rsid w:val="DFFF5086"/>
    <w:rsid w:val="DFFFE8E0"/>
    <w:rsid w:val="E3F100CF"/>
    <w:rsid w:val="E57D11B5"/>
    <w:rsid w:val="E5FF6E6D"/>
    <w:rsid w:val="E6FF301D"/>
    <w:rsid w:val="EAEFA500"/>
    <w:rsid w:val="EBF70E37"/>
    <w:rsid w:val="EBFBF41A"/>
    <w:rsid w:val="EF6CFD1A"/>
    <w:rsid w:val="EFA1B47A"/>
    <w:rsid w:val="EFDBB336"/>
    <w:rsid w:val="EFFFF944"/>
    <w:rsid w:val="F1FFDB4D"/>
    <w:rsid w:val="F3FF5014"/>
    <w:rsid w:val="F3FF58F3"/>
    <w:rsid w:val="F3FF9058"/>
    <w:rsid w:val="F5DE0EE3"/>
    <w:rsid w:val="F6EFC678"/>
    <w:rsid w:val="F76F7E3D"/>
    <w:rsid w:val="F7FB48BE"/>
    <w:rsid w:val="FA5DA317"/>
    <w:rsid w:val="FAF6C71B"/>
    <w:rsid w:val="FB5623AE"/>
    <w:rsid w:val="FB5DDDD2"/>
    <w:rsid w:val="FB7F545F"/>
    <w:rsid w:val="FBB77C05"/>
    <w:rsid w:val="FBD451D8"/>
    <w:rsid w:val="FBFAC4CB"/>
    <w:rsid w:val="FC3FDECF"/>
    <w:rsid w:val="FC6FF67F"/>
    <w:rsid w:val="FCAFD2AA"/>
    <w:rsid w:val="FDE711BD"/>
    <w:rsid w:val="FDEBFAA5"/>
    <w:rsid w:val="FE6BC50A"/>
    <w:rsid w:val="FED679B8"/>
    <w:rsid w:val="FEFF8DEE"/>
    <w:rsid w:val="FF6CE161"/>
    <w:rsid w:val="FFB5B3E0"/>
    <w:rsid w:val="FFDE0861"/>
    <w:rsid w:val="FFDFA6DE"/>
    <w:rsid w:val="FFEEAD56"/>
    <w:rsid w:val="FFF5594F"/>
    <w:rsid w:val="FFFA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ody Text"/>
    <w:basedOn w:val="1"/>
    <w:link w:val="18"/>
    <w:unhideWhenUsed/>
    <w:qFormat/>
    <w:uiPriority w:val="99"/>
    <w:pPr>
      <w:spacing w:after="120"/>
    </w:pPr>
    <w:rPr>
      <w:rFonts w:ascii="Calibri" w:hAnsi="Calibri" w:eastAsia="宋体" w:cs="Times New Roman"/>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qFormat/>
    <w:uiPriority w:val="99"/>
  </w:style>
  <w:style w:type="character" w:customStyle="1" w:styleId="16">
    <w:name w:val="批注主题 字符"/>
    <w:basedOn w:val="15"/>
    <w:link w:val="8"/>
    <w:semiHidden/>
    <w:qFormat/>
    <w:uiPriority w:val="99"/>
    <w:rPr>
      <w:b/>
      <w:bCs/>
    </w:rPr>
  </w:style>
  <w:style w:type="character" w:customStyle="1" w:styleId="17">
    <w:name w:val="批注框文本 字符"/>
    <w:basedOn w:val="10"/>
    <w:link w:val="4"/>
    <w:semiHidden/>
    <w:qFormat/>
    <w:uiPriority w:val="99"/>
    <w:rPr>
      <w:sz w:val="18"/>
      <w:szCs w:val="18"/>
    </w:rPr>
  </w:style>
  <w:style w:type="character" w:customStyle="1" w:styleId="18">
    <w:name w:val="正文文本 字符"/>
    <w:basedOn w:val="10"/>
    <w:link w:val="3"/>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483</Words>
  <Characters>2756</Characters>
  <Lines>22</Lines>
  <Paragraphs>6</Paragraphs>
  <TotalTime>5</TotalTime>
  <ScaleCrop>false</ScaleCrop>
  <LinksUpToDate>false</LinksUpToDate>
  <CharactersWithSpaces>3233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2023-06-25T22:51:00Z</dcterms:created>
  <dc:creator>Administrator</dc:creator>
  <cp:lastModifiedBy>卢静</cp:lastModifiedBy>
  <cp:lastPrinted>2023-11-24T06:59:00Z</cp:lastPrinted>
  <dcterms:modified xsi:type="dcterms:W3CDTF">2023-11-28T07:51:43Z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CE2DE02588E440B1882844E80FB43C94_13</vt:lpwstr>
  </property>
</Properties>
</file>