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3D0" w:rsidRPr="00C61890" w:rsidRDefault="008613D0" w:rsidP="008613D0">
      <w:pPr>
        <w:spacing w:line="0" w:lineRule="atLeast"/>
        <w:jc w:val="left"/>
        <w:rPr>
          <w:rFonts w:ascii="黑体" w:eastAsia="黑体" w:hAnsi="黑体" w:cs="黑体" w:hint="eastAsia"/>
          <w:sz w:val="32"/>
          <w:szCs w:val="32"/>
        </w:rPr>
      </w:pPr>
      <w:r w:rsidRPr="00C61890">
        <w:rPr>
          <w:rFonts w:ascii="黑体" w:eastAsia="黑体" w:hAnsi="黑体" w:cs="黑体" w:hint="eastAsia"/>
          <w:sz w:val="32"/>
          <w:szCs w:val="32"/>
        </w:rPr>
        <w:t>附件1</w:t>
      </w:r>
    </w:p>
    <w:p w:rsidR="008613D0" w:rsidRDefault="008613D0" w:rsidP="008613D0">
      <w:pPr>
        <w:spacing w:line="0" w:lineRule="atLeast"/>
        <w:jc w:val="left"/>
        <w:rPr>
          <w:rFonts w:ascii="仿宋_GB2312" w:eastAsia="仿宋_GB2312" w:hAnsi="仿宋_GB2312" w:cs="仿宋_GB2312"/>
          <w:sz w:val="32"/>
          <w:szCs w:val="32"/>
        </w:rPr>
      </w:pPr>
    </w:p>
    <w:p w:rsidR="008613D0" w:rsidRDefault="008613D0" w:rsidP="008613D0">
      <w:pPr>
        <w:spacing w:line="0" w:lineRule="atLeast"/>
        <w:jc w:val="center"/>
        <w:rPr>
          <w:rFonts w:ascii="方正小标宋_GBK" w:eastAsia="方正小标宋_GBK" w:hAnsi="仿宋_GB2312" w:cs="仿宋_GB2312" w:hint="eastAsia"/>
          <w:sz w:val="40"/>
          <w:szCs w:val="40"/>
        </w:rPr>
      </w:pPr>
      <w:r>
        <w:rPr>
          <w:rFonts w:ascii="方正小标宋_GBK" w:eastAsia="方正小标宋_GBK" w:hAnsi="仿宋_GB2312" w:cs="仿宋_GB2312" w:hint="eastAsia"/>
          <w:sz w:val="40"/>
          <w:szCs w:val="40"/>
        </w:rPr>
        <w:t>内蒙古自治区长期处方适用疾病参考病种目录</w:t>
      </w:r>
    </w:p>
    <w:p w:rsidR="008613D0" w:rsidRDefault="008613D0" w:rsidP="008613D0">
      <w:pPr>
        <w:spacing w:line="0" w:lineRule="atLeast"/>
        <w:jc w:val="center"/>
        <w:rPr>
          <w:rFonts w:ascii="方正小标宋_GBK" w:eastAsia="方正小标宋_GBK" w:hAnsi="方正小标宋_GBK" w:cs="方正小标宋_GBK" w:hint="eastAsia"/>
          <w:kern w:val="0"/>
          <w:sz w:val="40"/>
          <w:szCs w:val="40"/>
          <w:lang w:bidi="ar"/>
        </w:rPr>
      </w:pP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5"/>
        <w:gridCol w:w="758"/>
        <w:gridCol w:w="6412"/>
      </w:tblGrid>
      <w:tr w:rsidR="008613D0" w:rsidTr="00C61890">
        <w:trPr>
          <w:jc w:val="center"/>
        </w:trPr>
        <w:tc>
          <w:tcPr>
            <w:tcW w:w="1455" w:type="dxa"/>
            <w:vAlign w:val="center"/>
          </w:tcPr>
          <w:p w:rsidR="008613D0" w:rsidRDefault="008613D0" w:rsidP="00C61890">
            <w:pPr>
              <w:spacing w:line="400" w:lineRule="exact"/>
              <w:jc w:val="center"/>
              <w:rPr>
                <w:rFonts w:ascii="黑体" w:eastAsia="黑体" w:hAnsi="黑体" w:cs="黑体" w:hint="eastAsia"/>
                <w:sz w:val="24"/>
              </w:rPr>
            </w:pPr>
          </w:p>
        </w:tc>
        <w:tc>
          <w:tcPr>
            <w:tcW w:w="758" w:type="dxa"/>
            <w:vAlign w:val="center"/>
          </w:tcPr>
          <w:p w:rsidR="008613D0" w:rsidRDefault="008613D0" w:rsidP="00C61890">
            <w:pPr>
              <w:spacing w:line="400" w:lineRule="exact"/>
              <w:jc w:val="center"/>
              <w:rPr>
                <w:rFonts w:ascii="黑体" w:eastAsia="黑体" w:hAnsi="黑体" w:cs="黑体" w:hint="eastAsia"/>
                <w:sz w:val="24"/>
              </w:rPr>
            </w:pPr>
            <w:r>
              <w:rPr>
                <w:rFonts w:ascii="黑体" w:eastAsia="黑体" w:hAnsi="黑体" w:cs="黑体" w:hint="eastAsia"/>
                <w:sz w:val="24"/>
              </w:rPr>
              <w:t>序号</w:t>
            </w:r>
          </w:p>
        </w:tc>
        <w:tc>
          <w:tcPr>
            <w:tcW w:w="6412" w:type="dxa"/>
            <w:vAlign w:val="center"/>
          </w:tcPr>
          <w:p w:rsidR="008613D0" w:rsidRDefault="008613D0" w:rsidP="00C61890">
            <w:pPr>
              <w:spacing w:line="400" w:lineRule="exact"/>
              <w:jc w:val="center"/>
              <w:rPr>
                <w:rFonts w:ascii="黑体" w:eastAsia="黑体" w:hAnsi="黑体" w:cs="黑体" w:hint="eastAsia"/>
                <w:sz w:val="24"/>
              </w:rPr>
            </w:pPr>
            <w:r>
              <w:rPr>
                <w:rFonts w:ascii="黑体" w:eastAsia="黑体" w:hAnsi="黑体" w:cs="黑体" w:hint="eastAsia"/>
                <w:sz w:val="24"/>
              </w:rPr>
              <w:t>病种名称</w:t>
            </w:r>
          </w:p>
        </w:tc>
      </w:tr>
      <w:tr w:rsidR="008613D0" w:rsidTr="00C61890">
        <w:trPr>
          <w:jc w:val="center"/>
        </w:trPr>
        <w:tc>
          <w:tcPr>
            <w:tcW w:w="1455" w:type="dxa"/>
            <w:vMerge w:val="restart"/>
            <w:vAlign w:val="center"/>
          </w:tcPr>
          <w:p w:rsidR="008613D0" w:rsidRDefault="008613D0" w:rsidP="00C61890">
            <w:pPr>
              <w:spacing w:line="400" w:lineRule="exact"/>
              <w:jc w:val="center"/>
              <w:rPr>
                <w:sz w:val="24"/>
              </w:rPr>
            </w:pPr>
            <w:r>
              <w:rPr>
                <w:rFonts w:hint="eastAsia"/>
                <w:sz w:val="24"/>
              </w:rPr>
              <w:t>呼吸系统</w:t>
            </w:r>
          </w:p>
        </w:tc>
        <w:tc>
          <w:tcPr>
            <w:tcW w:w="758" w:type="dxa"/>
            <w:vAlign w:val="center"/>
          </w:tcPr>
          <w:p w:rsidR="008613D0" w:rsidRDefault="008613D0" w:rsidP="00C61890">
            <w:pPr>
              <w:spacing w:line="400" w:lineRule="exact"/>
              <w:jc w:val="center"/>
              <w:rPr>
                <w:sz w:val="24"/>
              </w:rPr>
            </w:pPr>
            <w:r>
              <w:rPr>
                <w:rFonts w:hint="eastAsia"/>
                <w:sz w:val="24"/>
              </w:rPr>
              <w:t>1</w:t>
            </w:r>
          </w:p>
        </w:tc>
        <w:tc>
          <w:tcPr>
            <w:tcW w:w="6412" w:type="dxa"/>
            <w:vAlign w:val="center"/>
          </w:tcPr>
          <w:p w:rsidR="008613D0" w:rsidRDefault="008613D0" w:rsidP="00C61890">
            <w:pPr>
              <w:spacing w:line="400" w:lineRule="exact"/>
              <w:jc w:val="center"/>
              <w:rPr>
                <w:sz w:val="24"/>
              </w:rPr>
            </w:pPr>
            <w:r>
              <w:rPr>
                <w:rFonts w:hint="eastAsia"/>
                <w:sz w:val="24"/>
              </w:rPr>
              <w:t>慢性阻塞性肺疾病</w:t>
            </w:r>
          </w:p>
        </w:tc>
      </w:tr>
      <w:tr w:rsidR="008613D0" w:rsidTr="00C61890">
        <w:trPr>
          <w:jc w:val="center"/>
        </w:trPr>
        <w:tc>
          <w:tcPr>
            <w:tcW w:w="1455" w:type="dxa"/>
            <w:vMerge/>
            <w:vAlign w:val="center"/>
          </w:tcPr>
          <w:p w:rsidR="008613D0" w:rsidRDefault="008613D0" w:rsidP="00C61890">
            <w:pPr>
              <w:spacing w:line="400" w:lineRule="exact"/>
              <w:jc w:val="center"/>
              <w:rPr>
                <w:sz w:val="24"/>
              </w:rPr>
            </w:pPr>
          </w:p>
        </w:tc>
        <w:tc>
          <w:tcPr>
            <w:tcW w:w="758" w:type="dxa"/>
            <w:vAlign w:val="center"/>
          </w:tcPr>
          <w:p w:rsidR="008613D0" w:rsidRDefault="008613D0" w:rsidP="00C61890">
            <w:pPr>
              <w:spacing w:line="400" w:lineRule="exact"/>
              <w:jc w:val="center"/>
              <w:rPr>
                <w:sz w:val="24"/>
              </w:rPr>
            </w:pPr>
            <w:r>
              <w:rPr>
                <w:rFonts w:hint="eastAsia"/>
                <w:sz w:val="24"/>
              </w:rPr>
              <w:t>2</w:t>
            </w:r>
          </w:p>
        </w:tc>
        <w:tc>
          <w:tcPr>
            <w:tcW w:w="6412" w:type="dxa"/>
            <w:vAlign w:val="center"/>
          </w:tcPr>
          <w:p w:rsidR="008613D0" w:rsidRDefault="008613D0" w:rsidP="00C61890">
            <w:pPr>
              <w:spacing w:line="400" w:lineRule="exact"/>
              <w:jc w:val="center"/>
              <w:rPr>
                <w:sz w:val="24"/>
              </w:rPr>
            </w:pPr>
            <w:r>
              <w:rPr>
                <w:rFonts w:hint="eastAsia"/>
                <w:sz w:val="24"/>
              </w:rPr>
              <w:t>支气管哮喘</w:t>
            </w:r>
          </w:p>
        </w:tc>
      </w:tr>
      <w:tr w:rsidR="008613D0" w:rsidTr="00C61890">
        <w:trPr>
          <w:jc w:val="center"/>
        </w:trPr>
        <w:tc>
          <w:tcPr>
            <w:tcW w:w="1455" w:type="dxa"/>
            <w:vMerge w:val="restart"/>
            <w:vAlign w:val="center"/>
          </w:tcPr>
          <w:p w:rsidR="008613D0" w:rsidRDefault="008613D0" w:rsidP="00C61890">
            <w:pPr>
              <w:spacing w:line="400" w:lineRule="exact"/>
              <w:jc w:val="center"/>
              <w:rPr>
                <w:sz w:val="24"/>
              </w:rPr>
            </w:pPr>
            <w:r>
              <w:rPr>
                <w:rFonts w:hint="eastAsia"/>
                <w:sz w:val="24"/>
              </w:rPr>
              <w:t>心血管系统</w:t>
            </w:r>
          </w:p>
        </w:tc>
        <w:tc>
          <w:tcPr>
            <w:tcW w:w="758" w:type="dxa"/>
            <w:vAlign w:val="center"/>
          </w:tcPr>
          <w:p w:rsidR="008613D0" w:rsidRDefault="008613D0" w:rsidP="00C61890">
            <w:pPr>
              <w:spacing w:line="400" w:lineRule="exact"/>
              <w:jc w:val="center"/>
              <w:rPr>
                <w:sz w:val="24"/>
              </w:rPr>
            </w:pPr>
            <w:r>
              <w:rPr>
                <w:rFonts w:hint="eastAsia"/>
                <w:sz w:val="24"/>
              </w:rPr>
              <w:t>3</w:t>
            </w:r>
          </w:p>
        </w:tc>
        <w:tc>
          <w:tcPr>
            <w:tcW w:w="6412" w:type="dxa"/>
            <w:vAlign w:val="center"/>
          </w:tcPr>
          <w:p w:rsidR="008613D0" w:rsidRDefault="008613D0" w:rsidP="00C61890">
            <w:pPr>
              <w:spacing w:line="400" w:lineRule="exact"/>
              <w:jc w:val="center"/>
              <w:rPr>
                <w:sz w:val="24"/>
              </w:rPr>
            </w:pPr>
            <w:r>
              <w:rPr>
                <w:rFonts w:hint="eastAsia"/>
                <w:sz w:val="24"/>
              </w:rPr>
              <w:t>冠状动脉粥样硬化性心脏病</w:t>
            </w:r>
          </w:p>
        </w:tc>
      </w:tr>
      <w:tr w:rsidR="008613D0" w:rsidTr="00C61890">
        <w:trPr>
          <w:jc w:val="center"/>
        </w:trPr>
        <w:tc>
          <w:tcPr>
            <w:tcW w:w="1455" w:type="dxa"/>
            <w:vMerge/>
            <w:vAlign w:val="center"/>
          </w:tcPr>
          <w:p w:rsidR="008613D0" w:rsidRDefault="008613D0" w:rsidP="00C61890">
            <w:pPr>
              <w:spacing w:line="400" w:lineRule="exact"/>
              <w:jc w:val="center"/>
              <w:rPr>
                <w:sz w:val="24"/>
              </w:rPr>
            </w:pPr>
          </w:p>
        </w:tc>
        <w:tc>
          <w:tcPr>
            <w:tcW w:w="758" w:type="dxa"/>
            <w:vAlign w:val="center"/>
          </w:tcPr>
          <w:p w:rsidR="008613D0" w:rsidRDefault="008613D0" w:rsidP="00C61890">
            <w:pPr>
              <w:spacing w:line="400" w:lineRule="exact"/>
              <w:jc w:val="center"/>
              <w:rPr>
                <w:sz w:val="24"/>
              </w:rPr>
            </w:pPr>
            <w:r>
              <w:rPr>
                <w:rFonts w:hint="eastAsia"/>
                <w:sz w:val="24"/>
              </w:rPr>
              <w:t>4</w:t>
            </w:r>
          </w:p>
        </w:tc>
        <w:tc>
          <w:tcPr>
            <w:tcW w:w="6412" w:type="dxa"/>
            <w:vAlign w:val="center"/>
          </w:tcPr>
          <w:p w:rsidR="008613D0" w:rsidRDefault="008613D0" w:rsidP="00C61890">
            <w:pPr>
              <w:spacing w:line="400" w:lineRule="exact"/>
              <w:jc w:val="center"/>
              <w:rPr>
                <w:sz w:val="24"/>
              </w:rPr>
            </w:pPr>
            <w:r>
              <w:rPr>
                <w:rFonts w:hint="eastAsia"/>
                <w:sz w:val="24"/>
              </w:rPr>
              <w:t>高血压</w:t>
            </w:r>
          </w:p>
        </w:tc>
      </w:tr>
      <w:tr w:rsidR="008613D0" w:rsidTr="00C61890">
        <w:trPr>
          <w:jc w:val="center"/>
        </w:trPr>
        <w:tc>
          <w:tcPr>
            <w:tcW w:w="1455" w:type="dxa"/>
            <w:vMerge/>
            <w:vAlign w:val="center"/>
          </w:tcPr>
          <w:p w:rsidR="008613D0" w:rsidRDefault="008613D0" w:rsidP="00C61890">
            <w:pPr>
              <w:spacing w:line="400" w:lineRule="exact"/>
              <w:jc w:val="center"/>
              <w:rPr>
                <w:sz w:val="24"/>
              </w:rPr>
            </w:pPr>
          </w:p>
        </w:tc>
        <w:tc>
          <w:tcPr>
            <w:tcW w:w="758" w:type="dxa"/>
            <w:vAlign w:val="center"/>
          </w:tcPr>
          <w:p w:rsidR="008613D0" w:rsidRDefault="008613D0" w:rsidP="00C61890">
            <w:pPr>
              <w:spacing w:line="400" w:lineRule="exact"/>
              <w:jc w:val="center"/>
              <w:rPr>
                <w:rFonts w:hint="eastAsia"/>
                <w:sz w:val="24"/>
              </w:rPr>
            </w:pPr>
            <w:r>
              <w:rPr>
                <w:rFonts w:hint="eastAsia"/>
                <w:sz w:val="24"/>
              </w:rPr>
              <w:t>5</w:t>
            </w:r>
          </w:p>
        </w:tc>
        <w:tc>
          <w:tcPr>
            <w:tcW w:w="6412" w:type="dxa"/>
            <w:vAlign w:val="center"/>
          </w:tcPr>
          <w:p w:rsidR="008613D0" w:rsidRDefault="008613D0" w:rsidP="00C61890">
            <w:pPr>
              <w:spacing w:line="400" w:lineRule="exact"/>
              <w:jc w:val="center"/>
              <w:rPr>
                <w:rFonts w:hint="eastAsia"/>
                <w:sz w:val="24"/>
              </w:rPr>
            </w:pPr>
            <w:r>
              <w:rPr>
                <w:rFonts w:hint="eastAsia"/>
                <w:sz w:val="24"/>
              </w:rPr>
              <w:t>慢性心力衰竭</w:t>
            </w:r>
          </w:p>
        </w:tc>
      </w:tr>
      <w:tr w:rsidR="008613D0" w:rsidTr="00C61890">
        <w:trPr>
          <w:jc w:val="center"/>
        </w:trPr>
        <w:tc>
          <w:tcPr>
            <w:tcW w:w="1455" w:type="dxa"/>
            <w:vMerge w:val="restart"/>
            <w:vAlign w:val="center"/>
          </w:tcPr>
          <w:p w:rsidR="008613D0" w:rsidRDefault="008613D0" w:rsidP="00C61890">
            <w:pPr>
              <w:spacing w:line="400" w:lineRule="exact"/>
              <w:jc w:val="center"/>
              <w:rPr>
                <w:sz w:val="24"/>
              </w:rPr>
            </w:pPr>
            <w:r>
              <w:rPr>
                <w:rFonts w:hint="eastAsia"/>
                <w:sz w:val="24"/>
              </w:rPr>
              <w:t>消化系统</w:t>
            </w:r>
          </w:p>
        </w:tc>
        <w:tc>
          <w:tcPr>
            <w:tcW w:w="758" w:type="dxa"/>
            <w:vAlign w:val="center"/>
          </w:tcPr>
          <w:p w:rsidR="008613D0" w:rsidRDefault="008613D0" w:rsidP="00C61890">
            <w:pPr>
              <w:spacing w:line="400" w:lineRule="exact"/>
              <w:jc w:val="center"/>
              <w:rPr>
                <w:rFonts w:hint="eastAsia"/>
                <w:sz w:val="24"/>
              </w:rPr>
            </w:pPr>
            <w:r>
              <w:rPr>
                <w:rFonts w:hint="eastAsia"/>
                <w:sz w:val="24"/>
              </w:rPr>
              <w:t>6</w:t>
            </w:r>
          </w:p>
        </w:tc>
        <w:tc>
          <w:tcPr>
            <w:tcW w:w="6412" w:type="dxa"/>
            <w:vAlign w:val="center"/>
          </w:tcPr>
          <w:p w:rsidR="008613D0" w:rsidRDefault="008613D0" w:rsidP="00C61890">
            <w:pPr>
              <w:spacing w:line="400" w:lineRule="exact"/>
              <w:jc w:val="center"/>
              <w:rPr>
                <w:rFonts w:hint="eastAsia"/>
                <w:sz w:val="24"/>
              </w:rPr>
            </w:pPr>
            <w:r>
              <w:rPr>
                <w:rFonts w:hint="eastAsia"/>
                <w:sz w:val="24"/>
              </w:rPr>
              <w:t>慢性病毒性肝炎</w:t>
            </w:r>
          </w:p>
        </w:tc>
      </w:tr>
      <w:tr w:rsidR="008613D0" w:rsidTr="00C61890">
        <w:trPr>
          <w:jc w:val="center"/>
        </w:trPr>
        <w:tc>
          <w:tcPr>
            <w:tcW w:w="1455" w:type="dxa"/>
            <w:vMerge/>
            <w:vAlign w:val="center"/>
          </w:tcPr>
          <w:p w:rsidR="008613D0" w:rsidRDefault="008613D0" w:rsidP="00C61890">
            <w:pPr>
              <w:spacing w:line="400" w:lineRule="exact"/>
              <w:jc w:val="center"/>
              <w:rPr>
                <w:sz w:val="24"/>
              </w:rPr>
            </w:pPr>
          </w:p>
        </w:tc>
        <w:tc>
          <w:tcPr>
            <w:tcW w:w="758" w:type="dxa"/>
            <w:vAlign w:val="center"/>
          </w:tcPr>
          <w:p w:rsidR="008613D0" w:rsidRDefault="008613D0" w:rsidP="00C61890">
            <w:pPr>
              <w:spacing w:line="400" w:lineRule="exact"/>
              <w:jc w:val="center"/>
              <w:rPr>
                <w:rFonts w:hint="eastAsia"/>
                <w:sz w:val="24"/>
              </w:rPr>
            </w:pPr>
            <w:r>
              <w:rPr>
                <w:rFonts w:hint="eastAsia"/>
                <w:sz w:val="24"/>
              </w:rPr>
              <w:t>7</w:t>
            </w:r>
          </w:p>
        </w:tc>
        <w:tc>
          <w:tcPr>
            <w:tcW w:w="6412" w:type="dxa"/>
            <w:vAlign w:val="center"/>
          </w:tcPr>
          <w:p w:rsidR="008613D0" w:rsidRDefault="008613D0" w:rsidP="00C61890">
            <w:pPr>
              <w:spacing w:line="400" w:lineRule="exact"/>
              <w:jc w:val="center"/>
              <w:rPr>
                <w:rFonts w:hint="eastAsia"/>
                <w:sz w:val="24"/>
              </w:rPr>
            </w:pPr>
            <w:r>
              <w:rPr>
                <w:rFonts w:hint="eastAsia"/>
                <w:sz w:val="24"/>
              </w:rPr>
              <w:t>自身免疫性肝病（自身免疫性肝炎、原发性胆汁性肝硬化）</w:t>
            </w:r>
          </w:p>
        </w:tc>
      </w:tr>
      <w:tr w:rsidR="008613D0" w:rsidTr="00C61890">
        <w:trPr>
          <w:jc w:val="center"/>
        </w:trPr>
        <w:tc>
          <w:tcPr>
            <w:tcW w:w="1455" w:type="dxa"/>
            <w:vMerge/>
            <w:vAlign w:val="center"/>
          </w:tcPr>
          <w:p w:rsidR="008613D0" w:rsidRDefault="008613D0" w:rsidP="00C61890">
            <w:pPr>
              <w:spacing w:line="400" w:lineRule="exact"/>
              <w:jc w:val="center"/>
              <w:rPr>
                <w:sz w:val="24"/>
              </w:rPr>
            </w:pPr>
          </w:p>
        </w:tc>
        <w:tc>
          <w:tcPr>
            <w:tcW w:w="758" w:type="dxa"/>
            <w:vAlign w:val="center"/>
          </w:tcPr>
          <w:p w:rsidR="008613D0" w:rsidRDefault="008613D0" w:rsidP="00C61890">
            <w:pPr>
              <w:spacing w:line="400" w:lineRule="exact"/>
              <w:jc w:val="center"/>
              <w:rPr>
                <w:rFonts w:hint="eastAsia"/>
                <w:sz w:val="24"/>
              </w:rPr>
            </w:pPr>
            <w:r>
              <w:rPr>
                <w:rFonts w:hint="eastAsia"/>
                <w:sz w:val="24"/>
              </w:rPr>
              <w:t>8</w:t>
            </w:r>
          </w:p>
        </w:tc>
        <w:tc>
          <w:tcPr>
            <w:tcW w:w="6412" w:type="dxa"/>
            <w:vAlign w:val="center"/>
          </w:tcPr>
          <w:p w:rsidR="008613D0" w:rsidRDefault="008613D0" w:rsidP="00C61890">
            <w:pPr>
              <w:spacing w:line="400" w:lineRule="exact"/>
              <w:jc w:val="center"/>
              <w:rPr>
                <w:rFonts w:hint="eastAsia"/>
                <w:sz w:val="24"/>
              </w:rPr>
            </w:pPr>
            <w:r>
              <w:rPr>
                <w:rFonts w:hint="eastAsia"/>
                <w:sz w:val="24"/>
              </w:rPr>
              <w:t>炎症性肠病</w:t>
            </w:r>
          </w:p>
        </w:tc>
      </w:tr>
      <w:tr w:rsidR="008613D0" w:rsidTr="00C61890">
        <w:trPr>
          <w:jc w:val="center"/>
        </w:trPr>
        <w:tc>
          <w:tcPr>
            <w:tcW w:w="1455" w:type="dxa"/>
            <w:vMerge/>
            <w:vAlign w:val="center"/>
          </w:tcPr>
          <w:p w:rsidR="008613D0" w:rsidRDefault="008613D0" w:rsidP="00C61890">
            <w:pPr>
              <w:spacing w:line="400" w:lineRule="exact"/>
              <w:jc w:val="center"/>
              <w:rPr>
                <w:sz w:val="24"/>
              </w:rPr>
            </w:pPr>
          </w:p>
        </w:tc>
        <w:tc>
          <w:tcPr>
            <w:tcW w:w="758" w:type="dxa"/>
            <w:vAlign w:val="center"/>
          </w:tcPr>
          <w:p w:rsidR="008613D0" w:rsidRDefault="008613D0" w:rsidP="00C61890">
            <w:pPr>
              <w:spacing w:line="400" w:lineRule="exact"/>
              <w:jc w:val="center"/>
              <w:rPr>
                <w:rFonts w:hint="eastAsia"/>
                <w:sz w:val="24"/>
              </w:rPr>
            </w:pPr>
            <w:r>
              <w:rPr>
                <w:rFonts w:hint="eastAsia"/>
                <w:sz w:val="24"/>
              </w:rPr>
              <w:t>9</w:t>
            </w:r>
          </w:p>
        </w:tc>
        <w:tc>
          <w:tcPr>
            <w:tcW w:w="6412" w:type="dxa"/>
            <w:vAlign w:val="center"/>
          </w:tcPr>
          <w:p w:rsidR="008613D0" w:rsidRDefault="008613D0" w:rsidP="00C61890">
            <w:pPr>
              <w:spacing w:line="400" w:lineRule="exact"/>
              <w:jc w:val="center"/>
              <w:rPr>
                <w:rFonts w:hint="eastAsia"/>
                <w:sz w:val="24"/>
              </w:rPr>
            </w:pPr>
            <w:r>
              <w:rPr>
                <w:rFonts w:hint="eastAsia"/>
                <w:sz w:val="24"/>
              </w:rPr>
              <w:t>肝硬化</w:t>
            </w:r>
          </w:p>
        </w:tc>
      </w:tr>
      <w:tr w:rsidR="008613D0" w:rsidTr="00C61890">
        <w:trPr>
          <w:jc w:val="center"/>
        </w:trPr>
        <w:tc>
          <w:tcPr>
            <w:tcW w:w="1455" w:type="dxa"/>
            <w:vMerge/>
            <w:vAlign w:val="center"/>
          </w:tcPr>
          <w:p w:rsidR="008613D0" w:rsidRDefault="008613D0" w:rsidP="00C61890">
            <w:pPr>
              <w:spacing w:line="400" w:lineRule="exact"/>
              <w:jc w:val="center"/>
              <w:rPr>
                <w:sz w:val="24"/>
              </w:rPr>
            </w:pPr>
          </w:p>
        </w:tc>
        <w:tc>
          <w:tcPr>
            <w:tcW w:w="758" w:type="dxa"/>
            <w:vAlign w:val="center"/>
          </w:tcPr>
          <w:p w:rsidR="008613D0" w:rsidRDefault="008613D0" w:rsidP="00C61890">
            <w:pPr>
              <w:spacing w:line="400" w:lineRule="exact"/>
              <w:jc w:val="center"/>
              <w:rPr>
                <w:sz w:val="24"/>
              </w:rPr>
            </w:pPr>
            <w:r>
              <w:rPr>
                <w:rFonts w:hint="eastAsia"/>
                <w:sz w:val="24"/>
              </w:rPr>
              <w:t>10</w:t>
            </w:r>
          </w:p>
        </w:tc>
        <w:tc>
          <w:tcPr>
            <w:tcW w:w="6412" w:type="dxa"/>
            <w:vAlign w:val="center"/>
          </w:tcPr>
          <w:p w:rsidR="008613D0" w:rsidRDefault="008613D0" w:rsidP="00C61890">
            <w:pPr>
              <w:spacing w:line="400" w:lineRule="exact"/>
              <w:jc w:val="center"/>
              <w:rPr>
                <w:rFonts w:hint="eastAsia"/>
                <w:sz w:val="24"/>
              </w:rPr>
            </w:pPr>
            <w:r>
              <w:rPr>
                <w:rFonts w:hint="eastAsia"/>
                <w:sz w:val="24"/>
              </w:rPr>
              <w:t>慢性胰腺炎</w:t>
            </w:r>
          </w:p>
        </w:tc>
      </w:tr>
      <w:tr w:rsidR="008613D0" w:rsidTr="00C61890">
        <w:trPr>
          <w:jc w:val="center"/>
        </w:trPr>
        <w:tc>
          <w:tcPr>
            <w:tcW w:w="1455" w:type="dxa"/>
            <w:vMerge/>
            <w:vAlign w:val="center"/>
          </w:tcPr>
          <w:p w:rsidR="008613D0" w:rsidRDefault="008613D0" w:rsidP="00C61890">
            <w:pPr>
              <w:spacing w:line="400" w:lineRule="exact"/>
              <w:jc w:val="center"/>
              <w:rPr>
                <w:sz w:val="24"/>
              </w:rPr>
            </w:pPr>
          </w:p>
        </w:tc>
        <w:tc>
          <w:tcPr>
            <w:tcW w:w="758" w:type="dxa"/>
            <w:vAlign w:val="center"/>
          </w:tcPr>
          <w:p w:rsidR="008613D0" w:rsidRDefault="008613D0" w:rsidP="00C61890">
            <w:pPr>
              <w:spacing w:line="400" w:lineRule="exact"/>
              <w:jc w:val="center"/>
              <w:rPr>
                <w:sz w:val="24"/>
              </w:rPr>
            </w:pPr>
            <w:r>
              <w:rPr>
                <w:rFonts w:hint="eastAsia"/>
                <w:sz w:val="24"/>
              </w:rPr>
              <w:t>11</w:t>
            </w:r>
          </w:p>
        </w:tc>
        <w:tc>
          <w:tcPr>
            <w:tcW w:w="6412" w:type="dxa"/>
            <w:vAlign w:val="center"/>
          </w:tcPr>
          <w:p w:rsidR="008613D0" w:rsidRDefault="008613D0" w:rsidP="00C61890">
            <w:pPr>
              <w:spacing w:line="400" w:lineRule="exact"/>
              <w:jc w:val="center"/>
              <w:rPr>
                <w:rFonts w:hint="eastAsia"/>
                <w:sz w:val="24"/>
              </w:rPr>
            </w:pPr>
            <w:r>
              <w:rPr>
                <w:rFonts w:hint="eastAsia"/>
                <w:sz w:val="24"/>
              </w:rPr>
              <w:t>消化性溃疡</w:t>
            </w:r>
          </w:p>
        </w:tc>
      </w:tr>
      <w:tr w:rsidR="008613D0" w:rsidTr="00C61890">
        <w:trPr>
          <w:jc w:val="center"/>
        </w:trPr>
        <w:tc>
          <w:tcPr>
            <w:tcW w:w="1455" w:type="dxa"/>
            <w:vMerge w:val="restart"/>
            <w:vAlign w:val="center"/>
          </w:tcPr>
          <w:p w:rsidR="008613D0" w:rsidRDefault="008613D0" w:rsidP="00C61890">
            <w:pPr>
              <w:spacing w:line="400" w:lineRule="exact"/>
              <w:jc w:val="center"/>
              <w:rPr>
                <w:sz w:val="24"/>
              </w:rPr>
            </w:pPr>
            <w:r>
              <w:rPr>
                <w:rFonts w:hint="eastAsia"/>
                <w:sz w:val="24"/>
              </w:rPr>
              <w:t>内分泌系统</w:t>
            </w:r>
          </w:p>
        </w:tc>
        <w:tc>
          <w:tcPr>
            <w:tcW w:w="758" w:type="dxa"/>
            <w:vAlign w:val="center"/>
          </w:tcPr>
          <w:p w:rsidR="008613D0" w:rsidRDefault="008613D0" w:rsidP="00C61890">
            <w:pPr>
              <w:spacing w:line="400" w:lineRule="exact"/>
              <w:jc w:val="center"/>
              <w:rPr>
                <w:sz w:val="24"/>
              </w:rPr>
            </w:pPr>
            <w:r>
              <w:rPr>
                <w:rFonts w:hint="eastAsia"/>
                <w:sz w:val="24"/>
              </w:rPr>
              <w:t>12</w:t>
            </w:r>
          </w:p>
        </w:tc>
        <w:tc>
          <w:tcPr>
            <w:tcW w:w="6412" w:type="dxa"/>
            <w:vAlign w:val="center"/>
          </w:tcPr>
          <w:p w:rsidR="008613D0" w:rsidRDefault="008613D0" w:rsidP="00C61890">
            <w:pPr>
              <w:spacing w:line="400" w:lineRule="exact"/>
              <w:jc w:val="center"/>
              <w:rPr>
                <w:rFonts w:hint="eastAsia"/>
                <w:sz w:val="24"/>
              </w:rPr>
            </w:pPr>
            <w:r>
              <w:rPr>
                <w:rFonts w:hint="eastAsia"/>
                <w:sz w:val="24"/>
              </w:rPr>
              <w:t>高脂血症</w:t>
            </w:r>
          </w:p>
        </w:tc>
      </w:tr>
      <w:tr w:rsidR="008613D0" w:rsidTr="00C61890">
        <w:trPr>
          <w:jc w:val="center"/>
        </w:trPr>
        <w:tc>
          <w:tcPr>
            <w:tcW w:w="1455" w:type="dxa"/>
            <w:vMerge/>
            <w:vAlign w:val="center"/>
          </w:tcPr>
          <w:p w:rsidR="008613D0" w:rsidRDefault="008613D0" w:rsidP="00C61890">
            <w:pPr>
              <w:spacing w:line="400" w:lineRule="exact"/>
              <w:jc w:val="center"/>
              <w:rPr>
                <w:sz w:val="24"/>
              </w:rPr>
            </w:pPr>
          </w:p>
        </w:tc>
        <w:tc>
          <w:tcPr>
            <w:tcW w:w="758" w:type="dxa"/>
            <w:vAlign w:val="center"/>
          </w:tcPr>
          <w:p w:rsidR="008613D0" w:rsidRDefault="008613D0" w:rsidP="00C61890">
            <w:pPr>
              <w:spacing w:line="400" w:lineRule="exact"/>
              <w:jc w:val="center"/>
              <w:rPr>
                <w:sz w:val="24"/>
              </w:rPr>
            </w:pPr>
            <w:r>
              <w:rPr>
                <w:rFonts w:hint="eastAsia"/>
                <w:sz w:val="24"/>
              </w:rPr>
              <w:t>13</w:t>
            </w:r>
          </w:p>
        </w:tc>
        <w:tc>
          <w:tcPr>
            <w:tcW w:w="6412" w:type="dxa"/>
            <w:vAlign w:val="center"/>
          </w:tcPr>
          <w:p w:rsidR="008613D0" w:rsidRDefault="008613D0" w:rsidP="00C61890">
            <w:pPr>
              <w:spacing w:line="400" w:lineRule="exact"/>
              <w:jc w:val="center"/>
              <w:rPr>
                <w:rFonts w:hint="eastAsia"/>
                <w:sz w:val="24"/>
              </w:rPr>
            </w:pPr>
            <w:r>
              <w:rPr>
                <w:rFonts w:hint="eastAsia"/>
                <w:sz w:val="24"/>
              </w:rPr>
              <w:t>糖尿病</w:t>
            </w:r>
          </w:p>
        </w:tc>
      </w:tr>
      <w:tr w:rsidR="008613D0" w:rsidTr="00C61890">
        <w:trPr>
          <w:jc w:val="center"/>
        </w:trPr>
        <w:tc>
          <w:tcPr>
            <w:tcW w:w="1455" w:type="dxa"/>
            <w:vMerge/>
            <w:vAlign w:val="center"/>
          </w:tcPr>
          <w:p w:rsidR="008613D0" w:rsidRDefault="008613D0" w:rsidP="00C61890">
            <w:pPr>
              <w:spacing w:line="400" w:lineRule="exact"/>
              <w:jc w:val="center"/>
              <w:rPr>
                <w:sz w:val="24"/>
              </w:rPr>
            </w:pPr>
          </w:p>
        </w:tc>
        <w:tc>
          <w:tcPr>
            <w:tcW w:w="758" w:type="dxa"/>
            <w:vAlign w:val="center"/>
          </w:tcPr>
          <w:p w:rsidR="008613D0" w:rsidRDefault="008613D0" w:rsidP="00C61890">
            <w:pPr>
              <w:spacing w:line="400" w:lineRule="exact"/>
              <w:jc w:val="center"/>
              <w:rPr>
                <w:rFonts w:hint="eastAsia"/>
                <w:sz w:val="24"/>
              </w:rPr>
            </w:pPr>
            <w:r>
              <w:rPr>
                <w:rFonts w:hint="eastAsia"/>
                <w:sz w:val="24"/>
              </w:rPr>
              <w:t>14</w:t>
            </w:r>
          </w:p>
        </w:tc>
        <w:tc>
          <w:tcPr>
            <w:tcW w:w="6412" w:type="dxa"/>
            <w:vAlign w:val="center"/>
          </w:tcPr>
          <w:p w:rsidR="008613D0" w:rsidRDefault="008613D0" w:rsidP="00C61890">
            <w:pPr>
              <w:spacing w:line="400" w:lineRule="exact"/>
              <w:jc w:val="center"/>
              <w:rPr>
                <w:rFonts w:hint="eastAsia"/>
                <w:sz w:val="24"/>
              </w:rPr>
            </w:pPr>
            <w:r>
              <w:rPr>
                <w:rFonts w:hint="eastAsia"/>
                <w:sz w:val="24"/>
              </w:rPr>
              <w:t>甲状腺功能减退</w:t>
            </w:r>
          </w:p>
        </w:tc>
      </w:tr>
      <w:tr w:rsidR="008613D0" w:rsidTr="00C61890">
        <w:trPr>
          <w:jc w:val="center"/>
        </w:trPr>
        <w:tc>
          <w:tcPr>
            <w:tcW w:w="1455" w:type="dxa"/>
            <w:vMerge w:val="restart"/>
            <w:vAlign w:val="center"/>
          </w:tcPr>
          <w:p w:rsidR="008613D0" w:rsidRDefault="008613D0" w:rsidP="00C61890">
            <w:pPr>
              <w:spacing w:line="400" w:lineRule="exact"/>
              <w:jc w:val="center"/>
              <w:rPr>
                <w:sz w:val="24"/>
              </w:rPr>
            </w:pPr>
            <w:r>
              <w:rPr>
                <w:rFonts w:hint="eastAsia"/>
                <w:sz w:val="24"/>
              </w:rPr>
              <w:t>神经系统</w:t>
            </w:r>
          </w:p>
        </w:tc>
        <w:tc>
          <w:tcPr>
            <w:tcW w:w="758" w:type="dxa"/>
            <w:vAlign w:val="center"/>
          </w:tcPr>
          <w:p w:rsidR="008613D0" w:rsidRDefault="008613D0" w:rsidP="00C61890">
            <w:pPr>
              <w:spacing w:line="400" w:lineRule="exact"/>
              <w:jc w:val="center"/>
              <w:rPr>
                <w:rFonts w:hint="eastAsia"/>
                <w:sz w:val="24"/>
              </w:rPr>
            </w:pPr>
            <w:r>
              <w:rPr>
                <w:rFonts w:hint="eastAsia"/>
                <w:sz w:val="24"/>
              </w:rPr>
              <w:t>15</w:t>
            </w:r>
          </w:p>
        </w:tc>
        <w:tc>
          <w:tcPr>
            <w:tcW w:w="6412" w:type="dxa"/>
            <w:vAlign w:val="center"/>
          </w:tcPr>
          <w:p w:rsidR="008613D0" w:rsidRDefault="008613D0" w:rsidP="00C61890">
            <w:pPr>
              <w:spacing w:line="400" w:lineRule="exact"/>
              <w:jc w:val="center"/>
              <w:rPr>
                <w:sz w:val="24"/>
              </w:rPr>
            </w:pPr>
            <w:r>
              <w:rPr>
                <w:rFonts w:hint="eastAsia"/>
                <w:sz w:val="24"/>
              </w:rPr>
              <w:t>脑卒中</w:t>
            </w:r>
          </w:p>
        </w:tc>
      </w:tr>
      <w:tr w:rsidR="008613D0" w:rsidTr="00C61890">
        <w:trPr>
          <w:jc w:val="center"/>
        </w:trPr>
        <w:tc>
          <w:tcPr>
            <w:tcW w:w="1455" w:type="dxa"/>
            <w:vMerge/>
            <w:vAlign w:val="center"/>
          </w:tcPr>
          <w:p w:rsidR="008613D0" w:rsidRDefault="008613D0" w:rsidP="00C61890">
            <w:pPr>
              <w:spacing w:line="400" w:lineRule="exact"/>
              <w:jc w:val="center"/>
              <w:rPr>
                <w:sz w:val="24"/>
              </w:rPr>
            </w:pPr>
          </w:p>
        </w:tc>
        <w:tc>
          <w:tcPr>
            <w:tcW w:w="758" w:type="dxa"/>
            <w:vAlign w:val="center"/>
          </w:tcPr>
          <w:p w:rsidR="008613D0" w:rsidRDefault="008613D0" w:rsidP="00C61890">
            <w:pPr>
              <w:spacing w:line="400" w:lineRule="exact"/>
              <w:jc w:val="center"/>
              <w:rPr>
                <w:rFonts w:hint="eastAsia"/>
                <w:sz w:val="24"/>
              </w:rPr>
            </w:pPr>
            <w:r>
              <w:rPr>
                <w:rFonts w:hint="eastAsia"/>
                <w:sz w:val="24"/>
              </w:rPr>
              <w:t>16</w:t>
            </w:r>
          </w:p>
        </w:tc>
        <w:tc>
          <w:tcPr>
            <w:tcW w:w="6412" w:type="dxa"/>
            <w:vAlign w:val="center"/>
          </w:tcPr>
          <w:p w:rsidR="008613D0" w:rsidRDefault="008613D0" w:rsidP="00C61890">
            <w:pPr>
              <w:spacing w:line="400" w:lineRule="exact"/>
              <w:jc w:val="center"/>
              <w:rPr>
                <w:sz w:val="24"/>
              </w:rPr>
            </w:pPr>
            <w:r>
              <w:rPr>
                <w:rFonts w:hint="eastAsia"/>
                <w:sz w:val="24"/>
              </w:rPr>
              <w:t>癫痫</w:t>
            </w:r>
          </w:p>
        </w:tc>
      </w:tr>
      <w:tr w:rsidR="008613D0" w:rsidTr="00C61890">
        <w:trPr>
          <w:jc w:val="center"/>
        </w:trPr>
        <w:tc>
          <w:tcPr>
            <w:tcW w:w="1455" w:type="dxa"/>
            <w:vMerge/>
            <w:vAlign w:val="center"/>
          </w:tcPr>
          <w:p w:rsidR="008613D0" w:rsidRDefault="008613D0" w:rsidP="00C61890">
            <w:pPr>
              <w:spacing w:line="400" w:lineRule="exact"/>
              <w:jc w:val="center"/>
              <w:rPr>
                <w:sz w:val="24"/>
              </w:rPr>
            </w:pPr>
          </w:p>
        </w:tc>
        <w:tc>
          <w:tcPr>
            <w:tcW w:w="758" w:type="dxa"/>
            <w:vAlign w:val="center"/>
          </w:tcPr>
          <w:p w:rsidR="008613D0" w:rsidRDefault="008613D0" w:rsidP="00C61890">
            <w:pPr>
              <w:spacing w:line="400" w:lineRule="exact"/>
              <w:jc w:val="center"/>
              <w:rPr>
                <w:rFonts w:hint="eastAsia"/>
                <w:sz w:val="24"/>
              </w:rPr>
            </w:pPr>
            <w:r>
              <w:rPr>
                <w:rFonts w:hint="eastAsia"/>
                <w:sz w:val="24"/>
              </w:rPr>
              <w:t>17</w:t>
            </w:r>
          </w:p>
        </w:tc>
        <w:tc>
          <w:tcPr>
            <w:tcW w:w="6412" w:type="dxa"/>
            <w:vAlign w:val="center"/>
          </w:tcPr>
          <w:p w:rsidR="008613D0" w:rsidRDefault="008613D0" w:rsidP="00C61890">
            <w:pPr>
              <w:spacing w:line="400" w:lineRule="exact"/>
              <w:jc w:val="center"/>
              <w:rPr>
                <w:sz w:val="24"/>
              </w:rPr>
            </w:pPr>
            <w:r>
              <w:rPr>
                <w:rFonts w:hint="eastAsia"/>
                <w:sz w:val="24"/>
              </w:rPr>
              <w:t>帕金森病</w:t>
            </w:r>
          </w:p>
        </w:tc>
      </w:tr>
      <w:tr w:rsidR="008613D0" w:rsidTr="00C61890">
        <w:trPr>
          <w:jc w:val="center"/>
        </w:trPr>
        <w:tc>
          <w:tcPr>
            <w:tcW w:w="1455" w:type="dxa"/>
            <w:vMerge/>
            <w:vAlign w:val="center"/>
          </w:tcPr>
          <w:p w:rsidR="008613D0" w:rsidRDefault="008613D0" w:rsidP="00C61890">
            <w:pPr>
              <w:spacing w:line="400" w:lineRule="exact"/>
              <w:jc w:val="center"/>
              <w:rPr>
                <w:sz w:val="24"/>
              </w:rPr>
            </w:pPr>
          </w:p>
        </w:tc>
        <w:tc>
          <w:tcPr>
            <w:tcW w:w="758" w:type="dxa"/>
            <w:vAlign w:val="center"/>
          </w:tcPr>
          <w:p w:rsidR="008613D0" w:rsidRDefault="008613D0" w:rsidP="00C61890">
            <w:pPr>
              <w:spacing w:line="400" w:lineRule="exact"/>
              <w:jc w:val="center"/>
              <w:rPr>
                <w:rFonts w:hint="eastAsia"/>
                <w:sz w:val="24"/>
              </w:rPr>
            </w:pPr>
            <w:r>
              <w:rPr>
                <w:rFonts w:hint="eastAsia"/>
                <w:sz w:val="24"/>
              </w:rPr>
              <w:t>18</w:t>
            </w:r>
          </w:p>
        </w:tc>
        <w:tc>
          <w:tcPr>
            <w:tcW w:w="6412" w:type="dxa"/>
            <w:vAlign w:val="center"/>
          </w:tcPr>
          <w:p w:rsidR="008613D0" w:rsidRDefault="008613D0" w:rsidP="00C61890">
            <w:pPr>
              <w:spacing w:line="400" w:lineRule="exact"/>
              <w:jc w:val="center"/>
              <w:rPr>
                <w:sz w:val="24"/>
              </w:rPr>
            </w:pPr>
            <w:r>
              <w:rPr>
                <w:rFonts w:hint="eastAsia"/>
                <w:sz w:val="24"/>
              </w:rPr>
              <w:t>阿尔茨海默病</w:t>
            </w:r>
          </w:p>
        </w:tc>
      </w:tr>
      <w:tr w:rsidR="008613D0" w:rsidTr="00C61890">
        <w:trPr>
          <w:jc w:val="center"/>
        </w:trPr>
        <w:tc>
          <w:tcPr>
            <w:tcW w:w="1455" w:type="dxa"/>
            <w:vMerge w:val="restart"/>
            <w:vAlign w:val="center"/>
          </w:tcPr>
          <w:p w:rsidR="008613D0" w:rsidRDefault="008613D0" w:rsidP="00C61890">
            <w:pPr>
              <w:spacing w:line="400" w:lineRule="exact"/>
              <w:jc w:val="center"/>
              <w:rPr>
                <w:sz w:val="24"/>
              </w:rPr>
            </w:pPr>
            <w:r>
              <w:rPr>
                <w:rFonts w:hint="eastAsia"/>
                <w:sz w:val="24"/>
              </w:rPr>
              <w:t>泌尿系统</w:t>
            </w:r>
          </w:p>
        </w:tc>
        <w:tc>
          <w:tcPr>
            <w:tcW w:w="758" w:type="dxa"/>
            <w:vAlign w:val="center"/>
          </w:tcPr>
          <w:p w:rsidR="008613D0" w:rsidRDefault="008613D0" w:rsidP="00C61890">
            <w:pPr>
              <w:spacing w:line="400" w:lineRule="exact"/>
              <w:jc w:val="center"/>
              <w:rPr>
                <w:rFonts w:hint="eastAsia"/>
                <w:sz w:val="24"/>
              </w:rPr>
            </w:pPr>
            <w:r>
              <w:rPr>
                <w:rFonts w:hint="eastAsia"/>
                <w:sz w:val="24"/>
              </w:rPr>
              <w:t>19</w:t>
            </w:r>
          </w:p>
        </w:tc>
        <w:tc>
          <w:tcPr>
            <w:tcW w:w="6412" w:type="dxa"/>
            <w:vAlign w:val="center"/>
          </w:tcPr>
          <w:p w:rsidR="008613D0" w:rsidRDefault="008613D0" w:rsidP="00C61890">
            <w:pPr>
              <w:spacing w:line="400" w:lineRule="exact"/>
              <w:jc w:val="center"/>
              <w:rPr>
                <w:sz w:val="24"/>
              </w:rPr>
            </w:pPr>
            <w:r>
              <w:rPr>
                <w:rFonts w:hint="eastAsia"/>
                <w:sz w:val="24"/>
              </w:rPr>
              <w:t>慢性肾脏病</w:t>
            </w:r>
          </w:p>
        </w:tc>
      </w:tr>
      <w:tr w:rsidR="008613D0" w:rsidTr="00C61890">
        <w:trPr>
          <w:jc w:val="center"/>
        </w:trPr>
        <w:tc>
          <w:tcPr>
            <w:tcW w:w="1455" w:type="dxa"/>
            <w:vMerge/>
            <w:vAlign w:val="center"/>
          </w:tcPr>
          <w:p w:rsidR="008613D0" w:rsidRDefault="008613D0" w:rsidP="00C61890">
            <w:pPr>
              <w:spacing w:line="400" w:lineRule="exact"/>
              <w:jc w:val="center"/>
              <w:rPr>
                <w:sz w:val="24"/>
              </w:rPr>
            </w:pPr>
          </w:p>
        </w:tc>
        <w:tc>
          <w:tcPr>
            <w:tcW w:w="758" w:type="dxa"/>
            <w:vAlign w:val="center"/>
          </w:tcPr>
          <w:p w:rsidR="008613D0" w:rsidRDefault="008613D0" w:rsidP="00C61890">
            <w:pPr>
              <w:spacing w:line="400" w:lineRule="exact"/>
              <w:jc w:val="center"/>
              <w:rPr>
                <w:sz w:val="24"/>
              </w:rPr>
            </w:pPr>
            <w:r>
              <w:rPr>
                <w:rFonts w:hint="eastAsia"/>
                <w:sz w:val="24"/>
              </w:rPr>
              <w:t>20</w:t>
            </w:r>
          </w:p>
        </w:tc>
        <w:tc>
          <w:tcPr>
            <w:tcW w:w="6412" w:type="dxa"/>
            <w:vAlign w:val="center"/>
          </w:tcPr>
          <w:p w:rsidR="008613D0" w:rsidRDefault="008613D0" w:rsidP="00C61890">
            <w:pPr>
              <w:spacing w:line="400" w:lineRule="exact"/>
              <w:jc w:val="center"/>
              <w:rPr>
                <w:sz w:val="24"/>
              </w:rPr>
            </w:pPr>
            <w:r>
              <w:rPr>
                <w:rFonts w:hint="eastAsia"/>
                <w:sz w:val="24"/>
              </w:rPr>
              <w:t>肾功能衰竭尿毒症（血液透析、腹膜透析）</w:t>
            </w:r>
          </w:p>
        </w:tc>
      </w:tr>
      <w:tr w:rsidR="008613D0" w:rsidTr="00C61890">
        <w:trPr>
          <w:jc w:val="center"/>
        </w:trPr>
        <w:tc>
          <w:tcPr>
            <w:tcW w:w="1455" w:type="dxa"/>
            <w:vMerge/>
            <w:vAlign w:val="center"/>
          </w:tcPr>
          <w:p w:rsidR="008613D0" w:rsidRDefault="008613D0" w:rsidP="00C61890">
            <w:pPr>
              <w:spacing w:line="400" w:lineRule="exact"/>
              <w:jc w:val="center"/>
              <w:rPr>
                <w:sz w:val="24"/>
              </w:rPr>
            </w:pPr>
          </w:p>
        </w:tc>
        <w:tc>
          <w:tcPr>
            <w:tcW w:w="758" w:type="dxa"/>
            <w:vAlign w:val="center"/>
          </w:tcPr>
          <w:p w:rsidR="008613D0" w:rsidRDefault="008613D0" w:rsidP="00C61890">
            <w:pPr>
              <w:spacing w:line="400" w:lineRule="exact"/>
              <w:jc w:val="center"/>
              <w:rPr>
                <w:sz w:val="24"/>
              </w:rPr>
            </w:pPr>
            <w:r>
              <w:rPr>
                <w:rFonts w:hint="eastAsia"/>
                <w:sz w:val="24"/>
              </w:rPr>
              <w:t>21</w:t>
            </w:r>
          </w:p>
        </w:tc>
        <w:tc>
          <w:tcPr>
            <w:tcW w:w="6412" w:type="dxa"/>
            <w:vAlign w:val="center"/>
          </w:tcPr>
          <w:p w:rsidR="008613D0" w:rsidRDefault="008613D0" w:rsidP="00C61890">
            <w:pPr>
              <w:spacing w:line="400" w:lineRule="exact"/>
              <w:jc w:val="center"/>
              <w:rPr>
                <w:sz w:val="24"/>
              </w:rPr>
            </w:pPr>
            <w:r>
              <w:rPr>
                <w:rFonts w:hint="eastAsia"/>
                <w:sz w:val="24"/>
              </w:rPr>
              <w:t>慢性前列腺增生</w:t>
            </w:r>
          </w:p>
        </w:tc>
      </w:tr>
    </w:tbl>
    <w:p w:rsidR="008613D0" w:rsidRDefault="008613D0" w:rsidP="008613D0">
      <w:pPr>
        <w:spacing w:line="0" w:lineRule="atLeast"/>
        <w:jc w:val="left"/>
        <w:rPr>
          <w:rFonts w:ascii="仿宋_GB2312" w:eastAsia="仿宋_GB2312" w:hAnsi="仿宋_GB2312" w:cs="仿宋_GB2312"/>
          <w:sz w:val="32"/>
          <w:szCs w:val="32"/>
        </w:rPr>
      </w:pPr>
    </w:p>
    <w:p w:rsidR="008613D0" w:rsidRPr="00C61890" w:rsidRDefault="008613D0" w:rsidP="008613D0">
      <w:pPr>
        <w:spacing w:line="577" w:lineRule="exact"/>
        <w:jc w:val="left"/>
        <w:rPr>
          <w:rFonts w:ascii="黑体" w:eastAsia="黑体" w:hAnsi="黑体" w:cs="黑体" w:hint="eastAsia"/>
          <w:sz w:val="32"/>
          <w:szCs w:val="32"/>
        </w:rPr>
      </w:pPr>
      <w:r>
        <w:rPr>
          <w:rFonts w:ascii="仿宋_GB2312" w:eastAsia="仿宋_GB2312" w:hAnsi="仿宋_GB2312" w:cs="仿宋_GB2312"/>
          <w:sz w:val="32"/>
          <w:szCs w:val="32"/>
        </w:rPr>
        <w:br w:type="page"/>
      </w:r>
      <w:r w:rsidRPr="00C61890">
        <w:rPr>
          <w:rFonts w:ascii="黑体" w:eastAsia="黑体" w:hAnsi="黑体" w:cs="黑体" w:hint="eastAsia"/>
          <w:sz w:val="32"/>
          <w:szCs w:val="32"/>
        </w:rPr>
        <w:lastRenderedPageBreak/>
        <w:t>附件2</w:t>
      </w:r>
    </w:p>
    <w:p w:rsidR="008613D0" w:rsidRDefault="008613D0" w:rsidP="008613D0">
      <w:pPr>
        <w:spacing w:line="577" w:lineRule="exact"/>
        <w:jc w:val="left"/>
        <w:rPr>
          <w:rFonts w:ascii="仿宋_GB2312" w:eastAsia="仿宋_GB2312" w:hAnsi="仿宋_GB2312" w:cs="仿宋_GB2312" w:hint="eastAsia"/>
          <w:sz w:val="32"/>
          <w:szCs w:val="32"/>
        </w:rPr>
      </w:pPr>
    </w:p>
    <w:p w:rsidR="008613D0" w:rsidRPr="00C61890" w:rsidRDefault="008613D0" w:rsidP="008613D0">
      <w:pPr>
        <w:spacing w:line="577" w:lineRule="exact"/>
        <w:jc w:val="center"/>
        <w:rPr>
          <w:rFonts w:ascii="方正小标宋_GBK" w:eastAsia="方正小标宋_GBK" w:hint="eastAsia"/>
          <w:sz w:val="40"/>
          <w:szCs w:val="40"/>
        </w:rPr>
      </w:pPr>
      <w:bookmarkStart w:id="0" w:name="_GoBack"/>
      <w:bookmarkEnd w:id="0"/>
      <w:r w:rsidRPr="00C61890">
        <w:rPr>
          <w:rFonts w:ascii="方正小标宋_GBK" w:eastAsia="方正小标宋_GBK" w:hint="eastAsia"/>
          <w:sz w:val="40"/>
          <w:szCs w:val="40"/>
        </w:rPr>
        <w:t>长期处方管理规范</w:t>
      </w:r>
    </w:p>
    <w:p w:rsidR="008613D0" w:rsidRDefault="008613D0" w:rsidP="008613D0">
      <w:pPr>
        <w:spacing w:line="577" w:lineRule="exact"/>
        <w:jc w:val="center"/>
        <w:rPr>
          <w:rFonts w:ascii="楷体_GB2312" w:eastAsia="楷体_GB2312" w:hint="eastAsia"/>
          <w:sz w:val="32"/>
          <w:szCs w:val="32"/>
        </w:rPr>
      </w:pPr>
      <w:r>
        <w:rPr>
          <w:rFonts w:ascii="楷体_GB2312" w:eastAsia="楷体_GB2312" w:hint="eastAsia"/>
          <w:sz w:val="32"/>
          <w:szCs w:val="32"/>
        </w:rPr>
        <w:t>（试行）</w:t>
      </w:r>
    </w:p>
    <w:p w:rsidR="008613D0" w:rsidRDefault="008613D0" w:rsidP="008613D0">
      <w:pPr>
        <w:spacing w:line="577" w:lineRule="exact"/>
        <w:rPr>
          <w:rFonts w:ascii="仿宋_GB2312" w:eastAsia="仿宋_GB2312" w:hint="eastAsia"/>
          <w:sz w:val="32"/>
          <w:szCs w:val="32"/>
        </w:rPr>
      </w:pPr>
    </w:p>
    <w:p w:rsidR="008613D0" w:rsidRDefault="008613D0" w:rsidP="008613D0">
      <w:pPr>
        <w:spacing w:line="577" w:lineRule="exact"/>
        <w:jc w:val="center"/>
        <w:rPr>
          <w:rFonts w:ascii="黑体" w:eastAsia="黑体" w:hAnsi="黑体" w:hint="eastAsia"/>
          <w:sz w:val="32"/>
          <w:szCs w:val="32"/>
        </w:rPr>
      </w:pPr>
      <w:r>
        <w:rPr>
          <w:rFonts w:ascii="黑体" w:eastAsia="黑体" w:hAnsi="黑体" w:hint="eastAsia"/>
          <w:sz w:val="32"/>
          <w:szCs w:val="32"/>
        </w:rPr>
        <w:t>第一章  总则</w:t>
      </w:r>
    </w:p>
    <w:p w:rsidR="008613D0" w:rsidRDefault="008613D0" w:rsidP="008613D0">
      <w:pPr>
        <w:spacing w:line="577" w:lineRule="exact"/>
        <w:ind w:firstLineChars="200" w:firstLine="640"/>
        <w:rPr>
          <w:rFonts w:ascii="仿宋_GB2312" w:eastAsia="仿宋_GB2312" w:hint="eastAsia"/>
          <w:sz w:val="32"/>
          <w:szCs w:val="32"/>
        </w:rPr>
      </w:pPr>
      <w:r>
        <w:rPr>
          <w:rFonts w:ascii="黑体" w:eastAsia="黑体" w:hAnsi="黑体" w:hint="eastAsia"/>
          <w:sz w:val="32"/>
          <w:szCs w:val="32"/>
        </w:rPr>
        <w:t>第一条</w:t>
      </w:r>
      <w:r>
        <w:rPr>
          <w:rFonts w:ascii="仿宋_GB2312" w:eastAsia="仿宋_GB2312" w:hint="eastAsia"/>
          <w:sz w:val="32"/>
          <w:szCs w:val="32"/>
        </w:rPr>
        <w:t xml:space="preserve">  为规范长期处方管理，推进分级诊疗，促进合理用药，保障医疗质量和医疗安全，根据《执业医师法》《药品管理法》《医疗机构管理条例》《麻醉药品和精神药品管理条例》《处方管理办法》《医疗机构药事管理规定》等相关规定，制定本规范。</w:t>
      </w:r>
    </w:p>
    <w:p w:rsidR="008613D0" w:rsidRDefault="008613D0" w:rsidP="008613D0">
      <w:pPr>
        <w:spacing w:line="577" w:lineRule="exact"/>
        <w:ind w:firstLineChars="200" w:firstLine="640"/>
        <w:rPr>
          <w:rFonts w:ascii="仿宋_GB2312" w:eastAsia="仿宋_GB2312" w:hint="eastAsia"/>
          <w:sz w:val="32"/>
          <w:szCs w:val="32"/>
        </w:rPr>
      </w:pPr>
      <w:r>
        <w:rPr>
          <w:rFonts w:ascii="黑体" w:eastAsia="黑体" w:hAnsi="黑体" w:hint="eastAsia"/>
          <w:sz w:val="32"/>
          <w:szCs w:val="32"/>
        </w:rPr>
        <w:t>第二条</w:t>
      </w:r>
      <w:r>
        <w:rPr>
          <w:rFonts w:ascii="仿宋_GB2312" w:eastAsia="仿宋_GB2312" w:hint="eastAsia"/>
          <w:sz w:val="32"/>
          <w:szCs w:val="32"/>
        </w:rPr>
        <w:t xml:space="preserve">  本规范所称长期处方是指具备条件的医师按照规定，对符合条件的慢性病患者开具的处方用量适当增加的处方。</w:t>
      </w:r>
    </w:p>
    <w:p w:rsidR="008613D0" w:rsidRDefault="008613D0" w:rsidP="008613D0">
      <w:pPr>
        <w:spacing w:line="577" w:lineRule="exact"/>
        <w:ind w:firstLineChars="200" w:firstLine="640"/>
        <w:rPr>
          <w:rFonts w:ascii="仿宋_GB2312" w:eastAsia="仿宋_GB2312" w:hint="eastAsia"/>
          <w:sz w:val="32"/>
          <w:szCs w:val="32"/>
        </w:rPr>
      </w:pPr>
      <w:r>
        <w:rPr>
          <w:rFonts w:ascii="黑体" w:eastAsia="黑体" w:hAnsi="黑体" w:hint="eastAsia"/>
          <w:sz w:val="32"/>
          <w:szCs w:val="32"/>
        </w:rPr>
        <w:t>第三条</w:t>
      </w:r>
      <w:r>
        <w:rPr>
          <w:rFonts w:ascii="仿宋_GB2312" w:eastAsia="仿宋_GB2312" w:hint="eastAsia"/>
          <w:sz w:val="32"/>
          <w:szCs w:val="32"/>
        </w:rPr>
        <w:t xml:space="preserve">  长期处方适用于临床诊断明确、用药方案稳定、依从性良好、病情控制平稳、需长期药物治疗的慢性病患者。</w:t>
      </w:r>
    </w:p>
    <w:p w:rsidR="008613D0" w:rsidRDefault="008613D0" w:rsidP="008613D0">
      <w:pPr>
        <w:spacing w:line="577" w:lineRule="exact"/>
        <w:ind w:firstLineChars="200" w:firstLine="640"/>
        <w:rPr>
          <w:rFonts w:ascii="仿宋_GB2312" w:eastAsia="仿宋_GB2312" w:hint="eastAsia"/>
          <w:sz w:val="32"/>
          <w:szCs w:val="32"/>
        </w:rPr>
      </w:pPr>
      <w:r>
        <w:rPr>
          <w:rFonts w:ascii="黑体" w:eastAsia="黑体" w:hAnsi="黑体" w:hint="eastAsia"/>
          <w:sz w:val="32"/>
          <w:szCs w:val="32"/>
        </w:rPr>
        <w:t>第四条</w:t>
      </w:r>
      <w:r>
        <w:rPr>
          <w:rFonts w:ascii="仿宋_GB2312" w:eastAsia="仿宋_GB2312" w:hint="eastAsia"/>
          <w:sz w:val="32"/>
          <w:szCs w:val="32"/>
        </w:rPr>
        <w:t xml:space="preserve">  治疗慢性病的一般常用药品可用于长期处方。</w:t>
      </w:r>
    </w:p>
    <w:p w:rsidR="008613D0" w:rsidRDefault="008613D0" w:rsidP="008613D0">
      <w:pPr>
        <w:spacing w:line="577" w:lineRule="exact"/>
        <w:ind w:firstLineChars="200" w:firstLine="640"/>
        <w:rPr>
          <w:rFonts w:ascii="仿宋_GB2312" w:eastAsia="仿宋_GB2312" w:hint="eastAsia"/>
          <w:sz w:val="32"/>
          <w:szCs w:val="32"/>
        </w:rPr>
      </w:pPr>
      <w:r>
        <w:rPr>
          <w:rFonts w:ascii="黑体" w:eastAsia="黑体" w:hAnsi="黑体" w:hint="eastAsia"/>
          <w:sz w:val="32"/>
          <w:szCs w:val="32"/>
        </w:rPr>
        <w:t>第五条</w:t>
      </w:r>
      <w:r>
        <w:rPr>
          <w:rFonts w:ascii="仿宋_GB2312" w:eastAsia="仿宋_GB2312" w:hint="eastAsia"/>
          <w:sz w:val="32"/>
          <w:szCs w:val="32"/>
        </w:rPr>
        <w:t xml:space="preserve">  医疗用毒性药品、放射性药品、易制毒药品、麻醉药品、第一类和第二类精神药品、抗微生物药物（治疗结核等慢性细菌真菌感染性疾病的药物除外），以及对储存条件有特殊要求的药品不得用于长期处方。</w:t>
      </w:r>
    </w:p>
    <w:p w:rsidR="008613D0" w:rsidRDefault="008613D0" w:rsidP="008613D0">
      <w:pPr>
        <w:spacing w:line="577" w:lineRule="exact"/>
        <w:ind w:firstLineChars="200" w:firstLine="640"/>
        <w:rPr>
          <w:rFonts w:ascii="仿宋_GB2312" w:eastAsia="仿宋_GB2312" w:hint="eastAsia"/>
          <w:sz w:val="32"/>
          <w:szCs w:val="32"/>
        </w:rPr>
      </w:pPr>
      <w:r>
        <w:rPr>
          <w:rFonts w:ascii="黑体" w:eastAsia="黑体" w:hAnsi="黑体" w:hint="eastAsia"/>
          <w:sz w:val="32"/>
          <w:szCs w:val="32"/>
        </w:rPr>
        <w:t>第六条</w:t>
      </w:r>
      <w:r>
        <w:rPr>
          <w:rFonts w:ascii="仿宋_GB2312" w:eastAsia="仿宋_GB2312" w:hint="eastAsia"/>
          <w:sz w:val="32"/>
          <w:szCs w:val="32"/>
        </w:rPr>
        <w:t xml:space="preserve">  地方卫生健康行政部门应当根据实际情况，制定长期处方适用疾病病种及长期处方用药范围。</w:t>
      </w:r>
    </w:p>
    <w:p w:rsidR="008613D0" w:rsidRDefault="008613D0" w:rsidP="008613D0">
      <w:pPr>
        <w:spacing w:line="577" w:lineRule="exact"/>
        <w:ind w:firstLineChars="200" w:firstLine="640"/>
        <w:rPr>
          <w:rFonts w:ascii="仿宋_GB2312" w:eastAsia="仿宋_GB2312" w:hint="eastAsia"/>
          <w:sz w:val="32"/>
          <w:szCs w:val="32"/>
        </w:rPr>
      </w:pPr>
      <w:r>
        <w:rPr>
          <w:rFonts w:ascii="黑体" w:eastAsia="黑体" w:hAnsi="黑体" w:hint="eastAsia"/>
          <w:sz w:val="32"/>
          <w:szCs w:val="32"/>
        </w:rPr>
        <w:t>第七条</w:t>
      </w:r>
      <w:r>
        <w:rPr>
          <w:rFonts w:ascii="仿宋_GB2312" w:eastAsia="仿宋_GB2312" w:hint="eastAsia"/>
          <w:sz w:val="32"/>
          <w:szCs w:val="32"/>
        </w:rPr>
        <w:t xml:space="preserve">  本规范适用于全国各级各类医疗机构的长期</w:t>
      </w:r>
      <w:r>
        <w:rPr>
          <w:rFonts w:ascii="仿宋_GB2312" w:eastAsia="仿宋_GB2312" w:hint="eastAsia"/>
          <w:sz w:val="32"/>
          <w:szCs w:val="32"/>
        </w:rPr>
        <w:lastRenderedPageBreak/>
        <w:t>处方管理工作。</w:t>
      </w:r>
    </w:p>
    <w:p w:rsidR="008613D0" w:rsidRDefault="008613D0" w:rsidP="008613D0">
      <w:pPr>
        <w:spacing w:line="577" w:lineRule="exact"/>
        <w:ind w:firstLineChars="200" w:firstLine="640"/>
        <w:rPr>
          <w:rFonts w:ascii="仿宋_GB2312" w:eastAsia="仿宋_GB2312" w:hint="eastAsia"/>
          <w:sz w:val="32"/>
          <w:szCs w:val="32"/>
        </w:rPr>
      </w:pPr>
      <w:r>
        <w:rPr>
          <w:rFonts w:ascii="仿宋_GB2312" w:eastAsia="仿宋_GB2312" w:hint="eastAsia"/>
          <w:sz w:val="32"/>
          <w:szCs w:val="32"/>
        </w:rPr>
        <w:t>鼓励由基层医疗卫生机构开具长期处方，不适宜在基层治疗的慢性病长期处方应当由二级以上医疗机构开具。</w:t>
      </w:r>
    </w:p>
    <w:p w:rsidR="008613D0" w:rsidRDefault="008613D0" w:rsidP="008613D0">
      <w:pPr>
        <w:spacing w:line="577" w:lineRule="exact"/>
        <w:ind w:firstLineChars="200" w:firstLine="640"/>
        <w:rPr>
          <w:rFonts w:ascii="仿宋_GB2312" w:eastAsia="仿宋_GB2312" w:hint="eastAsia"/>
          <w:sz w:val="32"/>
          <w:szCs w:val="32"/>
        </w:rPr>
      </w:pPr>
      <w:r>
        <w:rPr>
          <w:rFonts w:ascii="黑体" w:eastAsia="黑体" w:hAnsi="黑体" w:hint="eastAsia"/>
          <w:sz w:val="32"/>
          <w:szCs w:val="32"/>
        </w:rPr>
        <w:t>第八条</w:t>
      </w:r>
      <w:r>
        <w:rPr>
          <w:rFonts w:ascii="仿宋_GB2312" w:eastAsia="仿宋_GB2312" w:hint="eastAsia"/>
          <w:sz w:val="32"/>
          <w:szCs w:val="32"/>
        </w:rPr>
        <w:t xml:space="preserve">  国家卫生健康委负责全国长期处方的监督管理工作。</w:t>
      </w:r>
    </w:p>
    <w:p w:rsidR="008613D0" w:rsidRDefault="008613D0" w:rsidP="008613D0">
      <w:pPr>
        <w:spacing w:line="577" w:lineRule="exact"/>
        <w:ind w:firstLineChars="200" w:firstLine="640"/>
        <w:rPr>
          <w:rFonts w:ascii="仿宋_GB2312" w:eastAsia="仿宋_GB2312" w:hint="eastAsia"/>
          <w:sz w:val="32"/>
          <w:szCs w:val="32"/>
        </w:rPr>
      </w:pPr>
      <w:r>
        <w:rPr>
          <w:rFonts w:ascii="仿宋_GB2312" w:eastAsia="仿宋_GB2312" w:hint="eastAsia"/>
          <w:sz w:val="32"/>
          <w:szCs w:val="32"/>
        </w:rPr>
        <w:t>县级以上地方卫生健康行政部门负责本行政区域内长期处方的监督管理工作。</w:t>
      </w:r>
    </w:p>
    <w:p w:rsidR="008613D0" w:rsidRDefault="008613D0" w:rsidP="008613D0">
      <w:pPr>
        <w:spacing w:line="577" w:lineRule="exact"/>
        <w:rPr>
          <w:rFonts w:ascii="仿宋_GB2312" w:eastAsia="仿宋_GB2312" w:hint="eastAsia"/>
          <w:sz w:val="32"/>
          <w:szCs w:val="32"/>
        </w:rPr>
      </w:pPr>
    </w:p>
    <w:p w:rsidR="008613D0" w:rsidRDefault="008613D0" w:rsidP="008613D0">
      <w:pPr>
        <w:spacing w:line="577" w:lineRule="exact"/>
        <w:ind w:firstLineChars="200" w:firstLine="640"/>
        <w:jc w:val="center"/>
        <w:rPr>
          <w:rFonts w:ascii="黑体" w:eastAsia="黑体" w:hAnsi="黑体" w:hint="eastAsia"/>
          <w:sz w:val="32"/>
          <w:szCs w:val="32"/>
        </w:rPr>
      </w:pPr>
      <w:r>
        <w:rPr>
          <w:rFonts w:ascii="黑体" w:eastAsia="黑体" w:hAnsi="黑体" w:hint="eastAsia"/>
          <w:sz w:val="32"/>
          <w:szCs w:val="32"/>
        </w:rPr>
        <w:t>第二章  组织管理</w:t>
      </w:r>
    </w:p>
    <w:p w:rsidR="008613D0" w:rsidRDefault="008613D0" w:rsidP="008613D0">
      <w:pPr>
        <w:spacing w:line="577" w:lineRule="exact"/>
        <w:ind w:firstLineChars="200" w:firstLine="640"/>
        <w:rPr>
          <w:rFonts w:ascii="仿宋_GB2312" w:eastAsia="仿宋_GB2312" w:hint="eastAsia"/>
          <w:sz w:val="32"/>
          <w:szCs w:val="32"/>
        </w:rPr>
      </w:pPr>
      <w:r>
        <w:rPr>
          <w:rFonts w:ascii="黑体" w:eastAsia="黑体" w:hAnsi="黑体" w:hint="eastAsia"/>
          <w:sz w:val="32"/>
          <w:szCs w:val="32"/>
        </w:rPr>
        <w:t>第九条</w:t>
      </w:r>
      <w:r>
        <w:rPr>
          <w:rFonts w:ascii="仿宋_GB2312" w:eastAsia="仿宋_GB2312" w:hint="eastAsia"/>
          <w:sz w:val="32"/>
          <w:szCs w:val="32"/>
        </w:rPr>
        <w:t xml:space="preserve">  医疗机构应当履行本机构长期处方管理的主体责任，建立健全本机构长期处方管理工作制度，保障医疗质量和医疗安全，满足患者用药需求。</w:t>
      </w:r>
    </w:p>
    <w:p w:rsidR="008613D0" w:rsidRDefault="008613D0" w:rsidP="008613D0">
      <w:pPr>
        <w:spacing w:line="577" w:lineRule="exact"/>
        <w:ind w:firstLineChars="200" w:firstLine="640"/>
        <w:rPr>
          <w:rFonts w:ascii="仿宋_GB2312" w:eastAsia="仿宋_GB2312" w:hint="eastAsia"/>
          <w:sz w:val="32"/>
          <w:szCs w:val="32"/>
        </w:rPr>
      </w:pPr>
      <w:r>
        <w:rPr>
          <w:rFonts w:ascii="黑体" w:eastAsia="黑体" w:hAnsi="黑体" w:hint="eastAsia"/>
          <w:sz w:val="32"/>
          <w:szCs w:val="32"/>
        </w:rPr>
        <w:t>第十条</w:t>
      </w:r>
      <w:r>
        <w:rPr>
          <w:rFonts w:ascii="仿宋_GB2312" w:eastAsia="仿宋_GB2312" w:hint="eastAsia"/>
          <w:sz w:val="32"/>
          <w:szCs w:val="32"/>
        </w:rPr>
        <w:t xml:space="preserve">  开具长期处方的医疗机构，应当配备具有评估患者病情能力的医师、能够审核调剂长期处方的药师（含其他药学技术人员，下同）以及相应的设备设施等条件。</w:t>
      </w:r>
    </w:p>
    <w:p w:rsidR="008613D0" w:rsidRDefault="008613D0" w:rsidP="008613D0">
      <w:pPr>
        <w:spacing w:line="577" w:lineRule="exact"/>
        <w:ind w:firstLineChars="200" w:firstLine="640"/>
        <w:rPr>
          <w:rFonts w:ascii="仿宋_GB2312" w:eastAsia="仿宋_GB2312" w:hint="eastAsia"/>
          <w:sz w:val="32"/>
          <w:szCs w:val="32"/>
        </w:rPr>
      </w:pPr>
      <w:r>
        <w:rPr>
          <w:rFonts w:ascii="仿宋_GB2312" w:eastAsia="仿宋_GB2312" w:hint="eastAsia"/>
          <w:sz w:val="32"/>
          <w:szCs w:val="32"/>
        </w:rPr>
        <w:t>基层医疗卫生机构不具备相应条件的，可以通过远程会诊、互联网复诊、医院会诊等途径在</w:t>
      </w:r>
      <w:proofErr w:type="gramStart"/>
      <w:r>
        <w:rPr>
          <w:rFonts w:ascii="仿宋_GB2312" w:eastAsia="仿宋_GB2312" w:hint="eastAsia"/>
          <w:sz w:val="32"/>
          <w:szCs w:val="32"/>
        </w:rPr>
        <w:t>医</w:t>
      </w:r>
      <w:proofErr w:type="gramEnd"/>
      <w:r>
        <w:rPr>
          <w:rFonts w:ascii="仿宋_GB2312" w:eastAsia="仿宋_GB2312" w:hint="eastAsia"/>
          <w:sz w:val="32"/>
          <w:szCs w:val="32"/>
        </w:rPr>
        <w:t>联体内具备条件的上级医疗机构指导下开具。</w:t>
      </w:r>
    </w:p>
    <w:p w:rsidR="008613D0" w:rsidRDefault="008613D0" w:rsidP="008613D0">
      <w:pPr>
        <w:spacing w:line="577" w:lineRule="exact"/>
        <w:ind w:firstLineChars="200" w:firstLine="640"/>
        <w:rPr>
          <w:rFonts w:ascii="仿宋_GB2312" w:eastAsia="仿宋_GB2312" w:hint="eastAsia"/>
          <w:sz w:val="32"/>
          <w:szCs w:val="32"/>
        </w:rPr>
      </w:pPr>
      <w:r>
        <w:rPr>
          <w:rFonts w:ascii="黑体" w:eastAsia="黑体" w:hAnsi="黑体" w:hint="eastAsia"/>
          <w:sz w:val="32"/>
          <w:szCs w:val="32"/>
        </w:rPr>
        <w:t>第十一条</w:t>
      </w:r>
      <w:r>
        <w:rPr>
          <w:rFonts w:ascii="仿宋_GB2312" w:eastAsia="仿宋_GB2312" w:hint="eastAsia"/>
          <w:sz w:val="32"/>
          <w:szCs w:val="32"/>
        </w:rPr>
        <w:t xml:space="preserve">  根据患者诊疗需要，长期处方的处方量一般在4周内；根据慢性病特点，病情稳定的患者适当延长，最长不超过12周。</w:t>
      </w:r>
    </w:p>
    <w:p w:rsidR="008613D0" w:rsidRDefault="008613D0" w:rsidP="008613D0">
      <w:pPr>
        <w:spacing w:line="577" w:lineRule="exact"/>
        <w:ind w:firstLineChars="200" w:firstLine="640"/>
        <w:rPr>
          <w:rFonts w:ascii="仿宋_GB2312" w:eastAsia="仿宋_GB2312" w:hint="eastAsia"/>
          <w:sz w:val="32"/>
          <w:szCs w:val="32"/>
        </w:rPr>
      </w:pPr>
      <w:r>
        <w:rPr>
          <w:rFonts w:ascii="仿宋_GB2312" w:eastAsia="仿宋_GB2312" w:hint="eastAsia"/>
          <w:sz w:val="32"/>
          <w:szCs w:val="32"/>
        </w:rPr>
        <w:t>超过4周的长期处方，医师应当严格评估，强化患者教育，并在病历中记录，患者通过签字等方式确认。</w:t>
      </w:r>
    </w:p>
    <w:p w:rsidR="008613D0" w:rsidRDefault="008613D0" w:rsidP="008613D0">
      <w:pPr>
        <w:spacing w:line="577" w:lineRule="exact"/>
        <w:ind w:firstLineChars="200" w:firstLine="640"/>
        <w:rPr>
          <w:rFonts w:ascii="仿宋_GB2312" w:eastAsia="仿宋_GB2312" w:hint="eastAsia"/>
          <w:sz w:val="32"/>
          <w:szCs w:val="32"/>
        </w:rPr>
      </w:pPr>
      <w:r>
        <w:rPr>
          <w:rFonts w:ascii="黑体" w:eastAsia="黑体" w:hAnsi="黑体" w:hint="eastAsia"/>
          <w:sz w:val="32"/>
          <w:szCs w:val="32"/>
        </w:rPr>
        <w:t>第十二条</w:t>
      </w:r>
      <w:r>
        <w:rPr>
          <w:rFonts w:ascii="仿宋_GB2312" w:eastAsia="仿宋_GB2312" w:hint="eastAsia"/>
          <w:sz w:val="32"/>
          <w:szCs w:val="32"/>
        </w:rPr>
        <w:t xml:space="preserve">  医疗机构应当按照卫生健康行政部门制定</w:t>
      </w:r>
      <w:r>
        <w:rPr>
          <w:rFonts w:ascii="仿宋_GB2312" w:eastAsia="仿宋_GB2312" w:hint="eastAsia"/>
          <w:sz w:val="32"/>
          <w:szCs w:val="32"/>
        </w:rPr>
        <w:lastRenderedPageBreak/>
        <w:t>的长期处方适用疾病病种及长期处方用药范围，为符合条件的患者提供长期处方服务。</w:t>
      </w:r>
    </w:p>
    <w:p w:rsidR="008613D0" w:rsidRDefault="008613D0" w:rsidP="008613D0">
      <w:pPr>
        <w:spacing w:line="577" w:lineRule="exact"/>
        <w:ind w:firstLineChars="200" w:firstLine="640"/>
        <w:rPr>
          <w:rFonts w:ascii="仿宋_GB2312" w:eastAsia="仿宋_GB2312" w:hint="eastAsia"/>
          <w:sz w:val="32"/>
          <w:szCs w:val="32"/>
        </w:rPr>
      </w:pPr>
      <w:r>
        <w:rPr>
          <w:rFonts w:ascii="黑体" w:eastAsia="黑体" w:hAnsi="黑体" w:hint="eastAsia"/>
          <w:sz w:val="32"/>
          <w:szCs w:val="32"/>
        </w:rPr>
        <w:t>第十三条</w:t>
      </w:r>
      <w:r>
        <w:rPr>
          <w:rFonts w:ascii="仿宋_GB2312" w:eastAsia="仿宋_GB2312" w:hint="eastAsia"/>
          <w:sz w:val="32"/>
          <w:szCs w:val="32"/>
        </w:rPr>
        <w:t xml:space="preserve">  医疗机构可以在普通内科、老年医学、全科医学等科室，为患有多种疾病的老年患者提供“一站式”长期处方服务，解决老年患者多科室就医取药问题。</w:t>
      </w:r>
    </w:p>
    <w:p w:rsidR="008613D0" w:rsidRDefault="008613D0" w:rsidP="008613D0">
      <w:pPr>
        <w:spacing w:line="577" w:lineRule="exact"/>
        <w:ind w:firstLineChars="200" w:firstLine="640"/>
        <w:rPr>
          <w:rFonts w:ascii="仿宋_GB2312" w:eastAsia="仿宋_GB2312" w:hint="eastAsia"/>
          <w:sz w:val="32"/>
          <w:szCs w:val="32"/>
        </w:rPr>
      </w:pPr>
      <w:r>
        <w:rPr>
          <w:rFonts w:ascii="黑体" w:eastAsia="黑体" w:hAnsi="黑体" w:hint="eastAsia"/>
          <w:sz w:val="32"/>
          <w:szCs w:val="32"/>
        </w:rPr>
        <w:t>第十四条</w:t>
      </w:r>
      <w:r>
        <w:rPr>
          <w:rFonts w:ascii="仿宋_GB2312" w:eastAsia="仿宋_GB2312" w:hint="eastAsia"/>
          <w:sz w:val="32"/>
          <w:szCs w:val="32"/>
        </w:rPr>
        <w:t xml:space="preserve">  医疗机构开具长期处方，鼓励优先选择国家基本药物、国家组织集中采购中选药品以及国家</w:t>
      </w:r>
      <w:proofErr w:type="gramStart"/>
      <w:r>
        <w:rPr>
          <w:rFonts w:ascii="仿宋_GB2312" w:eastAsia="仿宋_GB2312" w:hint="eastAsia"/>
          <w:sz w:val="32"/>
          <w:szCs w:val="32"/>
        </w:rPr>
        <w:t>医</w:t>
      </w:r>
      <w:proofErr w:type="gramEnd"/>
      <w:r>
        <w:rPr>
          <w:rFonts w:ascii="仿宋_GB2312" w:eastAsia="仿宋_GB2312" w:hint="eastAsia"/>
          <w:sz w:val="32"/>
          <w:szCs w:val="32"/>
        </w:rPr>
        <w:t>保目录药品。</w:t>
      </w:r>
    </w:p>
    <w:p w:rsidR="008613D0" w:rsidRDefault="008613D0" w:rsidP="008613D0">
      <w:pPr>
        <w:spacing w:line="577" w:lineRule="exact"/>
        <w:ind w:firstLineChars="200" w:firstLine="640"/>
        <w:rPr>
          <w:rFonts w:ascii="仿宋_GB2312" w:eastAsia="仿宋_GB2312" w:hint="eastAsia"/>
          <w:sz w:val="32"/>
          <w:szCs w:val="32"/>
        </w:rPr>
      </w:pPr>
      <w:r>
        <w:rPr>
          <w:rFonts w:ascii="黑体" w:eastAsia="黑体" w:hAnsi="黑体" w:hint="eastAsia"/>
          <w:sz w:val="32"/>
          <w:szCs w:val="32"/>
        </w:rPr>
        <w:t>第十五条</w:t>
      </w:r>
      <w:r>
        <w:rPr>
          <w:rFonts w:ascii="仿宋_GB2312" w:eastAsia="仿宋_GB2312" w:hint="eastAsia"/>
          <w:sz w:val="32"/>
          <w:szCs w:val="32"/>
        </w:rPr>
        <w:t xml:space="preserve">  基层医疗卫生机构应当加强长期处方用药的配备，确保患者长期用药可及、稳定。</w:t>
      </w:r>
    </w:p>
    <w:p w:rsidR="008613D0" w:rsidRDefault="008613D0" w:rsidP="008613D0">
      <w:pPr>
        <w:spacing w:line="577" w:lineRule="exact"/>
        <w:ind w:firstLineChars="200" w:firstLine="640"/>
        <w:rPr>
          <w:rFonts w:ascii="仿宋_GB2312" w:eastAsia="仿宋_GB2312" w:hint="eastAsia"/>
          <w:sz w:val="32"/>
          <w:szCs w:val="32"/>
        </w:rPr>
      </w:pPr>
      <w:r>
        <w:rPr>
          <w:rFonts w:ascii="黑体" w:eastAsia="黑体" w:hAnsi="黑体" w:hint="eastAsia"/>
          <w:sz w:val="32"/>
          <w:szCs w:val="32"/>
        </w:rPr>
        <w:t>第十六条</w:t>
      </w:r>
      <w:r>
        <w:rPr>
          <w:rFonts w:ascii="仿宋_GB2312" w:eastAsia="仿宋_GB2312" w:hint="eastAsia"/>
          <w:sz w:val="32"/>
          <w:szCs w:val="32"/>
        </w:rPr>
        <w:t xml:space="preserve">  地方卫生健康行政部门和医疗机构不得以费用控制、药占比、绩效考核等为由影响长期处方的开具。</w:t>
      </w:r>
    </w:p>
    <w:p w:rsidR="008613D0" w:rsidRDefault="008613D0" w:rsidP="008613D0">
      <w:pPr>
        <w:spacing w:line="577" w:lineRule="exact"/>
        <w:ind w:firstLineChars="200" w:firstLine="640"/>
        <w:rPr>
          <w:rFonts w:ascii="仿宋_GB2312" w:eastAsia="仿宋_GB2312" w:hint="eastAsia"/>
          <w:sz w:val="32"/>
          <w:szCs w:val="32"/>
        </w:rPr>
      </w:pPr>
      <w:r>
        <w:rPr>
          <w:rFonts w:ascii="仿宋_GB2312" w:eastAsia="仿宋_GB2312" w:hint="eastAsia"/>
          <w:sz w:val="32"/>
          <w:szCs w:val="32"/>
        </w:rPr>
        <w:t>地方卫生健康行政部门应当加强长期处方的审核、点评、合理用药考核等工作，长期处方产生的药品费用不纳入门诊次均费用、门诊药品次</w:t>
      </w:r>
      <w:proofErr w:type="gramStart"/>
      <w:r>
        <w:rPr>
          <w:rFonts w:ascii="仿宋_GB2312" w:eastAsia="仿宋_GB2312" w:hint="eastAsia"/>
          <w:sz w:val="32"/>
          <w:szCs w:val="32"/>
        </w:rPr>
        <w:t>均费用</w:t>
      </w:r>
      <w:proofErr w:type="gramEnd"/>
      <w:r>
        <w:rPr>
          <w:rFonts w:ascii="仿宋_GB2312" w:eastAsia="仿宋_GB2312" w:hint="eastAsia"/>
          <w:sz w:val="32"/>
          <w:szCs w:val="32"/>
        </w:rPr>
        <w:t>考核，其他考核工作也应当视情况将长期处方进行单独管理。</w:t>
      </w:r>
    </w:p>
    <w:p w:rsidR="008613D0" w:rsidRDefault="008613D0" w:rsidP="008613D0">
      <w:pPr>
        <w:spacing w:line="577" w:lineRule="exact"/>
        <w:rPr>
          <w:rFonts w:ascii="仿宋_GB2312" w:eastAsia="仿宋_GB2312" w:hint="eastAsia"/>
          <w:sz w:val="32"/>
          <w:szCs w:val="32"/>
        </w:rPr>
      </w:pPr>
    </w:p>
    <w:p w:rsidR="008613D0" w:rsidRDefault="008613D0" w:rsidP="008613D0">
      <w:pPr>
        <w:spacing w:line="577" w:lineRule="exact"/>
        <w:jc w:val="center"/>
        <w:rPr>
          <w:rFonts w:ascii="黑体" w:eastAsia="黑体" w:hAnsi="黑体" w:hint="eastAsia"/>
          <w:sz w:val="32"/>
          <w:szCs w:val="32"/>
        </w:rPr>
      </w:pPr>
      <w:r>
        <w:rPr>
          <w:rFonts w:ascii="黑体" w:eastAsia="黑体" w:hAnsi="黑体" w:hint="eastAsia"/>
          <w:sz w:val="32"/>
          <w:szCs w:val="32"/>
        </w:rPr>
        <w:t>第三章  长期处方开具与终止</w:t>
      </w:r>
    </w:p>
    <w:p w:rsidR="008613D0" w:rsidRDefault="008613D0" w:rsidP="008613D0">
      <w:pPr>
        <w:spacing w:line="577" w:lineRule="exact"/>
        <w:ind w:firstLineChars="200" w:firstLine="640"/>
        <w:rPr>
          <w:rFonts w:ascii="仿宋_GB2312" w:eastAsia="仿宋_GB2312" w:hint="eastAsia"/>
          <w:sz w:val="32"/>
          <w:szCs w:val="32"/>
        </w:rPr>
      </w:pPr>
      <w:r>
        <w:rPr>
          <w:rFonts w:ascii="黑体" w:eastAsia="黑体" w:hAnsi="黑体" w:hint="eastAsia"/>
          <w:sz w:val="32"/>
          <w:szCs w:val="32"/>
        </w:rPr>
        <w:t>第十七条</w:t>
      </w:r>
      <w:r>
        <w:rPr>
          <w:rFonts w:ascii="仿宋_GB2312" w:eastAsia="仿宋_GB2312" w:hint="eastAsia"/>
          <w:sz w:val="32"/>
          <w:szCs w:val="32"/>
        </w:rPr>
        <w:t xml:space="preserve">  对提出长期处方申请的患者，医师必须亲自诊查并对其是否符合长期处方条件</w:t>
      </w:r>
      <w:proofErr w:type="gramStart"/>
      <w:r>
        <w:rPr>
          <w:rFonts w:ascii="仿宋_GB2312" w:eastAsia="仿宋_GB2312" w:hint="eastAsia"/>
          <w:sz w:val="32"/>
          <w:szCs w:val="32"/>
        </w:rPr>
        <w:t>作出</w:t>
      </w:r>
      <w:proofErr w:type="gramEnd"/>
      <w:r>
        <w:rPr>
          <w:rFonts w:ascii="仿宋_GB2312" w:eastAsia="仿宋_GB2312" w:hint="eastAsia"/>
          <w:sz w:val="32"/>
          <w:szCs w:val="32"/>
        </w:rPr>
        <w:t>判断。</w:t>
      </w:r>
    </w:p>
    <w:p w:rsidR="008613D0" w:rsidRDefault="008613D0" w:rsidP="008613D0">
      <w:pPr>
        <w:spacing w:line="577" w:lineRule="exact"/>
        <w:ind w:firstLineChars="200" w:firstLine="640"/>
        <w:rPr>
          <w:rFonts w:ascii="仿宋_GB2312" w:eastAsia="仿宋_GB2312" w:hint="eastAsia"/>
          <w:sz w:val="32"/>
          <w:szCs w:val="32"/>
        </w:rPr>
      </w:pPr>
      <w:r>
        <w:rPr>
          <w:rFonts w:ascii="仿宋_GB2312" w:eastAsia="仿宋_GB2312" w:hint="eastAsia"/>
          <w:sz w:val="32"/>
          <w:szCs w:val="32"/>
        </w:rPr>
        <w:t>医师在诊疗活动中，可以向符合条件的患者主动提出长期处方建议。</w:t>
      </w:r>
    </w:p>
    <w:p w:rsidR="008613D0" w:rsidRDefault="008613D0" w:rsidP="008613D0">
      <w:pPr>
        <w:spacing w:line="577" w:lineRule="exact"/>
        <w:ind w:firstLineChars="200" w:firstLine="640"/>
        <w:rPr>
          <w:rFonts w:ascii="仿宋_GB2312" w:eastAsia="仿宋_GB2312" w:hint="eastAsia"/>
          <w:sz w:val="32"/>
          <w:szCs w:val="32"/>
        </w:rPr>
      </w:pPr>
      <w:r>
        <w:rPr>
          <w:rFonts w:ascii="黑体" w:eastAsia="黑体" w:hAnsi="黑体" w:hint="eastAsia"/>
          <w:sz w:val="32"/>
          <w:szCs w:val="32"/>
        </w:rPr>
        <w:t>第十八条</w:t>
      </w:r>
      <w:r>
        <w:rPr>
          <w:rFonts w:ascii="仿宋_GB2312" w:eastAsia="仿宋_GB2312" w:hint="eastAsia"/>
          <w:sz w:val="32"/>
          <w:szCs w:val="32"/>
        </w:rPr>
        <w:t xml:space="preserve">  医师应当向患者说明使用长期处方的注意事项，并由其自愿选择是否使用；对不符合条件的患者，应</w:t>
      </w:r>
      <w:r>
        <w:rPr>
          <w:rFonts w:ascii="仿宋_GB2312" w:eastAsia="仿宋_GB2312" w:hint="eastAsia"/>
          <w:sz w:val="32"/>
          <w:szCs w:val="32"/>
        </w:rPr>
        <w:lastRenderedPageBreak/>
        <w:t>当向患者说明原因。</w:t>
      </w:r>
    </w:p>
    <w:p w:rsidR="008613D0" w:rsidRDefault="008613D0" w:rsidP="008613D0">
      <w:pPr>
        <w:spacing w:line="577" w:lineRule="exact"/>
        <w:ind w:firstLineChars="200" w:firstLine="640"/>
        <w:rPr>
          <w:rFonts w:ascii="仿宋_GB2312" w:eastAsia="仿宋_GB2312" w:hint="eastAsia"/>
          <w:sz w:val="32"/>
          <w:szCs w:val="32"/>
        </w:rPr>
      </w:pPr>
      <w:r>
        <w:rPr>
          <w:rFonts w:ascii="黑体" w:eastAsia="黑体" w:hAnsi="黑体" w:hint="eastAsia"/>
          <w:sz w:val="32"/>
          <w:szCs w:val="32"/>
        </w:rPr>
        <w:t>第十九条</w:t>
      </w:r>
      <w:r>
        <w:rPr>
          <w:rFonts w:ascii="仿宋_GB2312" w:eastAsia="仿宋_GB2312" w:hint="eastAsia"/>
          <w:sz w:val="32"/>
          <w:szCs w:val="32"/>
        </w:rPr>
        <w:t xml:space="preserve">  首次开具长期处方前，医师应当对患者的既往史、现病史、用药方案、依从性、病情控制情况等进行全面评估，在确定当前用药方案安全、有效、稳定的情况下，方可为患者开具长期处方。首次开具长期处方，应当在患者病历中详细记录有关信息。</w:t>
      </w:r>
    </w:p>
    <w:p w:rsidR="008613D0" w:rsidRDefault="008613D0" w:rsidP="008613D0">
      <w:pPr>
        <w:spacing w:line="577" w:lineRule="exact"/>
        <w:ind w:firstLineChars="200" w:firstLine="640"/>
        <w:rPr>
          <w:rFonts w:ascii="仿宋_GB2312" w:eastAsia="仿宋_GB2312" w:hint="eastAsia"/>
          <w:sz w:val="32"/>
          <w:szCs w:val="32"/>
        </w:rPr>
      </w:pPr>
      <w:r>
        <w:rPr>
          <w:rFonts w:ascii="黑体" w:eastAsia="黑体" w:hAnsi="黑体" w:hint="eastAsia"/>
          <w:sz w:val="32"/>
          <w:szCs w:val="32"/>
        </w:rPr>
        <w:t>第二十条</w:t>
      </w:r>
      <w:r>
        <w:rPr>
          <w:rFonts w:ascii="仿宋_GB2312" w:eastAsia="仿宋_GB2312" w:hint="eastAsia"/>
          <w:sz w:val="32"/>
          <w:szCs w:val="32"/>
        </w:rPr>
        <w:t xml:space="preserve">  原则上，首次长期处方应当由二级以上医疗机构具有与疾病相关专业的中级以上专业技术职务任职资格的医师开具，或由基层医疗卫生机构具有中级以上专业技术职务任职资格的医师开具。再次开具长期处方时，应当由二级以上医疗机构疾病相关专业医师，或基层医疗卫生机构医师开具。鼓励患者通过基层医疗卫生机构签约家庭医生开具长期处方。</w:t>
      </w:r>
    </w:p>
    <w:p w:rsidR="008613D0" w:rsidRDefault="008613D0" w:rsidP="008613D0">
      <w:pPr>
        <w:spacing w:line="577" w:lineRule="exact"/>
        <w:ind w:firstLineChars="200" w:firstLine="640"/>
        <w:rPr>
          <w:rFonts w:ascii="仿宋_GB2312" w:eastAsia="仿宋_GB2312" w:hint="eastAsia"/>
          <w:sz w:val="32"/>
          <w:szCs w:val="32"/>
        </w:rPr>
      </w:pPr>
      <w:r>
        <w:rPr>
          <w:rFonts w:ascii="仿宋_GB2312" w:eastAsia="仿宋_GB2312" w:hint="eastAsia"/>
          <w:sz w:val="32"/>
          <w:szCs w:val="32"/>
        </w:rPr>
        <w:t>边远地区或条件不具备的地区可适当放宽要求，具体要求由省级卫生健康行政部门根据实际情况另行规定。</w:t>
      </w:r>
    </w:p>
    <w:p w:rsidR="008613D0" w:rsidRDefault="008613D0" w:rsidP="008613D0">
      <w:pPr>
        <w:spacing w:line="577" w:lineRule="exact"/>
        <w:ind w:firstLineChars="200" w:firstLine="640"/>
        <w:rPr>
          <w:rFonts w:ascii="仿宋_GB2312" w:eastAsia="仿宋_GB2312" w:hint="eastAsia"/>
          <w:sz w:val="32"/>
          <w:szCs w:val="32"/>
        </w:rPr>
      </w:pPr>
      <w:r>
        <w:rPr>
          <w:rFonts w:ascii="黑体" w:eastAsia="黑体" w:hAnsi="黑体" w:hint="eastAsia"/>
          <w:sz w:val="32"/>
          <w:szCs w:val="32"/>
        </w:rPr>
        <w:t>第二十一条</w:t>
      </w:r>
      <w:r>
        <w:rPr>
          <w:rFonts w:ascii="仿宋_GB2312" w:eastAsia="仿宋_GB2312" w:hint="eastAsia"/>
          <w:sz w:val="32"/>
          <w:szCs w:val="32"/>
        </w:rPr>
        <w:t xml:space="preserve">  医师应当根据患者病历信息中的首次开具的长期处方信息和健康档案，对患者进行评估。经评估认为患者病情稳定并达到长期用药管理目标的，可以再次开具长期处方，并在患者病历中记录；不符合条件的，终止使用长期处方。停用后再次使用长期处方的，应当按照首次开具长期处方进行管理。</w:t>
      </w:r>
    </w:p>
    <w:p w:rsidR="008613D0" w:rsidRDefault="008613D0" w:rsidP="008613D0">
      <w:pPr>
        <w:spacing w:line="577" w:lineRule="exact"/>
        <w:ind w:firstLineChars="200" w:firstLine="640"/>
        <w:rPr>
          <w:rFonts w:ascii="仿宋_GB2312" w:eastAsia="仿宋_GB2312" w:hint="eastAsia"/>
          <w:sz w:val="32"/>
          <w:szCs w:val="32"/>
        </w:rPr>
      </w:pPr>
      <w:r>
        <w:rPr>
          <w:rFonts w:ascii="黑体" w:eastAsia="黑体" w:hAnsi="黑体" w:hint="eastAsia"/>
          <w:sz w:val="32"/>
          <w:szCs w:val="32"/>
        </w:rPr>
        <w:t>第二十二条</w:t>
      </w:r>
      <w:r>
        <w:rPr>
          <w:rFonts w:ascii="仿宋_GB2312" w:eastAsia="仿宋_GB2312" w:hint="eastAsia"/>
          <w:sz w:val="32"/>
          <w:szCs w:val="32"/>
        </w:rPr>
        <w:t>  出现以下情况,需要重新评估患者病情,判断是否终止长期处方：</w:t>
      </w:r>
    </w:p>
    <w:p w:rsidR="008613D0" w:rsidRDefault="008613D0" w:rsidP="008613D0">
      <w:pPr>
        <w:spacing w:line="577" w:lineRule="exact"/>
        <w:ind w:firstLineChars="200" w:firstLine="640"/>
        <w:rPr>
          <w:rFonts w:ascii="仿宋_GB2312" w:eastAsia="仿宋_GB2312" w:hint="eastAsia"/>
          <w:sz w:val="32"/>
          <w:szCs w:val="32"/>
        </w:rPr>
      </w:pPr>
      <w:r>
        <w:rPr>
          <w:rFonts w:ascii="仿宋_GB2312" w:eastAsia="仿宋_GB2312" w:hint="eastAsia"/>
          <w:sz w:val="32"/>
          <w:szCs w:val="32"/>
        </w:rPr>
        <w:t>（一）患者长期用药管理未达预期目标；</w:t>
      </w:r>
    </w:p>
    <w:p w:rsidR="008613D0" w:rsidRDefault="008613D0" w:rsidP="008613D0">
      <w:pPr>
        <w:spacing w:line="577"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（二）罹患其他疾病需其他药物治疗；</w:t>
      </w:r>
    </w:p>
    <w:p w:rsidR="008613D0" w:rsidRDefault="008613D0" w:rsidP="008613D0">
      <w:pPr>
        <w:spacing w:line="577" w:lineRule="exact"/>
        <w:ind w:firstLineChars="200" w:firstLine="640"/>
        <w:rPr>
          <w:rFonts w:ascii="仿宋_GB2312" w:eastAsia="仿宋_GB2312" w:hint="eastAsia"/>
          <w:sz w:val="32"/>
          <w:szCs w:val="32"/>
        </w:rPr>
      </w:pPr>
      <w:r>
        <w:rPr>
          <w:rFonts w:ascii="仿宋_GB2312" w:eastAsia="仿宋_GB2312" w:hint="eastAsia"/>
          <w:sz w:val="32"/>
          <w:szCs w:val="32"/>
        </w:rPr>
        <w:t>（三）患者因任何原因住院治疗；</w:t>
      </w:r>
    </w:p>
    <w:p w:rsidR="008613D0" w:rsidRDefault="008613D0" w:rsidP="008613D0">
      <w:pPr>
        <w:spacing w:line="577" w:lineRule="exact"/>
        <w:ind w:firstLineChars="200" w:firstLine="640"/>
        <w:rPr>
          <w:rFonts w:ascii="仿宋_GB2312" w:eastAsia="仿宋_GB2312" w:hint="eastAsia"/>
          <w:sz w:val="32"/>
          <w:szCs w:val="32"/>
        </w:rPr>
      </w:pPr>
      <w:r>
        <w:rPr>
          <w:rFonts w:ascii="仿宋_GB2312" w:eastAsia="仿宋_GB2312" w:hint="eastAsia"/>
          <w:sz w:val="32"/>
          <w:szCs w:val="32"/>
        </w:rPr>
        <w:t>（四）其他需要终止长期处方的情况。</w:t>
      </w:r>
    </w:p>
    <w:p w:rsidR="008613D0" w:rsidRDefault="008613D0" w:rsidP="008613D0">
      <w:pPr>
        <w:spacing w:line="577" w:lineRule="exact"/>
        <w:ind w:firstLineChars="200" w:firstLine="640"/>
        <w:rPr>
          <w:rFonts w:ascii="仿宋_GB2312" w:eastAsia="仿宋_GB2312" w:hint="eastAsia"/>
          <w:sz w:val="32"/>
          <w:szCs w:val="32"/>
        </w:rPr>
      </w:pPr>
      <w:r>
        <w:rPr>
          <w:rFonts w:ascii="黑体" w:eastAsia="黑体" w:hAnsi="黑体" w:hint="eastAsia"/>
          <w:sz w:val="32"/>
          <w:szCs w:val="32"/>
        </w:rPr>
        <w:t>第二十三条</w:t>
      </w:r>
      <w:r>
        <w:rPr>
          <w:rFonts w:ascii="仿宋_GB2312" w:eastAsia="仿宋_GB2312" w:hint="eastAsia"/>
          <w:sz w:val="32"/>
          <w:szCs w:val="32"/>
        </w:rPr>
        <w:t xml:space="preserve">  开具长期处方的基层医疗卫生机构与上级医院要做好衔接，通过信息化手段等方式建立患者处方信息共享和流转机制。</w:t>
      </w:r>
    </w:p>
    <w:p w:rsidR="008613D0" w:rsidRDefault="008613D0" w:rsidP="008613D0">
      <w:pPr>
        <w:spacing w:line="577" w:lineRule="exact"/>
        <w:ind w:firstLineChars="200" w:firstLine="640"/>
        <w:rPr>
          <w:rFonts w:ascii="仿宋_GB2312" w:eastAsia="仿宋_GB2312" w:hint="eastAsia"/>
          <w:sz w:val="32"/>
          <w:szCs w:val="32"/>
        </w:rPr>
      </w:pPr>
      <w:r>
        <w:rPr>
          <w:rFonts w:ascii="黑体" w:eastAsia="黑体" w:hAnsi="黑体" w:hint="eastAsia"/>
          <w:sz w:val="32"/>
          <w:szCs w:val="32"/>
        </w:rPr>
        <w:t>第二十四条</w:t>
      </w:r>
      <w:r>
        <w:rPr>
          <w:rFonts w:ascii="仿宋_GB2312" w:eastAsia="仿宋_GB2312" w:hint="eastAsia"/>
          <w:sz w:val="32"/>
          <w:szCs w:val="32"/>
        </w:rPr>
        <w:t>  长期处方样式、内容应当符合《处方管理办法》中普通处方管理的要求。</w:t>
      </w:r>
    </w:p>
    <w:p w:rsidR="008613D0" w:rsidRDefault="008613D0" w:rsidP="008613D0">
      <w:pPr>
        <w:spacing w:line="577" w:lineRule="exact"/>
        <w:rPr>
          <w:rFonts w:ascii="仿宋_GB2312" w:eastAsia="仿宋_GB2312" w:hint="eastAsia"/>
          <w:sz w:val="32"/>
          <w:szCs w:val="32"/>
        </w:rPr>
      </w:pPr>
    </w:p>
    <w:p w:rsidR="008613D0" w:rsidRDefault="008613D0" w:rsidP="008613D0">
      <w:pPr>
        <w:spacing w:line="577" w:lineRule="exact"/>
        <w:jc w:val="center"/>
        <w:rPr>
          <w:rFonts w:ascii="黑体" w:eastAsia="黑体" w:hAnsi="黑体" w:hint="eastAsia"/>
          <w:sz w:val="32"/>
          <w:szCs w:val="32"/>
        </w:rPr>
      </w:pPr>
      <w:r>
        <w:rPr>
          <w:rFonts w:ascii="黑体" w:eastAsia="黑体" w:hAnsi="黑体" w:hint="eastAsia"/>
          <w:sz w:val="32"/>
          <w:szCs w:val="32"/>
        </w:rPr>
        <w:t>第四章  长期处方调剂</w:t>
      </w:r>
    </w:p>
    <w:p w:rsidR="008613D0" w:rsidRDefault="008613D0" w:rsidP="008613D0">
      <w:pPr>
        <w:spacing w:line="577" w:lineRule="exact"/>
        <w:ind w:firstLineChars="200" w:firstLine="640"/>
        <w:rPr>
          <w:rFonts w:ascii="仿宋_GB2312" w:eastAsia="仿宋_GB2312" w:hint="eastAsia"/>
          <w:sz w:val="32"/>
          <w:szCs w:val="32"/>
        </w:rPr>
      </w:pPr>
      <w:r>
        <w:rPr>
          <w:rFonts w:ascii="黑体" w:eastAsia="黑体" w:hAnsi="黑体" w:hint="eastAsia"/>
          <w:sz w:val="32"/>
          <w:szCs w:val="32"/>
        </w:rPr>
        <w:t>第二十五条</w:t>
      </w:r>
      <w:r>
        <w:rPr>
          <w:rFonts w:ascii="仿宋_GB2312" w:eastAsia="仿宋_GB2312" w:hint="eastAsia"/>
          <w:sz w:val="32"/>
          <w:szCs w:val="32"/>
        </w:rPr>
        <w:t xml:space="preserve">  医师开具长期处方后，患者可以自主选择在医疗机构或者社会零售药店进行调剂取药。</w:t>
      </w:r>
    </w:p>
    <w:p w:rsidR="008613D0" w:rsidRDefault="008613D0" w:rsidP="008613D0">
      <w:pPr>
        <w:spacing w:line="577" w:lineRule="exact"/>
        <w:ind w:firstLineChars="200" w:firstLine="640"/>
        <w:rPr>
          <w:rFonts w:ascii="仿宋_GB2312" w:eastAsia="仿宋_GB2312" w:hint="eastAsia"/>
          <w:sz w:val="32"/>
          <w:szCs w:val="32"/>
        </w:rPr>
      </w:pPr>
      <w:r>
        <w:rPr>
          <w:rFonts w:ascii="黑体" w:eastAsia="黑体" w:hAnsi="黑体" w:hint="eastAsia"/>
          <w:sz w:val="32"/>
          <w:szCs w:val="32"/>
        </w:rPr>
        <w:t>第二十六条</w:t>
      </w:r>
      <w:r>
        <w:rPr>
          <w:rFonts w:ascii="仿宋_GB2312" w:eastAsia="仿宋_GB2312" w:hint="eastAsia"/>
          <w:sz w:val="32"/>
          <w:szCs w:val="32"/>
        </w:rPr>
        <w:t>  药师对长期处方进行审核，并对患者进行用药指导和用药教育，发放用药教育材料。基层医疗卫生机构不具备条件的，应当由</w:t>
      </w:r>
      <w:proofErr w:type="gramStart"/>
      <w:r>
        <w:rPr>
          <w:rFonts w:ascii="仿宋_GB2312" w:eastAsia="仿宋_GB2312" w:hint="eastAsia"/>
          <w:sz w:val="32"/>
          <w:szCs w:val="32"/>
        </w:rPr>
        <w:t>医</w:t>
      </w:r>
      <w:proofErr w:type="gramEnd"/>
      <w:r>
        <w:rPr>
          <w:rFonts w:ascii="仿宋_GB2312" w:eastAsia="仿宋_GB2312" w:hint="eastAsia"/>
          <w:sz w:val="32"/>
          <w:szCs w:val="32"/>
        </w:rPr>
        <w:t>联体内上级医院的药师通过互联网远程进行处方审核或提供用药指导服务。</w:t>
      </w:r>
    </w:p>
    <w:p w:rsidR="008613D0" w:rsidRDefault="008613D0" w:rsidP="008613D0">
      <w:pPr>
        <w:spacing w:line="577" w:lineRule="exact"/>
        <w:ind w:firstLineChars="200" w:firstLine="640"/>
        <w:rPr>
          <w:rFonts w:ascii="仿宋_GB2312" w:eastAsia="仿宋_GB2312" w:hint="eastAsia"/>
          <w:sz w:val="32"/>
          <w:szCs w:val="32"/>
        </w:rPr>
      </w:pPr>
      <w:r>
        <w:rPr>
          <w:rFonts w:ascii="黑体" w:eastAsia="黑体" w:hAnsi="黑体" w:hint="eastAsia"/>
          <w:sz w:val="32"/>
          <w:szCs w:val="32"/>
        </w:rPr>
        <w:t>第二十七条</w:t>
      </w:r>
      <w:r>
        <w:rPr>
          <w:rFonts w:ascii="仿宋_GB2312" w:eastAsia="仿宋_GB2312" w:hint="eastAsia"/>
          <w:sz w:val="32"/>
          <w:szCs w:val="32"/>
        </w:rPr>
        <w:t>  药师在审核长期处方、提供咨询服务、调剂药品工作时，如发现药物治疗相关问题或患者存在用药安全隐患，需要进行长期处方调整、药物重整等干预时，应当立即与医师沟通进行处理。</w:t>
      </w:r>
    </w:p>
    <w:p w:rsidR="008613D0" w:rsidRDefault="008613D0" w:rsidP="008613D0">
      <w:pPr>
        <w:spacing w:line="577" w:lineRule="exact"/>
        <w:ind w:firstLineChars="200" w:firstLine="640"/>
        <w:rPr>
          <w:rFonts w:ascii="仿宋_GB2312" w:eastAsia="仿宋_GB2312"/>
          <w:sz w:val="32"/>
          <w:szCs w:val="32"/>
        </w:rPr>
      </w:pPr>
      <w:r>
        <w:rPr>
          <w:rFonts w:ascii="黑体" w:eastAsia="黑体" w:hAnsi="黑体" w:hint="eastAsia"/>
          <w:sz w:val="32"/>
          <w:szCs w:val="32"/>
        </w:rPr>
        <w:t>第二十八条</w:t>
      </w:r>
      <w:r>
        <w:rPr>
          <w:rFonts w:ascii="仿宋_GB2312" w:eastAsia="仿宋_GB2312" w:hint="eastAsia"/>
          <w:sz w:val="32"/>
          <w:szCs w:val="32"/>
        </w:rPr>
        <w:t>  长期处方药品原则上由患者本人领取。特殊情况下，因行动不便等原因，可由熟悉患者基本情况的人员，持本人及患者有效身份证件代为领取，并配合做好相应取药登记记录。鼓励通过配送物流延伸等方式，解决患者</w:t>
      </w:r>
      <w:r>
        <w:rPr>
          <w:rFonts w:ascii="仿宋_GB2312" w:eastAsia="仿宋_GB2312" w:hint="eastAsia"/>
          <w:sz w:val="32"/>
          <w:szCs w:val="32"/>
        </w:rPr>
        <w:lastRenderedPageBreak/>
        <w:t>取药困难问题。</w:t>
      </w:r>
    </w:p>
    <w:p w:rsidR="008613D0" w:rsidRDefault="008613D0" w:rsidP="008613D0">
      <w:pPr>
        <w:spacing w:line="577" w:lineRule="exact"/>
        <w:ind w:firstLineChars="200" w:firstLine="640"/>
        <w:rPr>
          <w:rFonts w:ascii="仿宋_GB2312" w:eastAsia="仿宋_GB2312" w:hint="eastAsia"/>
          <w:sz w:val="32"/>
          <w:szCs w:val="32"/>
        </w:rPr>
      </w:pPr>
    </w:p>
    <w:p w:rsidR="008613D0" w:rsidRDefault="008613D0" w:rsidP="008613D0">
      <w:pPr>
        <w:spacing w:line="577" w:lineRule="exact"/>
        <w:jc w:val="center"/>
        <w:rPr>
          <w:rFonts w:ascii="黑体" w:eastAsia="黑体" w:hAnsi="黑体" w:hint="eastAsia"/>
          <w:sz w:val="32"/>
          <w:szCs w:val="32"/>
        </w:rPr>
      </w:pPr>
      <w:r>
        <w:rPr>
          <w:rFonts w:ascii="黑体" w:eastAsia="黑体" w:hAnsi="黑体" w:hint="eastAsia"/>
          <w:sz w:val="32"/>
          <w:szCs w:val="32"/>
        </w:rPr>
        <w:t>第五章  长期处方用药管理</w:t>
      </w:r>
    </w:p>
    <w:p w:rsidR="008613D0" w:rsidRDefault="008613D0" w:rsidP="008613D0">
      <w:pPr>
        <w:spacing w:line="577" w:lineRule="exact"/>
        <w:ind w:firstLineChars="200" w:firstLine="640"/>
        <w:rPr>
          <w:rFonts w:ascii="仿宋_GB2312" w:eastAsia="仿宋_GB2312" w:hint="eastAsia"/>
          <w:sz w:val="32"/>
          <w:szCs w:val="32"/>
        </w:rPr>
      </w:pPr>
      <w:r>
        <w:rPr>
          <w:rFonts w:ascii="黑体" w:eastAsia="黑体" w:hAnsi="黑体" w:hint="eastAsia"/>
          <w:sz w:val="32"/>
          <w:szCs w:val="32"/>
        </w:rPr>
        <w:t>第二十九条</w:t>
      </w:r>
      <w:r>
        <w:rPr>
          <w:rFonts w:ascii="仿宋_GB2312" w:eastAsia="仿宋_GB2312" w:hint="eastAsia"/>
          <w:sz w:val="32"/>
          <w:szCs w:val="32"/>
        </w:rPr>
        <w:t xml:space="preserve">  医疗机构应当对长期处方定期开展合理性评价工作，持续提高长期处方合理用药水平。</w:t>
      </w:r>
    </w:p>
    <w:p w:rsidR="008613D0" w:rsidRDefault="008613D0" w:rsidP="008613D0">
      <w:pPr>
        <w:spacing w:line="577" w:lineRule="exact"/>
        <w:ind w:firstLineChars="200" w:firstLine="640"/>
        <w:rPr>
          <w:rFonts w:ascii="仿宋_GB2312" w:eastAsia="仿宋_GB2312" w:hint="eastAsia"/>
          <w:sz w:val="32"/>
          <w:szCs w:val="32"/>
        </w:rPr>
      </w:pPr>
      <w:r>
        <w:rPr>
          <w:rFonts w:ascii="黑体" w:eastAsia="黑体" w:hAnsi="黑体" w:hint="eastAsia"/>
          <w:sz w:val="32"/>
          <w:szCs w:val="32"/>
        </w:rPr>
        <w:t>第三十条</w:t>
      </w:r>
      <w:r>
        <w:rPr>
          <w:rFonts w:ascii="仿宋_GB2312" w:eastAsia="仿宋_GB2312" w:hint="eastAsia"/>
          <w:sz w:val="32"/>
          <w:szCs w:val="32"/>
        </w:rPr>
        <w:t xml:space="preserve">  基层医疗卫生机构应当将本机构开具的长期处方信息纳入患者健康档案，详细记录患者诊疗和用药记录。家庭医生团队应当对患者进行定期随访管理，对患者病情变化、用药依从性和药物不良反应等进行评估，必要时及时调整或终止长期处方，并在患者健康档案及病历中注明。</w:t>
      </w:r>
    </w:p>
    <w:p w:rsidR="008613D0" w:rsidRDefault="008613D0" w:rsidP="008613D0">
      <w:pPr>
        <w:spacing w:line="577" w:lineRule="exact"/>
        <w:ind w:firstLineChars="200" w:firstLine="640"/>
        <w:rPr>
          <w:rFonts w:ascii="仿宋_GB2312" w:eastAsia="仿宋_GB2312" w:hint="eastAsia"/>
          <w:sz w:val="32"/>
          <w:szCs w:val="32"/>
        </w:rPr>
      </w:pPr>
      <w:r>
        <w:rPr>
          <w:rFonts w:ascii="黑体" w:eastAsia="黑体" w:hAnsi="黑体" w:hint="eastAsia"/>
          <w:sz w:val="32"/>
          <w:szCs w:val="32"/>
        </w:rPr>
        <w:t>第三十一条</w:t>
      </w:r>
      <w:r>
        <w:rPr>
          <w:rFonts w:ascii="仿宋_GB2312" w:eastAsia="仿宋_GB2312" w:hint="eastAsia"/>
          <w:sz w:val="32"/>
          <w:szCs w:val="32"/>
        </w:rPr>
        <w:t>  医疗机构应当建立安全用药监测与报告制度。发生药品严重不良事件后，应当积极救治患者，立即向医务和药学部门报告，做好观察与记录。按照有关规定向有关部门报告药品不良反应等信息。</w:t>
      </w:r>
    </w:p>
    <w:p w:rsidR="008613D0" w:rsidRDefault="008613D0" w:rsidP="008613D0">
      <w:pPr>
        <w:spacing w:line="577" w:lineRule="exact"/>
        <w:ind w:firstLineChars="200" w:firstLine="640"/>
        <w:rPr>
          <w:rFonts w:ascii="仿宋_GB2312" w:eastAsia="仿宋_GB2312" w:hint="eastAsia"/>
          <w:sz w:val="32"/>
          <w:szCs w:val="32"/>
        </w:rPr>
      </w:pPr>
      <w:r>
        <w:rPr>
          <w:rFonts w:ascii="黑体" w:eastAsia="黑体" w:hAnsi="黑体" w:hint="eastAsia"/>
          <w:sz w:val="32"/>
          <w:szCs w:val="32"/>
        </w:rPr>
        <w:t>第三十二条</w:t>
      </w:r>
      <w:r>
        <w:rPr>
          <w:rFonts w:ascii="仿宋_GB2312" w:eastAsia="仿宋_GB2312" w:hint="eastAsia"/>
          <w:sz w:val="32"/>
          <w:szCs w:val="32"/>
        </w:rPr>
        <w:t xml:space="preserve">  医疗机构应当加强对使用长期处方患者的用药教育，增加其合理用药知识，提高自我用药管理能力和用药依从性，并告知患者在用药过程中出现任何不适，应当及时就诊。</w:t>
      </w:r>
    </w:p>
    <w:p w:rsidR="008613D0" w:rsidRDefault="008613D0" w:rsidP="008613D0">
      <w:pPr>
        <w:spacing w:line="577" w:lineRule="exact"/>
        <w:ind w:firstLineChars="200" w:firstLine="640"/>
        <w:rPr>
          <w:rFonts w:ascii="仿宋_GB2312" w:eastAsia="仿宋_GB2312" w:hint="eastAsia"/>
          <w:sz w:val="32"/>
          <w:szCs w:val="32"/>
        </w:rPr>
      </w:pPr>
      <w:r>
        <w:rPr>
          <w:rFonts w:ascii="黑体" w:eastAsia="黑体" w:hAnsi="黑体" w:hint="eastAsia"/>
          <w:sz w:val="32"/>
          <w:szCs w:val="32"/>
        </w:rPr>
        <w:t>第三十三条</w:t>
      </w:r>
      <w:r>
        <w:rPr>
          <w:rFonts w:ascii="仿宋_GB2312" w:eastAsia="仿宋_GB2312" w:hint="eastAsia"/>
          <w:sz w:val="32"/>
          <w:szCs w:val="32"/>
        </w:rPr>
        <w:t xml:space="preserve">  医疗机构应当指导使用长期处方患者对药物治疗效果指标进行自我监测并作好记录。鼓励使用医疗器械类穿戴设备，提高药物治疗效果指标监测的信息化水平。在保障数据和隐私安全的前提下，可以探索通过接入互联网的远程监测设备开展监测。</w:t>
      </w:r>
    </w:p>
    <w:p w:rsidR="008613D0" w:rsidRDefault="008613D0" w:rsidP="008613D0">
      <w:pPr>
        <w:spacing w:line="577" w:lineRule="exact"/>
        <w:ind w:firstLineChars="200" w:firstLine="640"/>
        <w:rPr>
          <w:rFonts w:ascii="仿宋_GB2312" w:eastAsia="仿宋_GB2312" w:hint="eastAsia"/>
          <w:sz w:val="32"/>
          <w:szCs w:val="32"/>
        </w:rPr>
      </w:pPr>
      <w:r>
        <w:rPr>
          <w:rFonts w:ascii="黑体" w:eastAsia="黑体" w:hAnsi="黑体" w:hint="eastAsia"/>
          <w:sz w:val="32"/>
          <w:szCs w:val="32"/>
        </w:rPr>
        <w:t>第三十四条</w:t>
      </w:r>
      <w:r>
        <w:rPr>
          <w:rFonts w:ascii="仿宋_GB2312" w:eastAsia="仿宋_GB2312" w:hint="eastAsia"/>
          <w:sz w:val="32"/>
          <w:szCs w:val="32"/>
        </w:rPr>
        <w:t>  医疗机构应当指导使用长期处方患者，</w:t>
      </w:r>
      <w:r>
        <w:rPr>
          <w:rFonts w:ascii="仿宋_GB2312" w:eastAsia="仿宋_GB2312" w:hint="eastAsia"/>
          <w:sz w:val="32"/>
          <w:szCs w:val="32"/>
        </w:rPr>
        <w:lastRenderedPageBreak/>
        <w:t>按照要求保存药品，确保药品质量。</w:t>
      </w:r>
    </w:p>
    <w:p w:rsidR="008613D0" w:rsidRDefault="008613D0" w:rsidP="008613D0">
      <w:pPr>
        <w:spacing w:line="577" w:lineRule="exact"/>
        <w:ind w:firstLineChars="200" w:firstLine="640"/>
        <w:rPr>
          <w:rFonts w:ascii="仿宋_GB2312" w:eastAsia="仿宋_GB2312" w:hint="eastAsia"/>
          <w:sz w:val="32"/>
          <w:szCs w:val="32"/>
        </w:rPr>
      </w:pPr>
      <w:r>
        <w:rPr>
          <w:rFonts w:ascii="黑体" w:eastAsia="黑体" w:hAnsi="黑体" w:hint="eastAsia"/>
          <w:sz w:val="32"/>
          <w:szCs w:val="32"/>
        </w:rPr>
        <w:t>第三十五条</w:t>
      </w:r>
      <w:r>
        <w:rPr>
          <w:rFonts w:ascii="仿宋_GB2312" w:eastAsia="仿宋_GB2312" w:hint="eastAsia"/>
          <w:sz w:val="32"/>
          <w:szCs w:val="32"/>
        </w:rPr>
        <w:t>  医疗机构应当将长期处方患者的诊疗，纳入医疗管理统筹安排，严格落实有关疾病诊疗规范要求，加强质量控制和管理，保障医疗质量和医疗安全。</w:t>
      </w:r>
    </w:p>
    <w:p w:rsidR="008613D0" w:rsidRDefault="008613D0" w:rsidP="008613D0">
      <w:pPr>
        <w:spacing w:line="577" w:lineRule="exact"/>
        <w:ind w:firstLineChars="200" w:firstLine="640"/>
        <w:rPr>
          <w:rFonts w:ascii="仿宋_GB2312" w:eastAsia="仿宋_GB2312" w:hint="eastAsia"/>
          <w:sz w:val="32"/>
          <w:szCs w:val="32"/>
        </w:rPr>
      </w:pPr>
      <w:r>
        <w:rPr>
          <w:rFonts w:ascii="黑体" w:eastAsia="黑体" w:hAnsi="黑体" w:hint="eastAsia"/>
          <w:sz w:val="32"/>
          <w:szCs w:val="32"/>
        </w:rPr>
        <w:t>第三十六条</w:t>
      </w:r>
      <w:r>
        <w:rPr>
          <w:rFonts w:ascii="仿宋_GB2312" w:eastAsia="仿宋_GB2312" w:hint="eastAsia"/>
          <w:sz w:val="32"/>
          <w:szCs w:val="32"/>
        </w:rPr>
        <w:t>  鼓励有条件的地区通过开设</w:t>
      </w:r>
      <w:proofErr w:type="gramStart"/>
      <w:r>
        <w:rPr>
          <w:rFonts w:ascii="仿宋_GB2312" w:eastAsia="仿宋_GB2312" w:hint="eastAsia"/>
          <w:sz w:val="32"/>
          <w:szCs w:val="32"/>
        </w:rPr>
        <w:t>微信公众号</w:t>
      </w:r>
      <w:proofErr w:type="gramEnd"/>
      <w:r>
        <w:rPr>
          <w:rFonts w:ascii="仿宋_GB2312" w:eastAsia="仿宋_GB2312" w:hint="eastAsia"/>
          <w:sz w:val="32"/>
          <w:szCs w:val="32"/>
        </w:rPr>
        <w:t>、患者客户端等互联网交互方式或途径，方便患者查询长期处方信息、药品用法用量、注意事项等。探索开展长期处方患者的用药提醒、随访、用药咨询等服务。</w:t>
      </w:r>
    </w:p>
    <w:p w:rsidR="008613D0" w:rsidRDefault="008613D0" w:rsidP="008613D0">
      <w:pPr>
        <w:spacing w:line="577" w:lineRule="exact"/>
        <w:rPr>
          <w:rFonts w:ascii="仿宋_GB2312" w:eastAsia="仿宋_GB2312" w:hint="eastAsia"/>
          <w:sz w:val="32"/>
          <w:szCs w:val="32"/>
        </w:rPr>
      </w:pPr>
    </w:p>
    <w:p w:rsidR="008613D0" w:rsidRDefault="008613D0" w:rsidP="008613D0">
      <w:pPr>
        <w:spacing w:line="577" w:lineRule="exact"/>
        <w:jc w:val="center"/>
        <w:rPr>
          <w:rFonts w:ascii="黑体" w:eastAsia="黑体" w:hAnsi="黑体" w:hint="eastAsia"/>
          <w:sz w:val="32"/>
          <w:szCs w:val="32"/>
        </w:rPr>
      </w:pPr>
      <w:r>
        <w:rPr>
          <w:rFonts w:ascii="黑体" w:eastAsia="黑体" w:hAnsi="黑体" w:hint="eastAsia"/>
          <w:sz w:val="32"/>
          <w:szCs w:val="32"/>
        </w:rPr>
        <w:t>第六章  长期处方</w:t>
      </w:r>
      <w:proofErr w:type="gramStart"/>
      <w:r>
        <w:rPr>
          <w:rFonts w:ascii="黑体" w:eastAsia="黑体" w:hAnsi="黑体" w:hint="eastAsia"/>
          <w:sz w:val="32"/>
          <w:szCs w:val="32"/>
        </w:rPr>
        <w:t>医</w:t>
      </w:r>
      <w:proofErr w:type="gramEnd"/>
      <w:r>
        <w:rPr>
          <w:rFonts w:ascii="黑体" w:eastAsia="黑体" w:hAnsi="黑体" w:hint="eastAsia"/>
          <w:sz w:val="32"/>
          <w:szCs w:val="32"/>
        </w:rPr>
        <w:t>保支付</w:t>
      </w:r>
    </w:p>
    <w:p w:rsidR="008613D0" w:rsidRDefault="008613D0" w:rsidP="008613D0">
      <w:pPr>
        <w:spacing w:line="577" w:lineRule="exact"/>
        <w:ind w:firstLineChars="200" w:firstLine="640"/>
        <w:rPr>
          <w:rFonts w:ascii="仿宋_GB2312" w:eastAsia="仿宋_GB2312" w:hint="eastAsia"/>
          <w:sz w:val="32"/>
          <w:szCs w:val="32"/>
        </w:rPr>
      </w:pPr>
      <w:r>
        <w:rPr>
          <w:rFonts w:ascii="黑体" w:eastAsia="黑体" w:hAnsi="黑体" w:hint="eastAsia"/>
          <w:sz w:val="32"/>
          <w:szCs w:val="32"/>
        </w:rPr>
        <w:t>第三十七条</w:t>
      </w:r>
      <w:r>
        <w:rPr>
          <w:rFonts w:ascii="仿宋_GB2312" w:eastAsia="仿宋_GB2312" w:hint="eastAsia"/>
          <w:sz w:val="32"/>
          <w:szCs w:val="32"/>
        </w:rPr>
        <w:t xml:space="preserve">  各地</w:t>
      </w:r>
      <w:proofErr w:type="gramStart"/>
      <w:r>
        <w:rPr>
          <w:rFonts w:ascii="仿宋_GB2312" w:eastAsia="仿宋_GB2312" w:hint="eastAsia"/>
          <w:sz w:val="32"/>
          <w:szCs w:val="32"/>
        </w:rPr>
        <w:t>医</w:t>
      </w:r>
      <w:proofErr w:type="gramEnd"/>
      <w:r>
        <w:rPr>
          <w:rFonts w:ascii="仿宋_GB2312" w:eastAsia="仿宋_GB2312" w:hint="eastAsia"/>
          <w:sz w:val="32"/>
          <w:szCs w:val="32"/>
        </w:rPr>
        <w:t>保部门支付长期处方开具的符合规定的药品费用，不对单张处方的数量、金额等作限制，参保人按规定享受待遇。</w:t>
      </w:r>
    </w:p>
    <w:p w:rsidR="008613D0" w:rsidRDefault="008613D0" w:rsidP="008613D0">
      <w:pPr>
        <w:spacing w:line="577" w:lineRule="exact"/>
        <w:ind w:firstLineChars="200" w:firstLine="640"/>
        <w:rPr>
          <w:rFonts w:ascii="仿宋_GB2312" w:eastAsia="仿宋_GB2312" w:hint="eastAsia"/>
          <w:sz w:val="32"/>
          <w:szCs w:val="32"/>
        </w:rPr>
      </w:pPr>
      <w:r>
        <w:rPr>
          <w:rFonts w:ascii="黑体" w:eastAsia="黑体" w:hAnsi="黑体" w:hint="eastAsia"/>
          <w:sz w:val="32"/>
          <w:szCs w:val="32"/>
        </w:rPr>
        <w:t>第三十八条</w:t>
      </w:r>
      <w:r>
        <w:rPr>
          <w:rFonts w:ascii="仿宋_GB2312" w:eastAsia="仿宋_GB2312" w:hint="eastAsia"/>
          <w:sz w:val="32"/>
          <w:szCs w:val="32"/>
        </w:rPr>
        <w:t xml:space="preserve">  各地在制定区域总额预算管理时，应当充分考虑长期处方因素。</w:t>
      </w:r>
    </w:p>
    <w:p w:rsidR="008613D0" w:rsidRDefault="008613D0" w:rsidP="008613D0">
      <w:pPr>
        <w:spacing w:line="577" w:lineRule="exact"/>
        <w:ind w:firstLineChars="200" w:firstLine="640"/>
        <w:rPr>
          <w:rFonts w:ascii="仿宋_GB2312" w:eastAsia="仿宋_GB2312" w:hint="eastAsia"/>
          <w:sz w:val="32"/>
          <w:szCs w:val="32"/>
        </w:rPr>
      </w:pPr>
      <w:r>
        <w:rPr>
          <w:rFonts w:ascii="黑体" w:eastAsia="黑体" w:hAnsi="黑体" w:hint="eastAsia"/>
          <w:sz w:val="32"/>
          <w:szCs w:val="32"/>
        </w:rPr>
        <w:t>第三十九条</w:t>
      </w:r>
      <w:r>
        <w:rPr>
          <w:rFonts w:ascii="仿宋_GB2312" w:eastAsia="仿宋_GB2312" w:hint="eastAsia"/>
          <w:sz w:val="32"/>
          <w:szCs w:val="32"/>
        </w:rPr>
        <w:t>  各地</w:t>
      </w:r>
      <w:proofErr w:type="gramStart"/>
      <w:r>
        <w:rPr>
          <w:rFonts w:ascii="仿宋_GB2312" w:eastAsia="仿宋_GB2312" w:hint="eastAsia"/>
          <w:sz w:val="32"/>
          <w:szCs w:val="32"/>
        </w:rPr>
        <w:t>医</w:t>
      </w:r>
      <w:proofErr w:type="gramEnd"/>
      <w:r>
        <w:rPr>
          <w:rFonts w:ascii="仿宋_GB2312" w:eastAsia="仿宋_GB2312" w:hint="eastAsia"/>
          <w:sz w:val="32"/>
          <w:szCs w:val="32"/>
        </w:rPr>
        <w:t>保部门应当提高经办服务能力，方便各医疗机构、零售药店刷卡结算，为参保人提供长期处方</w:t>
      </w:r>
      <w:proofErr w:type="gramStart"/>
      <w:r>
        <w:rPr>
          <w:rFonts w:ascii="仿宋_GB2312" w:eastAsia="仿宋_GB2312" w:hint="eastAsia"/>
          <w:sz w:val="32"/>
          <w:szCs w:val="32"/>
        </w:rPr>
        <w:t>医</w:t>
      </w:r>
      <w:proofErr w:type="gramEnd"/>
      <w:r>
        <w:rPr>
          <w:rFonts w:ascii="仿宋_GB2312" w:eastAsia="仿宋_GB2312" w:hint="eastAsia"/>
          <w:sz w:val="32"/>
          <w:szCs w:val="32"/>
        </w:rPr>
        <w:t>保报销咨询服务。加强智能监控、智能审核，确保药品合理使用。</w:t>
      </w:r>
    </w:p>
    <w:p w:rsidR="008613D0" w:rsidRDefault="008613D0" w:rsidP="008613D0">
      <w:pPr>
        <w:spacing w:line="577" w:lineRule="exact"/>
        <w:rPr>
          <w:rFonts w:ascii="仿宋_GB2312" w:eastAsia="仿宋_GB2312" w:hint="eastAsia"/>
          <w:sz w:val="32"/>
          <w:szCs w:val="32"/>
        </w:rPr>
      </w:pPr>
    </w:p>
    <w:p w:rsidR="008613D0" w:rsidRDefault="008613D0" w:rsidP="008613D0">
      <w:pPr>
        <w:spacing w:line="577" w:lineRule="exact"/>
        <w:jc w:val="center"/>
        <w:rPr>
          <w:rFonts w:ascii="黑体" w:eastAsia="黑体" w:hAnsi="黑体" w:hint="eastAsia"/>
          <w:sz w:val="32"/>
          <w:szCs w:val="32"/>
        </w:rPr>
      </w:pPr>
      <w:r>
        <w:rPr>
          <w:rFonts w:ascii="黑体" w:eastAsia="黑体" w:hAnsi="黑体" w:hint="eastAsia"/>
          <w:sz w:val="32"/>
          <w:szCs w:val="32"/>
        </w:rPr>
        <w:t>第七章  附则</w:t>
      </w:r>
    </w:p>
    <w:p w:rsidR="008613D0" w:rsidRDefault="008613D0" w:rsidP="008613D0">
      <w:pPr>
        <w:spacing w:line="577" w:lineRule="exact"/>
        <w:ind w:firstLineChars="200" w:firstLine="640"/>
        <w:rPr>
          <w:rFonts w:ascii="仿宋_GB2312" w:eastAsia="仿宋_GB2312" w:hint="eastAsia"/>
          <w:sz w:val="32"/>
          <w:szCs w:val="32"/>
        </w:rPr>
      </w:pPr>
      <w:r>
        <w:rPr>
          <w:rFonts w:ascii="黑体" w:eastAsia="黑体" w:hAnsi="黑体" w:hint="eastAsia"/>
          <w:sz w:val="32"/>
          <w:szCs w:val="32"/>
        </w:rPr>
        <w:t>第四十条</w:t>
      </w:r>
      <w:r>
        <w:rPr>
          <w:rFonts w:ascii="仿宋_GB2312" w:eastAsia="仿宋_GB2312" w:hint="eastAsia"/>
          <w:sz w:val="32"/>
          <w:szCs w:val="32"/>
        </w:rPr>
        <w:t xml:space="preserve">  地方卫生健康行政部门应当会同医疗保障部门制定辖区内长期处方管理实施细则后实施。</w:t>
      </w:r>
    </w:p>
    <w:p w:rsidR="008613D0" w:rsidRDefault="008613D0" w:rsidP="008613D0">
      <w:pPr>
        <w:spacing w:line="577" w:lineRule="exact"/>
        <w:ind w:firstLineChars="200" w:firstLine="640"/>
        <w:rPr>
          <w:rFonts w:ascii="仿宋_GB2312" w:eastAsia="仿宋_GB2312" w:hint="eastAsia"/>
          <w:sz w:val="32"/>
          <w:szCs w:val="32"/>
        </w:rPr>
      </w:pPr>
      <w:r>
        <w:rPr>
          <w:rFonts w:ascii="黑体" w:eastAsia="黑体" w:hAnsi="黑体" w:hint="eastAsia"/>
          <w:sz w:val="32"/>
          <w:szCs w:val="32"/>
        </w:rPr>
        <w:t>第四十一条</w:t>
      </w:r>
      <w:r>
        <w:rPr>
          <w:rFonts w:ascii="仿宋_GB2312" w:eastAsia="仿宋_GB2312" w:hint="eastAsia"/>
          <w:sz w:val="32"/>
          <w:szCs w:val="32"/>
        </w:rPr>
        <w:t xml:space="preserve">  互联网医院提供长期处方服务，应当结</w:t>
      </w:r>
      <w:r>
        <w:rPr>
          <w:rFonts w:ascii="仿宋_GB2312" w:eastAsia="仿宋_GB2312" w:hint="eastAsia"/>
          <w:sz w:val="32"/>
          <w:szCs w:val="32"/>
        </w:rPr>
        <w:lastRenderedPageBreak/>
        <w:t>合其依托的实体医疗机构具备的条件，符合医疗机构药事管理、互联网诊疗管理相关规定和本规范，加强医疗质量和安全监管。</w:t>
      </w:r>
    </w:p>
    <w:p w:rsidR="008613D0" w:rsidRDefault="008613D0" w:rsidP="008613D0">
      <w:pPr>
        <w:spacing w:line="577" w:lineRule="exact"/>
        <w:ind w:firstLineChars="200" w:firstLine="640"/>
        <w:rPr>
          <w:rFonts w:ascii="仿宋_GB2312" w:eastAsia="仿宋_GB2312" w:hint="eastAsia"/>
          <w:sz w:val="32"/>
          <w:szCs w:val="32"/>
        </w:rPr>
      </w:pPr>
      <w:r>
        <w:rPr>
          <w:rFonts w:ascii="黑体" w:eastAsia="黑体" w:hAnsi="黑体" w:hint="eastAsia"/>
          <w:sz w:val="32"/>
          <w:szCs w:val="32"/>
        </w:rPr>
        <w:t>第四十二条</w:t>
      </w:r>
      <w:r>
        <w:rPr>
          <w:rFonts w:ascii="仿宋_GB2312" w:eastAsia="仿宋_GB2312" w:hint="eastAsia"/>
          <w:sz w:val="32"/>
          <w:szCs w:val="32"/>
        </w:rPr>
        <w:t xml:space="preserve">  基层医疗卫生机构，是指乡镇卫生院、社区卫生服务中心（站）、村卫生室、医务室、门诊部和诊所等。</w:t>
      </w:r>
    </w:p>
    <w:p w:rsidR="008613D0" w:rsidRDefault="008613D0" w:rsidP="008613D0">
      <w:pPr>
        <w:spacing w:line="577" w:lineRule="exact"/>
        <w:ind w:firstLineChars="200" w:firstLine="640"/>
        <w:rPr>
          <w:rFonts w:ascii="仿宋_GB2312" w:eastAsia="仿宋_GB2312" w:hint="eastAsia"/>
          <w:sz w:val="32"/>
          <w:szCs w:val="32"/>
        </w:rPr>
      </w:pPr>
      <w:r>
        <w:rPr>
          <w:rFonts w:ascii="黑体" w:eastAsia="黑体" w:hAnsi="黑体" w:hint="eastAsia"/>
          <w:sz w:val="32"/>
          <w:szCs w:val="32"/>
        </w:rPr>
        <w:t>第四十三条</w:t>
      </w:r>
      <w:r>
        <w:rPr>
          <w:rFonts w:ascii="仿宋_GB2312" w:eastAsia="仿宋_GB2312" w:hint="eastAsia"/>
          <w:sz w:val="32"/>
          <w:szCs w:val="32"/>
        </w:rPr>
        <w:t xml:space="preserve">  本规范自印发之日起施行。</w:t>
      </w:r>
    </w:p>
    <w:p w:rsidR="008613D0" w:rsidRDefault="008613D0" w:rsidP="008613D0">
      <w:pPr>
        <w:spacing w:line="577" w:lineRule="exact"/>
      </w:pPr>
    </w:p>
    <w:p w:rsidR="008613D0" w:rsidRDefault="008613D0" w:rsidP="008613D0">
      <w:pPr>
        <w:pStyle w:val="Default"/>
        <w:spacing w:line="577" w:lineRule="exact"/>
        <w:ind w:firstLineChars="200" w:firstLine="671"/>
        <w:rPr>
          <w:rFonts w:ascii="仿宋_GB2312" w:eastAsia="仿宋_GB2312" w:hint="eastAsia"/>
          <w:caps/>
          <w:spacing w:val="24"/>
          <w:w w:val="90"/>
          <w:sz w:val="32"/>
          <w:szCs w:val="32"/>
        </w:rPr>
      </w:pPr>
    </w:p>
    <w:p w:rsidR="00B077B0" w:rsidRPr="008613D0" w:rsidRDefault="00B077B0"/>
    <w:sectPr w:rsidR="00B077B0" w:rsidRPr="008613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3D0"/>
    <w:rsid w:val="00041866"/>
    <w:rsid w:val="000448C7"/>
    <w:rsid w:val="000A0CD5"/>
    <w:rsid w:val="000C67DD"/>
    <w:rsid w:val="000F1663"/>
    <w:rsid w:val="000F2C03"/>
    <w:rsid w:val="0013768D"/>
    <w:rsid w:val="001C020E"/>
    <w:rsid w:val="001E6D4F"/>
    <w:rsid w:val="00267593"/>
    <w:rsid w:val="002B25B8"/>
    <w:rsid w:val="002C5001"/>
    <w:rsid w:val="002E5BB5"/>
    <w:rsid w:val="00320BFD"/>
    <w:rsid w:val="00372191"/>
    <w:rsid w:val="0037617F"/>
    <w:rsid w:val="00376366"/>
    <w:rsid w:val="00380535"/>
    <w:rsid w:val="00395C8B"/>
    <w:rsid w:val="003C0A2C"/>
    <w:rsid w:val="00484645"/>
    <w:rsid w:val="0049701B"/>
    <w:rsid w:val="004B1958"/>
    <w:rsid w:val="004C3521"/>
    <w:rsid w:val="005533D9"/>
    <w:rsid w:val="00561FE1"/>
    <w:rsid w:val="00585996"/>
    <w:rsid w:val="005B1EF6"/>
    <w:rsid w:val="005F4B27"/>
    <w:rsid w:val="005F7CA0"/>
    <w:rsid w:val="00613BCF"/>
    <w:rsid w:val="00623A28"/>
    <w:rsid w:val="0065381D"/>
    <w:rsid w:val="00655E8B"/>
    <w:rsid w:val="006A7950"/>
    <w:rsid w:val="006C6CAE"/>
    <w:rsid w:val="006F1ED4"/>
    <w:rsid w:val="00745856"/>
    <w:rsid w:val="00790C7D"/>
    <w:rsid w:val="007B1B66"/>
    <w:rsid w:val="007F07DE"/>
    <w:rsid w:val="00813D06"/>
    <w:rsid w:val="00816BBB"/>
    <w:rsid w:val="00837B9A"/>
    <w:rsid w:val="0084777C"/>
    <w:rsid w:val="008507D2"/>
    <w:rsid w:val="008613D0"/>
    <w:rsid w:val="00867A12"/>
    <w:rsid w:val="008A133D"/>
    <w:rsid w:val="008B3C5E"/>
    <w:rsid w:val="008D4CA2"/>
    <w:rsid w:val="009019E0"/>
    <w:rsid w:val="009355A2"/>
    <w:rsid w:val="00944F84"/>
    <w:rsid w:val="00953942"/>
    <w:rsid w:val="0098283A"/>
    <w:rsid w:val="009C683E"/>
    <w:rsid w:val="009D41C8"/>
    <w:rsid w:val="009E1DA1"/>
    <w:rsid w:val="00A37351"/>
    <w:rsid w:val="00A46A50"/>
    <w:rsid w:val="00A964B3"/>
    <w:rsid w:val="00A965E3"/>
    <w:rsid w:val="00AB55CF"/>
    <w:rsid w:val="00B077B0"/>
    <w:rsid w:val="00BB034E"/>
    <w:rsid w:val="00BC1D06"/>
    <w:rsid w:val="00C52311"/>
    <w:rsid w:val="00CA16C0"/>
    <w:rsid w:val="00D21DD3"/>
    <w:rsid w:val="00D57CB4"/>
    <w:rsid w:val="00D62E3C"/>
    <w:rsid w:val="00DE421E"/>
    <w:rsid w:val="00E01573"/>
    <w:rsid w:val="00E839CB"/>
    <w:rsid w:val="00E86E09"/>
    <w:rsid w:val="00EA19E9"/>
    <w:rsid w:val="00EF763F"/>
    <w:rsid w:val="00F04B8A"/>
    <w:rsid w:val="00F45CF6"/>
    <w:rsid w:val="00F66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BB38AA-1482-40C6-85D6-4F03D3598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3D0"/>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8613D0"/>
    <w:pPr>
      <w:widowControl w:val="0"/>
      <w:autoSpaceDE w:val="0"/>
      <w:autoSpaceDN w:val="0"/>
      <w:adjustRightInd w:val="0"/>
    </w:pPr>
    <w:rPr>
      <w:rFonts w:ascii="Times New Roman" w:eastAsia="宋体"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578</Words>
  <Characters>3296</Characters>
  <Application>Microsoft Office Word</Application>
  <DocSecurity>0</DocSecurity>
  <Lines>27</Lines>
  <Paragraphs>7</Paragraphs>
  <ScaleCrop>false</ScaleCrop>
  <Company/>
  <LinksUpToDate>false</LinksUpToDate>
  <CharactersWithSpaces>3867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综合保障中心政务服务科_袁春艳</dc:creator>
  <cp:keywords/>
  <dc:description/>
  <cp:lastModifiedBy>综合保障中心政务服务科_袁春艳</cp:lastModifiedBy>
  <cp:revision>1</cp:revision>
  <dcterms:created xsi:type="dcterms:W3CDTF">2023-11-22T09:53:00Z</dcterms:created>
  <dcterms:modified xsi:type="dcterms:W3CDTF">2023-11-22T09:54:00Z</dcterms:modified>
</cp:coreProperties>
</file>