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outlineLvl w:val="9"/>
        <w:rPr>
          <w:rFonts w:hint="eastAsia"/>
          <w:color w:val="auto"/>
          <w:sz w:val="32"/>
          <w:szCs w:val="32"/>
        </w:rPr>
      </w:pPr>
    </w:p>
    <w:p>
      <w:pPr>
        <w:pStyle w:val="4"/>
        <w:bidi w:val="0"/>
        <w:jc w:val="center"/>
        <w:outlineLvl w:val="9"/>
        <w:rPr>
          <w:rFonts w:hint="eastAsia"/>
          <w:color w:val="auto"/>
          <w:sz w:val="32"/>
          <w:szCs w:val="32"/>
        </w:rPr>
      </w:pPr>
    </w:p>
    <w:p>
      <w:pPr>
        <w:pStyle w:val="4"/>
        <w:bidi w:val="0"/>
        <w:jc w:val="center"/>
        <w:outlineLvl w:val="9"/>
        <w:rPr>
          <w:rFonts w:hint="eastAsia"/>
          <w:color w:val="auto"/>
          <w:sz w:val="32"/>
          <w:szCs w:val="32"/>
        </w:rPr>
      </w:pPr>
    </w:p>
    <w:p>
      <w:pPr>
        <w:pStyle w:val="4"/>
        <w:pageBreakBefore w:val="0"/>
        <w:widowControl w:val="0"/>
        <w:kinsoku/>
        <w:wordWrap/>
        <w:overflowPunct/>
        <w:topLinePunct w:val="0"/>
        <w:bidi w:val="0"/>
        <w:snapToGrid/>
        <w:ind w:firstLine="0" w:firstLineChars="0"/>
        <w:jc w:val="center"/>
        <w:textAlignment w:val="auto"/>
        <w:outlineLvl w:val="9"/>
        <w:rPr>
          <w:rFonts w:hint="eastAsia"/>
          <w:color w:val="auto"/>
          <w:sz w:val="32"/>
          <w:szCs w:val="32"/>
        </w:rPr>
      </w:pPr>
    </w:p>
    <w:p>
      <w:pPr>
        <w:keepNext/>
        <w:keepLines/>
        <w:pageBreakBefore w:val="0"/>
        <w:widowControl w:val="0"/>
        <w:kinsoku/>
        <w:wordWrap/>
        <w:overflowPunct/>
        <w:topLinePunct w:val="0"/>
        <w:autoSpaceDE/>
        <w:autoSpaceDN/>
        <w:bidi w:val="0"/>
        <w:adjustRightInd/>
        <w:snapToGrid/>
        <w:spacing w:line="800" w:lineRule="exact"/>
        <w:ind w:firstLine="0" w:firstLineChars="0"/>
        <w:jc w:val="center"/>
        <w:textAlignment w:val="auto"/>
        <w:outlineLvl w:val="9"/>
        <w:rPr>
          <w:rFonts w:hint="eastAsia" w:ascii="方正小标宋简体" w:hAnsi="方正小标宋简体" w:eastAsia="方正小标宋简体" w:cs="方正小标宋简体"/>
          <w:color w:val="auto"/>
          <w:sz w:val="56"/>
          <w:szCs w:val="56"/>
          <w:lang w:val="en-US" w:eastAsia="zh-CN"/>
        </w:rPr>
      </w:pPr>
      <w:r>
        <w:rPr>
          <w:rFonts w:hint="eastAsia" w:ascii="方正小标宋简体" w:hAnsi="方正小标宋简体" w:eastAsia="方正小标宋简体" w:cs="方正小标宋简体"/>
          <w:color w:val="auto"/>
          <w:sz w:val="56"/>
          <w:szCs w:val="56"/>
          <w:lang w:val="en-US" w:eastAsia="zh-CN"/>
        </w:rPr>
        <w:t>豫南片区联盟第二批医用耗材</w:t>
      </w:r>
    </w:p>
    <w:p>
      <w:pPr>
        <w:keepNext/>
        <w:keepLines/>
        <w:pageBreakBefore w:val="0"/>
        <w:widowControl w:val="0"/>
        <w:kinsoku/>
        <w:wordWrap/>
        <w:overflowPunct/>
        <w:topLinePunct w:val="0"/>
        <w:autoSpaceDE/>
        <w:autoSpaceDN/>
        <w:bidi w:val="0"/>
        <w:adjustRightInd/>
        <w:snapToGrid/>
        <w:spacing w:line="800" w:lineRule="exact"/>
        <w:ind w:firstLine="0" w:firstLineChars="0"/>
        <w:jc w:val="center"/>
        <w:textAlignment w:val="auto"/>
        <w:outlineLvl w:val="9"/>
        <w:rPr>
          <w:rFonts w:hint="eastAsia" w:ascii="方正小标宋简体" w:hAnsi="方正小标宋简体" w:eastAsia="方正小标宋简体" w:cs="方正小标宋简体"/>
          <w:color w:val="auto"/>
          <w:sz w:val="56"/>
          <w:szCs w:val="56"/>
        </w:rPr>
      </w:pPr>
      <w:r>
        <w:rPr>
          <w:rFonts w:hint="eastAsia" w:ascii="方正小标宋简体" w:hAnsi="方正小标宋简体" w:eastAsia="方正小标宋简体" w:cs="方正小标宋简体"/>
          <w:color w:val="auto"/>
          <w:sz w:val="56"/>
          <w:szCs w:val="56"/>
          <w:lang w:val="en-US" w:eastAsia="zh-CN"/>
        </w:rPr>
        <w:t>集中带量</w:t>
      </w:r>
      <w:r>
        <w:rPr>
          <w:rFonts w:hint="eastAsia" w:ascii="方正小标宋简体" w:hAnsi="方正小标宋简体" w:eastAsia="方正小标宋简体" w:cs="方正小标宋简体"/>
          <w:color w:val="auto"/>
          <w:sz w:val="56"/>
          <w:szCs w:val="56"/>
        </w:rPr>
        <w:t>采购文件</w:t>
      </w:r>
    </w:p>
    <w:p>
      <w:pPr>
        <w:pStyle w:val="2"/>
        <w:rPr>
          <w:rFonts w:hint="eastAsia"/>
        </w:rPr>
      </w:pPr>
    </w:p>
    <w:p>
      <w:pPr>
        <w:keepNext/>
        <w:keepLines/>
        <w:pageBreakBefore w:val="0"/>
        <w:widowControl w:val="0"/>
        <w:kinsoku/>
        <w:wordWrap/>
        <w:overflowPunct/>
        <w:topLinePunct w:val="0"/>
        <w:autoSpaceDE/>
        <w:autoSpaceDN/>
        <w:bidi w:val="0"/>
        <w:adjustRightInd/>
        <w:snapToGrid/>
        <w:spacing w:line="800" w:lineRule="exact"/>
        <w:ind w:firstLine="0" w:firstLineChars="0"/>
        <w:jc w:val="center"/>
        <w:textAlignment w:val="auto"/>
        <w:outlineLvl w:val="9"/>
        <w:rPr>
          <w:rFonts w:hint="eastAsia"/>
          <w:color w:val="auto"/>
          <w:lang w:val="en-US" w:eastAsia="zh-CN"/>
        </w:rPr>
      </w:pPr>
      <w:r>
        <w:rPr>
          <w:rFonts w:hint="eastAsia" w:cs="仿宋_GB2312"/>
          <w:b/>
          <w:bCs/>
          <w:color w:val="auto"/>
          <w:sz w:val="32"/>
          <w:szCs w:val="32"/>
          <w:lang w:val="en-US" w:eastAsia="zh-CN"/>
        </w:rPr>
        <w:t>透明帽、一次性乳头切开刀</w:t>
      </w:r>
    </w:p>
    <w:p>
      <w:pPr>
        <w:pageBreakBefore w:val="0"/>
        <w:widowControl w:val="0"/>
        <w:kinsoku/>
        <w:wordWrap/>
        <w:overflowPunct/>
        <w:topLinePunct w:val="0"/>
        <w:bidi w:val="0"/>
        <w:snapToGrid/>
        <w:ind w:firstLine="0" w:firstLineChars="0"/>
        <w:textAlignment w:val="auto"/>
        <w:rPr>
          <w:rFonts w:hint="eastAsia"/>
          <w:color w:val="auto"/>
          <w:lang w:val="en-US" w:eastAsia="zh-CN"/>
        </w:rPr>
      </w:pPr>
    </w:p>
    <w:p>
      <w:pPr>
        <w:pageBreakBefore w:val="0"/>
        <w:widowControl w:val="0"/>
        <w:kinsoku/>
        <w:wordWrap/>
        <w:overflowPunct/>
        <w:topLinePunct w:val="0"/>
        <w:bidi w:val="0"/>
        <w:snapToGrid/>
        <w:ind w:firstLine="0" w:firstLineChars="0"/>
        <w:jc w:val="center"/>
        <w:textAlignment w:val="auto"/>
        <w:rPr>
          <w:rFonts w:hint="default"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采购文件编号：HN-YNLM-2023-1</w:t>
      </w:r>
    </w:p>
    <w:p>
      <w:pPr>
        <w:pageBreakBefore w:val="0"/>
        <w:widowControl w:val="0"/>
        <w:kinsoku/>
        <w:wordWrap/>
        <w:overflowPunct/>
        <w:topLinePunct w:val="0"/>
        <w:bidi w:val="0"/>
        <w:snapToGrid/>
        <w:ind w:firstLine="0" w:firstLineChars="0"/>
        <w:jc w:val="center"/>
        <w:textAlignment w:val="auto"/>
        <w:rPr>
          <w:rFonts w:hint="eastAsia"/>
          <w:color w:val="auto"/>
          <w:lang w:val="en-US" w:eastAsia="zh-CN"/>
        </w:rPr>
      </w:pPr>
    </w:p>
    <w:p>
      <w:pPr>
        <w:pageBreakBefore w:val="0"/>
        <w:widowControl w:val="0"/>
        <w:kinsoku/>
        <w:wordWrap/>
        <w:overflowPunct/>
        <w:topLinePunct w:val="0"/>
        <w:bidi w:val="0"/>
        <w:snapToGrid/>
        <w:ind w:firstLine="0" w:firstLineChars="0"/>
        <w:jc w:val="both"/>
        <w:textAlignment w:val="auto"/>
        <w:rPr>
          <w:rFonts w:hint="eastAsia"/>
          <w:color w:val="auto"/>
          <w:lang w:val="en-US" w:eastAsia="zh-CN"/>
        </w:rPr>
      </w:pPr>
    </w:p>
    <w:p>
      <w:pPr>
        <w:pageBreakBefore w:val="0"/>
        <w:widowControl w:val="0"/>
        <w:kinsoku/>
        <w:wordWrap/>
        <w:overflowPunct/>
        <w:topLinePunct w:val="0"/>
        <w:bidi w:val="0"/>
        <w:snapToGrid/>
        <w:ind w:firstLine="0" w:firstLineChars="0"/>
        <w:jc w:val="center"/>
        <w:textAlignment w:val="auto"/>
        <w:rPr>
          <w:rFonts w:hint="eastAsia"/>
          <w:color w:val="auto"/>
          <w:lang w:val="en-US" w:eastAsia="zh-CN"/>
        </w:rPr>
      </w:pPr>
    </w:p>
    <w:p>
      <w:pPr>
        <w:pageBreakBefore w:val="0"/>
        <w:widowControl w:val="0"/>
        <w:kinsoku/>
        <w:wordWrap/>
        <w:overflowPunct/>
        <w:topLinePunct w:val="0"/>
        <w:bidi w:val="0"/>
        <w:snapToGrid/>
        <w:ind w:firstLine="0" w:firstLineChars="0"/>
        <w:jc w:val="center"/>
        <w:textAlignment w:val="auto"/>
        <w:rPr>
          <w:rFonts w:hint="eastAsia"/>
          <w:color w:val="auto"/>
          <w:lang w:val="en-US" w:eastAsia="zh-CN"/>
        </w:rPr>
      </w:pPr>
    </w:p>
    <w:p>
      <w:pPr>
        <w:pageBreakBefore w:val="0"/>
        <w:widowControl w:val="0"/>
        <w:kinsoku/>
        <w:wordWrap/>
        <w:overflowPunct/>
        <w:topLinePunct w:val="0"/>
        <w:bidi w:val="0"/>
        <w:snapToGrid/>
        <w:ind w:firstLine="0" w:firstLineChars="0"/>
        <w:jc w:val="center"/>
        <w:textAlignment w:val="auto"/>
        <w:rPr>
          <w:rFonts w:hint="eastAsia"/>
          <w:color w:val="auto"/>
          <w:lang w:val="en-US" w:eastAsia="zh-CN"/>
        </w:rPr>
      </w:pPr>
    </w:p>
    <w:p>
      <w:pPr>
        <w:pageBreakBefore w:val="0"/>
        <w:widowControl w:val="0"/>
        <w:kinsoku/>
        <w:wordWrap/>
        <w:overflowPunct/>
        <w:topLinePunct w:val="0"/>
        <w:bidi w:val="0"/>
        <w:snapToGrid/>
        <w:ind w:firstLine="0" w:firstLineChars="0"/>
        <w:jc w:val="both"/>
        <w:textAlignment w:val="auto"/>
        <w:rPr>
          <w:rFonts w:hint="eastAsia"/>
          <w:color w:val="auto"/>
          <w:lang w:val="en-US" w:eastAsia="zh-CN"/>
        </w:rPr>
      </w:pPr>
    </w:p>
    <w:p>
      <w:pPr>
        <w:pageBreakBefore w:val="0"/>
        <w:widowControl w:val="0"/>
        <w:kinsoku/>
        <w:wordWrap/>
        <w:overflowPunct/>
        <w:topLinePunct w:val="0"/>
        <w:bidi w:val="0"/>
        <w:snapToGrid/>
        <w:ind w:firstLine="420" w:firstLineChars="0"/>
        <w:jc w:val="center"/>
        <w:textAlignment w:val="auto"/>
        <w:rPr>
          <w:rFonts w:hint="eastAsia"/>
          <w:color w:val="auto"/>
          <w:lang w:val="en-US" w:eastAsia="zh-CN"/>
        </w:rPr>
      </w:pPr>
    </w:p>
    <w:p>
      <w:pPr>
        <w:pageBreakBefore w:val="0"/>
        <w:widowControl w:val="0"/>
        <w:kinsoku/>
        <w:wordWrap/>
        <w:overflowPunct/>
        <w:topLinePunct w:val="0"/>
        <w:bidi w:val="0"/>
        <w:snapToGrid/>
        <w:ind w:firstLine="0" w:firstLineChars="0"/>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豫南片区联盟采购办公室</w:t>
      </w:r>
    </w:p>
    <w:p>
      <w:pPr>
        <w:pageBreakBefore w:val="0"/>
        <w:widowControl w:val="0"/>
        <w:kinsoku/>
        <w:wordWrap/>
        <w:overflowPunct/>
        <w:topLinePunct w:val="0"/>
        <w:bidi w:val="0"/>
        <w:snapToGrid/>
        <w:ind w:firstLine="0" w:firstLineChars="0"/>
        <w:jc w:val="center"/>
        <w:textAlignment w:val="auto"/>
        <w:rPr>
          <w:rFonts w:hint="eastAsia" w:ascii="方正小标宋简体" w:hAnsi="方正小标宋简体" w:eastAsia="方正小标宋简体" w:cs="方正小标宋简体"/>
          <w:color w:val="auto"/>
          <w:sz w:val="32"/>
          <w:szCs w:val="32"/>
          <w:lang w:val="en-US" w:eastAsia="zh-CN"/>
        </w:rPr>
        <w:sectPr>
          <w:pgSz w:w="11906" w:h="16838"/>
          <w:pgMar w:top="2098" w:right="1474" w:bottom="1984" w:left="1361"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方正小标宋简体" w:hAnsi="方正小标宋简体" w:eastAsia="方正小标宋简体" w:cs="方正小标宋简体"/>
          <w:color w:val="auto"/>
          <w:sz w:val="32"/>
          <w:szCs w:val="32"/>
          <w:lang w:val="en-US" w:eastAsia="zh-CN"/>
        </w:rPr>
        <w:t>2023年11月</w:t>
      </w:r>
      <w:bookmarkStart w:id="58" w:name="_GoBack"/>
      <w:bookmarkEnd w:id="58"/>
    </w:p>
    <w:sdt>
      <w:sdtPr>
        <w:rPr>
          <w:rFonts w:ascii="宋体" w:hAnsi="宋体" w:eastAsia="宋体" w:cstheme="minorBidi"/>
          <w:color w:val="auto"/>
          <w:kern w:val="2"/>
          <w:sz w:val="21"/>
          <w:szCs w:val="24"/>
          <w:lang w:val="en-US" w:eastAsia="zh-CN" w:bidi="ar-SA"/>
        </w:rPr>
        <w:id w:val="147459178"/>
        <w15:color w:val="DBDBDB"/>
        <w:docPartObj>
          <w:docPartGallery w:val="Table of Contents"/>
          <w:docPartUnique/>
        </w:docPartObj>
      </w:sdtPr>
      <w:sdtEndPr>
        <w:rPr>
          <w:rFonts w:hint="eastAsia" w:ascii="方正小标宋简体" w:hAnsi="方正小标宋简体" w:eastAsia="方正小标宋简体" w:cs="方正小标宋简体"/>
          <w:color w:val="auto"/>
          <w:kern w:val="2"/>
          <w:sz w:val="18"/>
          <w:szCs w:val="18"/>
          <w:lang w:val="en-US" w:eastAsia="zh-CN" w:bidi="ar-SA"/>
        </w:rPr>
      </w:sdtEndPr>
      <w:sdtContent>
        <w:p>
          <w:pPr>
            <w:spacing w:before="0" w:beforeLines="0" w:after="0" w:afterLines="0" w:line="240" w:lineRule="auto"/>
            <w:ind w:left="0" w:leftChars="0" w:right="0" w:rightChars="0" w:firstLine="0" w:firstLineChars="0"/>
            <w:jc w:val="center"/>
            <w:rPr>
              <w:color w:val="auto"/>
            </w:rPr>
          </w:pPr>
          <w:r>
            <w:rPr>
              <w:rStyle w:val="19"/>
              <w:color w:val="auto"/>
              <w:sz w:val="52"/>
              <w:szCs w:val="52"/>
            </w:rPr>
            <w:t>目</w:t>
          </w:r>
          <w:r>
            <w:rPr>
              <w:rStyle w:val="19"/>
              <w:rFonts w:hint="eastAsia" w:eastAsia="方正小标宋简体"/>
              <w:color w:val="auto"/>
              <w:sz w:val="52"/>
              <w:szCs w:val="52"/>
              <w:lang w:val="en-US" w:eastAsia="zh-CN"/>
            </w:rPr>
            <w:t xml:space="preserve">  </w:t>
          </w:r>
          <w:r>
            <w:rPr>
              <w:rStyle w:val="19"/>
              <w:color w:val="auto"/>
              <w:sz w:val="52"/>
              <w:szCs w:val="52"/>
            </w:rPr>
            <w:t>录</w:t>
          </w:r>
        </w:p>
        <w:p>
          <w:pPr>
            <w:pStyle w:val="10"/>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黑体" w:hAnsi="黑体" w:eastAsia="黑体" w:cs="黑体"/>
              <w:bCs/>
              <w:sz w:val="32"/>
              <w:szCs w:val="56"/>
              <w:lang w:val="en-US" w:eastAsia="zh-CN"/>
            </w:rPr>
            <w:fldChar w:fldCharType="begin"/>
          </w:r>
          <w:r>
            <w:rPr>
              <w:rFonts w:hint="eastAsia" w:ascii="黑体" w:hAnsi="黑体" w:eastAsia="黑体" w:cs="黑体"/>
              <w:bCs/>
              <w:sz w:val="32"/>
              <w:szCs w:val="56"/>
              <w:lang w:val="en-US" w:eastAsia="zh-CN"/>
            </w:rPr>
            <w:instrText xml:space="preserve">TOC \o "1-2" \h \u </w:instrText>
          </w:r>
          <w:r>
            <w:rPr>
              <w:rFonts w:hint="eastAsia" w:ascii="黑体" w:hAnsi="黑体" w:eastAsia="黑体" w:cs="黑体"/>
              <w:bCs/>
              <w:sz w:val="32"/>
              <w:szCs w:val="56"/>
              <w:lang w:val="en-US" w:eastAsia="zh-CN"/>
            </w:rPr>
            <w:fldChar w:fldCharType="separate"/>
          </w:r>
          <w:r>
            <w:rPr>
              <w:rFonts w:hint="eastAsia" w:ascii="黑体" w:hAnsi="黑体" w:eastAsia="黑体" w:cs="黑体"/>
              <w:bCs/>
              <w:sz w:val="32"/>
              <w:szCs w:val="56"/>
              <w:lang w:val="en-US" w:eastAsia="zh-CN"/>
            </w:rPr>
            <w:fldChar w:fldCharType="begin"/>
          </w:r>
          <w:r>
            <w:rPr>
              <w:rFonts w:hint="eastAsia" w:ascii="黑体" w:hAnsi="黑体" w:eastAsia="黑体" w:cs="黑体"/>
              <w:bCs/>
              <w:sz w:val="32"/>
              <w:szCs w:val="56"/>
              <w:lang w:val="en-US" w:eastAsia="zh-CN"/>
            </w:rPr>
            <w:instrText xml:space="preserve"> HYPERLINK \l _Toc5261 </w:instrText>
          </w:r>
          <w:r>
            <w:rPr>
              <w:rFonts w:hint="eastAsia" w:ascii="黑体" w:hAnsi="黑体" w:eastAsia="黑体" w:cs="黑体"/>
              <w:bCs/>
              <w:sz w:val="32"/>
              <w:szCs w:val="56"/>
              <w:lang w:val="en-US" w:eastAsia="zh-CN"/>
            </w:rPr>
            <w:fldChar w:fldCharType="separate"/>
          </w:r>
          <w:r>
            <w:rPr>
              <w:rFonts w:hint="eastAsia" w:ascii="黑体" w:hAnsi="黑体" w:eastAsia="黑体" w:cs="黑体"/>
              <w:bCs/>
              <w:sz w:val="32"/>
              <w:szCs w:val="56"/>
            </w:rPr>
            <w:t>第一部分</w:t>
          </w:r>
          <w:r>
            <w:rPr>
              <w:rFonts w:hint="eastAsia" w:ascii="黑体" w:hAnsi="黑体" w:eastAsia="黑体" w:cs="黑体"/>
              <w:bCs/>
              <w:sz w:val="32"/>
              <w:szCs w:val="56"/>
              <w:lang w:val="en-US" w:eastAsia="zh-CN"/>
            </w:rPr>
            <w:t xml:space="preserve"> </w:t>
          </w:r>
          <w:r>
            <w:rPr>
              <w:rFonts w:hint="eastAsia" w:ascii="黑体" w:hAnsi="黑体" w:eastAsia="黑体" w:cs="黑体"/>
              <w:bCs/>
              <w:sz w:val="32"/>
              <w:szCs w:val="56"/>
            </w:rPr>
            <w:t>采购邀请</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_Toc5261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- 1 -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_Toc29506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rPr>
            <w:t>一、采购</w:t>
          </w:r>
          <w:r>
            <w:rPr>
              <w:rFonts w:hint="eastAsia"/>
              <w:color w:val="auto"/>
              <w:lang w:val="en-US" w:eastAsia="zh-CN"/>
            </w:rPr>
            <w:t>品种</w:t>
          </w:r>
          <w:r>
            <w:rPr>
              <w:rFonts w:hint="eastAsia" w:ascii="仿宋_GB2312" w:hAnsi="仿宋_GB2312" w:eastAsia="仿宋_GB2312" w:cs="仿宋_GB2312"/>
              <w:sz w:val="32"/>
              <w:szCs w:val="24"/>
            </w:rPr>
            <w:t>、</w:t>
          </w:r>
          <w:r>
            <w:rPr>
              <w:rFonts w:hint="eastAsia" w:ascii="仿宋_GB2312" w:hAnsi="仿宋_GB2312" w:eastAsia="仿宋_GB2312" w:cs="仿宋_GB2312"/>
              <w:sz w:val="32"/>
              <w:szCs w:val="24"/>
              <w:lang w:val="en-US" w:eastAsia="zh-CN"/>
            </w:rPr>
            <w:t>采购需求量</w:t>
          </w:r>
          <w:r>
            <w:rPr>
              <w:rFonts w:hint="eastAsia" w:ascii="仿宋_GB2312" w:hAnsi="仿宋_GB2312" w:eastAsia="仿宋_GB2312" w:cs="仿宋_GB2312"/>
              <w:sz w:val="32"/>
              <w:szCs w:val="24"/>
            </w:rPr>
            <w:t>及最高有效申报价</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_Toc29506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- 3 -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_Toc17031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lang w:val="en-US" w:eastAsia="zh-CN"/>
            </w:rPr>
            <w:t>二、申报要求</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_Toc17031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- 4 -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_Toc15545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lang w:val="en-US" w:eastAsia="zh-CN"/>
            </w:rPr>
            <w:t>三</w:t>
          </w:r>
          <w:r>
            <w:rPr>
              <w:rFonts w:hint="eastAsia" w:ascii="仿宋_GB2312" w:hAnsi="仿宋_GB2312" w:eastAsia="仿宋_GB2312" w:cs="仿宋_GB2312"/>
              <w:sz w:val="32"/>
              <w:szCs w:val="24"/>
            </w:rPr>
            <w:t>、</w:t>
          </w:r>
          <w:r>
            <w:rPr>
              <w:rFonts w:hint="eastAsia" w:ascii="仿宋_GB2312" w:hAnsi="仿宋_GB2312" w:eastAsia="仿宋_GB2312" w:cs="仿宋_GB2312"/>
              <w:sz w:val="32"/>
              <w:szCs w:val="24"/>
              <w:lang w:val="en-US" w:eastAsia="zh-CN"/>
            </w:rPr>
            <w:t>采购周期与采购协议</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_Toc15545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- 5 -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_Toc22416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lang w:val="en-US" w:eastAsia="zh-CN"/>
            </w:rPr>
            <w:t>四、采购执行说明</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_Toc22416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- 6 -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_Toc26232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lang w:val="en-US" w:eastAsia="zh-CN"/>
            </w:rPr>
            <w:t>五、采购文件获取</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_Toc26232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- 7 -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_Toc26726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lang w:val="en-US" w:eastAsia="zh-CN"/>
            </w:rPr>
            <w:t>六、申报方式</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_Toc26726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- 7 -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_Toc12253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lang w:val="en-US" w:eastAsia="zh-CN"/>
            </w:rPr>
            <w:t>七、报价时间安排</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_Toc12253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- 7 -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_Toc9760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lang w:val="en-US" w:eastAsia="zh-CN"/>
            </w:rPr>
            <w:t>八、其他</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_Toc9760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- 8 -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0"/>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_Toc13 </w:instrText>
          </w:r>
          <w:r>
            <w:rPr>
              <w:rFonts w:hint="eastAsia" w:ascii="仿宋_GB2312" w:hAnsi="仿宋_GB2312" w:eastAsia="仿宋_GB2312" w:cs="仿宋_GB2312"/>
              <w:kern w:val="2"/>
              <w:sz w:val="32"/>
              <w:szCs w:val="28"/>
              <w:lang w:val="en-US" w:eastAsia="zh-CN" w:bidi="ar-SA"/>
            </w:rPr>
            <w:fldChar w:fldCharType="separate"/>
          </w:r>
          <w:r>
            <w:rPr>
              <w:rFonts w:hint="eastAsia" w:ascii="黑体" w:hAnsi="黑体" w:eastAsia="黑体" w:cs="黑体"/>
              <w:bCs/>
              <w:sz w:val="32"/>
              <w:szCs w:val="56"/>
              <w:lang w:val="en-US" w:eastAsia="zh-CN"/>
            </w:rPr>
            <w:t>第二部分 申报企业须知</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_Toc13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- 9 -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_Toc5143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lang w:val="en-US" w:eastAsia="zh-CN"/>
            </w:rPr>
            <w:t>一、集中带量采购当事人</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_Toc5143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- 10 -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_Toc10936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lang w:val="en-US" w:eastAsia="zh-CN"/>
            </w:rPr>
            <w:t>二、</w:t>
          </w:r>
          <w:r>
            <w:rPr>
              <w:rFonts w:hint="eastAsia" w:ascii="仿宋_GB2312" w:hAnsi="仿宋_GB2312" w:eastAsia="仿宋_GB2312" w:cs="仿宋_GB2312"/>
              <w:sz w:val="32"/>
              <w:szCs w:val="24"/>
              <w:highlight w:val="none"/>
              <w:lang w:val="en-US" w:eastAsia="zh-CN"/>
            </w:rPr>
            <w:t>申报信息提交</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_Toc10936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- 11 -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_Toc1544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highlight w:val="none"/>
              <w:lang w:val="en-US" w:eastAsia="zh-CN"/>
            </w:rPr>
            <w:t>三、申报信息公开</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_Toc1544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- 13 -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_Toc4144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lang w:val="en-US" w:eastAsia="zh-CN"/>
            </w:rPr>
            <w:t>四、拟中选企业确定</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_Toc4144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- 13 -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_Toc28767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lang w:val="en-US" w:eastAsia="zh-CN"/>
            </w:rPr>
            <w:t>五</w:t>
          </w:r>
          <w:r>
            <w:rPr>
              <w:rFonts w:hint="eastAsia" w:ascii="仿宋_GB2312" w:hAnsi="仿宋_GB2312" w:eastAsia="仿宋_GB2312" w:cs="仿宋_GB2312"/>
              <w:sz w:val="32"/>
              <w:szCs w:val="24"/>
            </w:rPr>
            <w:t>、拟中选价格确定</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_Toc28767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- 15 -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_Toc6924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highlight w:val="none"/>
              <w:lang w:val="en-US" w:eastAsia="zh-CN"/>
            </w:rPr>
            <w:t>六、中选产品确定</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_Toc6924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- 16 -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_Toc9165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lang w:val="en-US" w:eastAsia="zh-CN"/>
            </w:rPr>
            <w:t>七、约定采购量分配</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_Toc9165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- 16 -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_Toc28639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highlight w:val="none"/>
              <w:lang w:val="en-US" w:eastAsia="zh-CN"/>
            </w:rPr>
            <w:t>八、采购协议签订</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_Toc28639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- 17 -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_Toc5783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highlight w:val="none"/>
              <w:lang w:val="en-US" w:eastAsia="zh-CN"/>
            </w:rPr>
            <w:t>九、采购协议履行及有关问题处理</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_Toc5783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- 18 -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0"/>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_Toc2012 </w:instrText>
          </w:r>
          <w:r>
            <w:rPr>
              <w:rFonts w:hint="eastAsia" w:ascii="仿宋_GB2312" w:hAnsi="仿宋_GB2312" w:eastAsia="仿宋_GB2312" w:cs="仿宋_GB2312"/>
              <w:kern w:val="2"/>
              <w:sz w:val="32"/>
              <w:szCs w:val="28"/>
              <w:lang w:val="en-US" w:eastAsia="zh-CN" w:bidi="ar-SA"/>
            </w:rPr>
            <w:fldChar w:fldCharType="separate"/>
          </w:r>
          <w:r>
            <w:rPr>
              <w:rFonts w:hint="eastAsia" w:ascii="黑体" w:hAnsi="黑体" w:eastAsia="黑体" w:cs="黑体"/>
              <w:bCs/>
              <w:sz w:val="32"/>
              <w:szCs w:val="56"/>
              <w:lang w:val="en-US" w:eastAsia="zh-CN"/>
            </w:rPr>
            <w:t>第三部分 附件</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_Toc2012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- 21 -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0"/>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sz w:val="32"/>
              <w:szCs w:val="24"/>
            </w:rPr>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_Toc12599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kern w:val="2"/>
              <w:sz w:val="32"/>
              <w:szCs w:val="32"/>
              <w:lang w:val="en-US" w:eastAsia="zh-CN" w:bidi="ar-SA"/>
            </w:rPr>
            <w:t>附件1</w:t>
          </w:r>
          <w:r>
            <w:rPr>
              <w:rFonts w:hint="eastAsia" w:ascii="仿宋_GB2312" w:hAnsi="仿宋_GB2312" w:eastAsia="仿宋_GB2312" w:cs="仿宋_GB2312"/>
              <w:color w:val="auto"/>
              <w:kern w:val="2"/>
              <w:sz w:val="32"/>
              <w:szCs w:val="28"/>
              <w:lang w:val="en-US" w:eastAsia="zh-CN" w:bidi="ar-SA"/>
            </w:rPr>
            <w:fldChar w:fldCharType="end"/>
          </w: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_Toc30039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lang w:val="en-US" w:eastAsia="zh-CN"/>
            </w:rPr>
            <w:t>豫南片区联盟第二批医用耗材集中带量采购申报函</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_Toc30039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- 22 -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0"/>
            <w:keepNext w:val="0"/>
            <w:keepLines w:val="0"/>
            <w:pageBreakBefore w:val="0"/>
            <w:widowControl w:val="0"/>
            <w:tabs>
              <w:tab w:val="right" w:leader="dot" w:pos="9071"/>
            </w:tabs>
            <w:kinsoku/>
            <w:wordWrap/>
            <w:overflowPunct/>
            <w:topLinePunct w:val="0"/>
            <w:autoSpaceDE/>
            <w:autoSpaceDN/>
            <w:bidi w:val="0"/>
            <w:adjustRightInd/>
            <w:snapToGrid/>
            <w:spacing w:line="520" w:lineRule="exact"/>
            <w:ind w:left="0" w:leftChars="0" w:firstLine="0" w:firstLineChars="0"/>
            <w:jc w:val="left"/>
            <w:textAlignment w:val="auto"/>
          </w:pP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_Toc337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kern w:val="2"/>
              <w:sz w:val="32"/>
              <w:szCs w:val="32"/>
              <w:lang w:val="en-US" w:eastAsia="zh-CN" w:bidi="ar-SA"/>
            </w:rPr>
            <w:t>附件2</w:t>
          </w:r>
          <w:r>
            <w:rPr>
              <w:rFonts w:hint="eastAsia" w:ascii="仿宋_GB2312" w:hAnsi="仿宋_GB2312" w:eastAsia="仿宋_GB2312" w:cs="仿宋_GB2312"/>
              <w:color w:val="auto"/>
              <w:kern w:val="2"/>
              <w:sz w:val="32"/>
              <w:szCs w:val="28"/>
              <w:lang w:val="en-US" w:eastAsia="zh-CN" w:bidi="ar-SA"/>
            </w:rPr>
            <w:fldChar w:fldCharType="end"/>
          </w:r>
          <w:r>
            <w:rPr>
              <w:rFonts w:hint="eastAsia" w:ascii="仿宋_GB2312" w:hAnsi="仿宋_GB2312" w:eastAsia="仿宋_GB2312" w:cs="仿宋_GB2312"/>
              <w:color w:val="auto"/>
              <w:kern w:val="2"/>
              <w:sz w:val="32"/>
              <w:szCs w:val="28"/>
              <w:lang w:val="en-US" w:eastAsia="zh-CN" w:bidi="ar-SA"/>
            </w:rPr>
            <w:fldChar w:fldCharType="begin"/>
          </w:r>
          <w:r>
            <w:rPr>
              <w:rFonts w:hint="eastAsia" w:ascii="仿宋_GB2312" w:hAnsi="仿宋_GB2312" w:eastAsia="仿宋_GB2312" w:cs="仿宋_GB2312"/>
              <w:kern w:val="2"/>
              <w:sz w:val="32"/>
              <w:szCs w:val="28"/>
              <w:lang w:val="en-US" w:eastAsia="zh-CN" w:bidi="ar-SA"/>
            </w:rPr>
            <w:instrText xml:space="preserve"> HYPERLINK \l _Toc18816 </w:instrText>
          </w:r>
          <w:r>
            <w:rPr>
              <w:rFonts w:hint="eastAsia" w:ascii="仿宋_GB2312" w:hAnsi="仿宋_GB2312" w:eastAsia="仿宋_GB2312" w:cs="仿宋_GB2312"/>
              <w:kern w:val="2"/>
              <w:sz w:val="32"/>
              <w:szCs w:val="28"/>
              <w:lang w:val="en-US" w:eastAsia="zh-CN" w:bidi="ar-SA"/>
            </w:rPr>
            <w:fldChar w:fldCharType="separate"/>
          </w:r>
          <w:r>
            <w:rPr>
              <w:rFonts w:hint="eastAsia" w:ascii="仿宋_GB2312" w:hAnsi="仿宋_GB2312" w:eastAsia="仿宋_GB2312" w:cs="仿宋_GB2312"/>
              <w:sz w:val="32"/>
              <w:szCs w:val="24"/>
              <w:lang w:val="en-US" w:eastAsia="zh-CN"/>
            </w:rPr>
            <w:t>法定代表人授权书</w:t>
          </w:r>
          <w:r>
            <w:rPr>
              <w:rFonts w:hint="eastAsia" w:ascii="仿宋_GB2312" w:hAnsi="仿宋_GB2312" w:eastAsia="仿宋_GB2312" w:cs="仿宋_GB2312"/>
              <w:sz w:val="32"/>
              <w:szCs w:val="24"/>
            </w:rPr>
            <w:tab/>
          </w:r>
          <w:r>
            <w:rPr>
              <w:rFonts w:hint="eastAsia" w:ascii="仿宋_GB2312" w:hAnsi="仿宋_GB2312" w:eastAsia="仿宋_GB2312" w:cs="仿宋_GB2312"/>
              <w:sz w:val="32"/>
              <w:szCs w:val="24"/>
            </w:rPr>
            <w:fldChar w:fldCharType="begin"/>
          </w:r>
          <w:r>
            <w:rPr>
              <w:rFonts w:hint="eastAsia" w:ascii="仿宋_GB2312" w:hAnsi="仿宋_GB2312" w:eastAsia="仿宋_GB2312" w:cs="仿宋_GB2312"/>
              <w:sz w:val="32"/>
              <w:szCs w:val="24"/>
            </w:rPr>
            <w:instrText xml:space="preserve"> PAGEREF _Toc18816 \h </w:instrText>
          </w:r>
          <w:r>
            <w:rPr>
              <w:rFonts w:hint="eastAsia" w:ascii="仿宋_GB2312" w:hAnsi="仿宋_GB2312" w:eastAsia="仿宋_GB2312" w:cs="仿宋_GB2312"/>
              <w:sz w:val="32"/>
              <w:szCs w:val="24"/>
            </w:rPr>
            <w:fldChar w:fldCharType="separate"/>
          </w:r>
          <w:r>
            <w:rPr>
              <w:rFonts w:hint="eastAsia" w:ascii="仿宋_GB2312" w:hAnsi="仿宋_GB2312" w:eastAsia="仿宋_GB2312" w:cs="仿宋_GB2312"/>
              <w:sz w:val="32"/>
              <w:szCs w:val="24"/>
            </w:rPr>
            <w:t>- 23 -</w:t>
          </w:r>
          <w:r>
            <w:rPr>
              <w:rFonts w:hint="eastAsia" w:ascii="仿宋_GB2312" w:hAnsi="仿宋_GB2312" w:eastAsia="仿宋_GB2312" w:cs="仿宋_GB2312"/>
              <w:sz w:val="32"/>
              <w:szCs w:val="24"/>
            </w:rPr>
            <w:fldChar w:fldCharType="end"/>
          </w:r>
          <w:r>
            <w:rPr>
              <w:rFonts w:hint="eastAsia" w:ascii="仿宋_GB2312" w:hAnsi="仿宋_GB2312" w:eastAsia="仿宋_GB2312" w:cs="仿宋_GB2312"/>
              <w:color w:val="auto"/>
              <w:kern w:val="2"/>
              <w:sz w:val="32"/>
              <w:szCs w:val="28"/>
              <w:lang w:val="en-US" w:eastAsia="zh-CN" w:bidi="ar-SA"/>
            </w:rPr>
            <w:fldChar w:fldCharType="end"/>
          </w:r>
        </w:p>
        <w:p>
          <w:pPr>
            <w:pStyle w:val="10"/>
            <w:keepNext w:val="0"/>
            <w:keepLines w:val="0"/>
            <w:pageBreakBefore w:val="0"/>
            <w:widowControl w:val="0"/>
            <w:tabs>
              <w:tab w:val="right" w:leader="dot" w:pos="9071"/>
            </w:tabs>
            <w:kinsoku/>
            <w:wordWrap/>
            <w:overflowPunct/>
            <w:topLinePunct w:val="0"/>
            <w:autoSpaceDE/>
            <w:autoSpaceDN/>
            <w:bidi w:val="0"/>
            <w:adjustRightInd/>
            <w:snapToGrid/>
            <w:spacing w:line="240" w:lineRule="auto"/>
            <w:jc w:val="both"/>
            <w:textAlignment w:val="auto"/>
            <w:rPr>
              <w:rFonts w:hint="eastAsia" w:ascii="方正小标宋简体" w:hAnsi="方正小标宋简体" w:eastAsia="方正小标宋简体" w:cs="方正小标宋简体"/>
              <w:bCs/>
              <w:color w:val="auto"/>
              <w:sz w:val="18"/>
              <w:szCs w:val="18"/>
            </w:rPr>
          </w:pPr>
          <w:r>
            <w:rPr>
              <w:rFonts w:hint="eastAsia" w:ascii="方正小标宋简体" w:hAnsi="方正小标宋简体" w:eastAsia="方正小标宋简体" w:cs="方正小标宋简体"/>
              <w:color w:val="auto"/>
              <w:kern w:val="2"/>
              <w:szCs w:val="28"/>
              <w:lang w:val="en-US" w:eastAsia="zh-CN" w:bidi="ar-SA"/>
            </w:rPr>
            <w:fldChar w:fldCharType="end"/>
          </w:r>
        </w:p>
      </w:sdtContent>
    </w:sdt>
    <w:p>
      <w:pPr>
        <w:keepNext w:val="0"/>
        <w:keepLines w:val="0"/>
        <w:pageBreakBefore w:val="0"/>
        <w:widowControl w:val="0"/>
        <w:kinsoku/>
        <w:wordWrap/>
        <w:overflowPunct/>
        <w:topLinePunct w:val="0"/>
        <w:autoSpaceDE/>
        <w:autoSpaceDN/>
        <w:bidi w:val="0"/>
        <w:adjustRightInd/>
        <w:snapToGrid/>
        <w:spacing w:before="4681" w:beforeLines="1500" w:line="480" w:lineRule="exact"/>
        <w:ind w:firstLine="0" w:firstLineChars="0"/>
        <w:jc w:val="center"/>
        <w:textAlignment w:val="auto"/>
        <w:outlineLvl w:val="0"/>
        <w:rPr>
          <w:rFonts w:hint="eastAsia" w:ascii="方正小标宋简体" w:hAnsi="方正小标宋简体" w:eastAsia="方正小标宋简体" w:cs="方正小标宋简体"/>
          <w:bCs/>
          <w:color w:val="auto"/>
          <w:sz w:val="56"/>
          <w:szCs w:val="56"/>
        </w:rPr>
        <w:sectPr>
          <w:footerReference r:id="rId5" w:type="default"/>
          <w:pgSz w:w="11906" w:h="16838"/>
          <w:pgMar w:top="2098" w:right="1474" w:bottom="1984" w:left="1361"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4681" w:beforeLines="1500"/>
        <w:ind w:firstLine="0" w:firstLineChars="0"/>
        <w:jc w:val="center"/>
        <w:textAlignment w:val="auto"/>
        <w:outlineLvl w:val="0"/>
        <w:rPr>
          <w:rFonts w:hint="eastAsia" w:ascii="方正小标宋简体" w:hAnsi="方正小标宋简体" w:eastAsia="方正小标宋简体" w:cs="方正小标宋简体"/>
          <w:bCs/>
          <w:color w:val="auto"/>
          <w:sz w:val="56"/>
          <w:szCs w:val="56"/>
        </w:rPr>
      </w:pPr>
      <w:bookmarkStart w:id="0" w:name="_Toc5261"/>
      <w:bookmarkStart w:id="1" w:name="_Toc25782"/>
      <w:r>
        <w:rPr>
          <w:rFonts w:hint="eastAsia" w:ascii="方正小标宋简体" w:hAnsi="方正小标宋简体" w:eastAsia="方正小标宋简体" w:cs="方正小标宋简体"/>
          <w:bCs/>
          <w:color w:val="auto"/>
          <w:sz w:val="56"/>
          <w:szCs w:val="56"/>
        </w:rPr>
        <w:t>第一部分</w:t>
      </w:r>
      <w:r>
        <w:rPr>
          <w:rFonts w:hint="eastAsia" w:ascii="方正小标宋简体" w:hAnsi="方正小标宋简体" w:eastAsia="方正小标宋简体" w:cs="方正小标宋简体"/>
          <w:bCs/>
          <w:color w:val="auto"/>
          <w:sz w:val="56"/>
          <w:szCs w:val="56"/>
          <w:lang w:val="en-US" w:eastAsia="zh-CN"/>
        </w:rPr>
        <w:t xml:space="preserve"> </w:t>
      </w:r>
      <w:r>
        <w:rPr>
          <w:rFonts w:hint="eastAsia" w:ascii="方正小标宋简体" w:hAnsi="方正小标宋简体" w:eastAsia="方正小标宋简体" w:cs="方正小标宋简体"/>
          <w:bCs/>
          <w:color w:val="auto"/>
          <w:sz w:val="56"/>
          <w:szCs w:val="56"/>
        </w:rPr>
        <w:t>采购邀请</w:t>
      </w:r>
      <w:bookmarkEnd w:id="0"/>
      <w:bookmarkEnd w:id="1"/>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r>
        <w:rPr>
          <w:rFonts w:hint="eastAsia"/>
          <w:color w:val="auto"/>
          <w:lang w:val="en-US" w:eastAsia="zh-CN"/>
        </w:rPr>
        <w:br w:type="page"/>
      </w:r>
    </w:p>
    <w:p>
      <w:pPr>
        <w:keepNext/>
        <w:keepLines/>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keepLines/>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_GBK" w:eastAsia="方正小标宋_GBK"/>
          <w:sz w:val="44"/>
          <w:szCs w:val="48"/>
        </w:rPr>
      </w:pPr>
      <w:r>
        <w:rPr>
          <w:rFonts w:hint="eastAsia" w:ascii="方正小标宋_GBK" w:eastAsia="方正小标宋_GBK"/>
          <w:sz w:val="44"/>
          <w:szCs w:val="48"/>
        </w:rPr>
        <w:t>豫南片区联盟第二批医用耗材集中带量采购</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方正小标宋_GBK" w:eastAsia="方正小标宋_GBK"/>
          <w:sz w:val="44"/>
          <w:szCs w:val="48"/>
        </w:rPr>
      </w:pPr>
      <w:r>
        <w:rPr>
          <w:rFonts w:hint="eastAsia" w:ascii="方正小标宋_GBK" w:eastAsia="方正小标宋_GBK"/>
          <w:sz w:val="44"/>
          <w:szCs w:val="48"/>
        </w:rPr>
        <w:t>邀请函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方正小标宋简体" w:eastAsia="仿宋_GB2312"/>
          <w:sz w:val="32"/>
          <w:szCs w:val="32"/>
        </w:rPr>
      </w:pPr>
      <w:r>
        <w:rPr>
          <w:rFonts w:hint="eastAsia" w:ascii="仿宋_GB2312" w:hAnsi="方正小标宋简体" w:eastAsia="仿宋_GB2312"/>
          <w:sz w:val="32"/>
          <w:szCs w:val="32"/>
        </w:rPr>
        <w:t>（采购文件编号：HN-YNLM-2023-1）</w:t>
      </w:r>
    </w:p>
    <w:p>
      <w:pPr>
        <w:pStyle w:val="2"/>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hAnsi="微软雅黑" w:cs="仿宋_GB2312"/>
          <w:color w:val="auto"/>
          <w:sz w:val="32"/>
          <w:szCs w:val="32"/>
          <w:highlight w:val="none"/>
          <w:u w:val="none"/>
          <w:lang w:val="en-US" w:eastAsia="zh-CN"/>
        </w:rPr>
      </w:pPr>
      <w:r>
        <w:rPr>
          <w:rFonts w:hint="eastAsia" w:hAnsi="微软雅黑" w:cs="仿宋_GB2312"/>
          <w:color w:val="auto"/>
          <w:sz w:val="32"/>
          <w:szCs w:val="32"/>
          <w:highlight w:val="none"/>
          <w:u w:val="none"/>
          <w:lang w:val="en-US" w:eastAsia="zh-CN"/>
        </w:rPr>
        <w:t>为贯彻党中央、国务院决策部署，深入推进高值医用耗材集中带量采购改革，按照《中共中央国务院关于深化医疗保障制度改革的意见》《国务院办公厅关于印发治理高值医用耗材改革方案的通知》（国办发〔2019〕37号）和《关于开展国家组织高值医用耗材集中带量采购和使用的指导意见》（医保发〔2021〕31号）要求，坚持联盟采购、平台操作的总体思路，开展豫南片区联盟第二批医用耗材集中带量采购工作。按照临床需求为导向的原则，经专家论证，选取透明帽、一次性乳头切开刀为本次采购品种，由漯河市医疗保障局承担联盟采购办公室日常工作并负责具体实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hAnsi="微软雅黑" w:cs="仿宋_GB2312"/>
          <w:color w:val="auto"/>
          <w:sz w:val="32"/>
          <w:szCs w:val="32"/>
          <w:highlight w:val="none"/>
          <w:u w:val="none"/>
          <w:lang w:val="en-US" w:eastAsia="zh-CN"/>
        </w:rPr>
      </w:pPr>
      <w:r>
        <w:rPr>
          <w:rFonts w:hint="eastAsia" w:hAnsi="微软雅黑" w:cs="仿宋_GB2312"/>
          <w:color w:val="auto"/>
          <w:sz w:val="32"/>
          <w:szCs w:val="32"/>
          <w:highlight w:val="none"/>
          <w:u w:val="none"/>
          <w:lang w:val="en-US" w:eastAsia="zh-CN"/>
        </w:rPr>
        <w:t>现邀请符合要求的企业前来申报。</w:t>
      </w:r>
    </w:p>
    <w:p>
      <w:pPr>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br w:type="page"/>
      </w:r>
    </w:p>
    <w:p>
      <w:pPr>
        <w:pStyle w:val="4"/>
        <w:bidi w:val="0"/>
        <w:rPr>
          <w:rFonts w:hint="eastAsia"/>
          <w:color w:val="auto"/>
          <w:lang w:eastAsia="zh-CN"/>
        </w:rPr>
      </w:pPr>
      <w:bookmarkStart w:id="2" w:name="_Toc89358208"/>
      <w:bookmarkStart w:id="3" w:name="_Toc28549"/>
      <w:bookmarkStart w:id="4" w:name="_Toc29506"/>
      <w:r>
        <w:rPr>
          <w:color w:val="auto"/>
        </w:rPr>
        <w:t>一、</w:t>
      </w:r>
      <w:bookmarkEnd w:id="2"/>
      <w:r>
        <w:rPr>
          <w:rFonts w:hint="eastAsia"/>
          <w:color w:val="auto"/>
        </w:rPr>
        <w:t>采购</w:t>
      </w:r>
      <w:r>
        <w:rPr>
          <w:rFonts w:hint="eastAsia"/>
          <w:color w:val="auto"/>
          <w:lang w:val="en-US" w:eastAsia="zh-CN"/>
        </w:rPr>
        <w:t>品种</w:t>
      </w:r>
      <w:r>
        <w:rPr>
          <w:rFonts w:hint="eastAsia"/>
          <w:color w:val="auto"/>
        </w:rPr>
        <w:t>、</w:t>
      </w:r>
      <w:r>
        <w:rPr>
          <w:rFonts w:hint="eastAsia"/>
          <w:color w:val="auto"/>
          <w:lang w:val="en-US" w:eastAsia="zh-CN"/>
        </w:rPr>
        <w:t>采购需求量</w:t>
      </w:r>
      <w:r>
        <w:rPr>
          <w:rFonts w:hint="eastAsia"/>
          <w:color w:val="auto"/>
        </w:rPr>
        <w:t>及最高有效申报价</w:t>
      </w:r>
      <w:bookmarkEnd w:id="3"/>
      <w:bookmarkEnd w:id="4"/>
    </w:p>
    <w:p>
      <w:pPr>
        <w:pageBreakBefore w:val="0"/>
        <w:widowControl w:val="0"/>
        <w:kinsoku/>
        <w:wordWrap/>
        <w:overflowPunct/>
        <w:topLinePunct w:val="0"/>
        <w:autoSpaceDE/>
        <w:autoSpaceDN/>
        <w:bidi w:val="0"/>
        <w:adjustRightInd/>
        <w:snapToGrid/>
        <w:spacing w:line="560" w:lineRule="exact"/>
        <w:textAlignment w:val="auto"/>
        <w:rPr>
          <w:rFonts w:hint="default"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（一）采购品种</w:t>
      </w:r>
    </w:p>
    <w:p>
      <w:pPr>
        <w:keepNext w:val="0"/>
        <w:keepLines w:val="0"/>
        <w:pageBreakBefore w:val="0"/>
        <w:widowControl w:val="0"/>
        <w:kinsoku/>
        <w:wordWrap/>
        <w:overflowPunct/>
        <w:topLinePunct w:val="0"/>
        <w:bidi w:val="0"/>
        <w:snapToGrid/>
        <w:spacing w:line="600" w:lineRule="exact"/>
        <w:ind w:firstLine="640"/>
        <w:textAlignment w:val="auto"/>
        <w:rPr>
          <w:rFonts w:hint="eastAsia"/>
          <w:color w:val="auto"/>
          <w:highlight w:val="none"/>
          <w:u w:val="none"/>
        </w:rPr>
      </w:pPr>
      <w:r>
        <w:rPr>
          <w:rFonts w:hint="eastAsia"/>
          <w:color w:val="auto"/>
          <w:highlight w:val="none"/>
          <w:u w:val="none"/>
        </w:rPr>
        <w:t>本次集中带量采购品种为</w:t>
      </w:r>
      <w:r>
        <w:rPr>
          <w:rFonts w:hint="eastAsia"/>
          <w:color w:val="auto"/>
          <w:highlight w:val="none"/>
          <w:u w:val="none"/>
          <w:lang w:val="en-US" w:eastAsia="zh-CN"/>
        </w:rPr>
        <w:t>透明帽、一次性乳头切开刀</w:t>
      </w:r>
      <w:r>
        <w:rPr>
          <w:rFonts w:hint="eastAsia"/>
          <w:color w:val="auto"/>
          <w:highlight w:val="none"/>
          <w:u w:val="none"/>
        </w:rPr>
        <w:t>。</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kern w:val="2"/>
          <w:sz w:val="32"/>
          <w:szCs w:val="24"/>
          <w:lang w:val="en-US" w:eastAsia="zh-CN" w:bidi="ar-SA"/>
        </w:rPr>
        <w:t>（二）采购需求量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val="en-US" w:eastAsia="zh-CN"/>
        </w:rPr>
      </w:pPr>
      <w:r>
        <w:rPr>
          <w:rFonts w:hint="eastAsia" w:ascii="仿宋_GB2312" w:hAnsi="仿宋_GB2312" w:eastAsia="仿宋_GB2312" w:cs="仿宋_GB2312"/>
          <w:color w:val="auto"/>
          <w:sz w:val="32"/>
          <w:szCs w:val="32"/>
          <w:highlight w:val="none"/>
          <w:u w:val="none"/>
          <w:lang w:bidi="ar"/>
        </w:rPr>
        <w:t>由参加集中采购的所有公立医疗机构（含军队医疗机构）结合上年度实际使用量、临床使用状况和医疗技术进步等因素，按照企业品牌填报拟采购品种的需求量，约定采购量按照</w:t>
      </w:r>
      <w:r>
        <w:rPr>
          <w:rFonts w:hint="eastAsia" w:ascii="仿宋_GB2312" w:hAnsi="仿宋_GB2312" w:eastAsia="仿宋_GB2312" w:cs="仿宋_GB2312"/>
          <w:color w:val="auto"/>
          <w:sz w:val="32"/>
          <w:szCs w:val="32"/>
          <w:highlight w:val="none"/>
          <w:u w:val="none"/>
          <w:lang w:eastAsia="zh-CN" w:bidi="ar"/>
        </w:rPr>
        <w:t>具体分量规则</w:t>
      </w:r>
      <w:r>
        <w:rPr>
          <w:rFonts w:hint="eastAsia" w:ascii="仿宋_GB2312" w:hAnsi="仿宋_GB2312" w:eastAsia="仿宋_GB2312" w:cs="仿宋_GB2312"/>
          <w:color w:val="auto"/>
          <w:sz w:val="32"/>
          <w:szCs w:val="32"/>
          <w:highlight w:val="none"/>
          <w:u w:val="none"/>
          <w:lang w:bidi="ar"/>
        </w:rPr>
        <w:t>确定。各医疗机构中选产品实际采购量不低于同品种总采购量的80%。</w:t>
      </w:r>
      <w:r>
        <w:rPr>
          <w:rFonts w:hint="eastAsia"/>
          <w:color w:val="auto"/>
          <w:lang w:val="en-US" w:eastAsia="zh-CN"/>
        </w:rPr>
        <w:t>具体目录及采购需求量如下：</w:t>
      </w:r>
    </w:p>
    <w:tbl>
      <w:tblPr>
        <w:tblStyle w:val="12"/>
        <w:tblW w:w="91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1"/>
        <w:gridCol w:w="1317"/>
        <w:gridCol w:w="3736"/>
        <w:gridCol w:w="1350"/>
        <w:gridCol w:w="14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1301" w:type="dxa"/>
            <w:tcBorders>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val="0"/>
                <w:bCs w:val="0"/>
                <w:i w:val="0"/>
                <w:iCs w:val="0"/>
                <w:color w:val="auto"/>
                <w:sz w:val="24"/>
                <w:szCs w:val="24"/>
                <w:u w:val="none"/>
                <w:lang w:val="en-US"/>
              </w:rPr>
            </w:pPr>
            <w:r>
              <w:rPr>
                <w:rFonts w:hint="eastAsia" w:ascii="黑体" w:hAnsi="黑体" w:eastAsia="黑体" w:cs="黑体"/>
                <w:b w:val="0"/>
                <w:bCs w:val="0"/>
                <w:i w:val="0"/>
                <w:iCs w:val="0"/>
                <w:color w:val="auto"/>
                <w:kern w:val="0"/>
                <w:sz w:val="24"/>
                <w:szCs w:val="24"/>
                <w:u w:val="none"/>
                <w:lang w:val="en-US" w:eastAsia="zh-CN" w:bidi="ar"/>
              </w:rPr>
              <w:t>一级目录</w:t>
            </w:r>
          </w:p>
        </w:tc>
        <w:tc>
          <w:tcPr>
            <w:tcW w:w="1317" w:type="dxa"/>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val="0"/>
                <w:bCs w:val="0"/>
                <w:i w:val="0"/>
                <w:iCs w:val="0"/>
                <w:color w:val="auto"/>
                <w:sz w:val="24"/>
                <w:szCs w:val="24"/>
                <w:u w:val="none"/>
                <w:lang w:val="en-US"/>
              </w:rPr>
            </w:pPr>
            <w:r>
              <w:rPr>
                <w:rFonts w:hint="eastAsia" w:ascii="黑体" w:hAnsi="黑体" w:eastAsia="黑体" w:cs="黑体"/>
                <w:b w:val="0"/>
                <w:bCs w:val="0"/>
                <w:i w:val="0"/>
                <w:iCs w:val="0"/>
                <w:color w:val="auto"/>
                <w:kern w:val="0"/>
                <w:sz w:val="24"/>
                <w:szCs w:val="24"/>
                <w:u w:val="none"/>
                <w:lang w:val="en-US" w:eastAsia="zh-CN" w:bidi="ar"/>
              </w:rPr>
              <w:t>二级目录</w:t>
            </w:r>
          </w:p>
        </w:tc>
        <w:tc>
          <w:tcPr>
            <w:tcW w:w="3736" w:type="dxa"/>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黑体" w:hAnsi="黑体" w:eastAsia="黑体" w:cs="黑体"/>
                <w:b w:val="0"/>
                <w:bCs w:val="0"/>
                <w:i w:val="0"/>
                <w:iCs w:val="0"/>
                <w:color w:val="auto"/>
                <w:kern w:val="0"/>
                <w:sz w:val="24"/>
                <w:szCs w:val="24"/>
                <w:u w:val="none"/>
                <w:lang w:val="en-US" w:eastAsia="zh-CN" w:bidi="ar"/>
              </w:rPr>
              <w:t>产品要求</w:t>
            </w:r>
          </w:p>
        </w:tc>
        <w:tc>
          <w:tcPr>
            <w:tcW w:w="1350" w:type="dxa"/>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黑体" w:hAnsi="黑体" w:eastAsia="黑体" w:cs="黑体"/>
                <w:b w:val="0"/>
                <w:bCs w:val="0"/>
                <w:i w:val="0"/>
                <w:iCs w:val="0"/>
                <w:color w:val="auto"/>
                <w:kern w:val="0"/>
                <w:sz w:val="24"/>
                <w:szCs w:val="24"/>
                <w:u w:val="none"/>
                <w:lang w:val="en-US" w:eastAsia="zh-CN" w:bidi="ar"/>
              </w:rPr>
              <w:t>最小竞价单位</w:t>
            </w:r>
          </w:p>
        </w:tc>
        <w:tc>
          <w:tcPr>
            <w:tcW w:w="1454" w:type="dxa"/>
            <w:tcBorders>
              <w:left w:val="single" w:color="000000"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黑体" w:hAnsi="黑体" w:eastAsia="黑体" w:cs="黑体"/>
                <w:b w:val="0"/>
                <w:bCs w:val="0"/>
                <w:i w:val="0"/>
                <w:iCs w:val="0"/>
                <w:color w:val="auto"/>
                <w:kern w:val="0"/>
                <w:sz w:val="24"/>
                <w:szCs w:val="24"/>
                <w:u w:val="none"/>
                <w:lang w:val="en-US" w:eastAsia="zh-CN" w:bidi="ar"/>
              </w:rPr>
              <w:t>采购需求量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jc w:val="center"/>
        </w:trPr>
        <w:tc>
          <w:tcPr>
            <w:tcW w:w="1301"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透明帽</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p>
        </w:tc>
        <w:tc>
          <w:tcPr>
            <w:tcW w:w="37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安装在内镜前端，用于保持适当的内镜视野</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个</w:t>
            </w:r>
          </w:p>
        </w:tc>
        <w:tc>
          <w:tcPr>
            <w:tcW w:w="1454" w:type="dxa"/>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4948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301" w:type="dxa"/>
            <w:vMerge w:val="restart"/>
            <w:tcBorders>
              <w:top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一次性乳头切开刀</w:t>
            </w:r>
          </w:p>
        </w:tc>
        <w:tc>
          <w:tcPr>
            <w:tcW w:w="1317"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双腔</w:t>
            </w:r>
          </w:p>
        </w:tc>
        <w:tc>
          <w:tcPr>
            <w:tcW w:w="3736"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包含手柄、鞘管、切割金属丝、导丝插孔、注射孔和高频电流接头</w:t>
            </w:r>
          </w:p>
        </w:tc>
        <w:tc>
          <w:tcPr>
            <w:tcW w:w="1350"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把</w:t>
            </w:r>
          </w:p>
        </w:tc>
        <w:tc>
          <w:tcPr>
            <w:tcW w:w="1454" w:type="dxa"/>
            <w:tcBorders>
              <w:top w:val="single" w:color="auto" w:sz="4" w:space="0"/>
              <w:lef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1301" w:type="dxa"/>
            <w:vMerge w:val="continue"/>
            <w:tcBorders>
              <w:top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lang w:val="en-US" w:eastAsia="zh-CN"/>
              </w:rPr>
            </w:pPr>
          </w:p>
        </w:tc>
        <w:tc>
          <w:tcPr>
            <w:tcW w:w="1317"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三腔</w:t>
            </w:r>
          </w:p>
        </w:tc>
        <w:tc>
          <w:tcPr>
            <w:tcW w:w="3736"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center"/>
              <w:textAlignment w:val="auto"/>
              <w:rPr>
                <w:rFonts w:hint="eastAsia" w:ascii="仿宋_GB2312" w:hAnsi="仿宋_GB2312" w:eastAsia="仿宋_GB2312" w:cs="仿宋_GB2312"/>
                <w:color w:val="auto"/>
                <w:sz w:val="24"/>
                <w:szCs w:val="24"/>
                <w:lang w:val="en-US" w:eastAsia="zh-CN"/>
              </w:rPr>
            </w:pPr>
          </w:p>
        </w:tc>
        <w:tc>
          <w:tcPr>
            <w:tcW w:w="1350"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把</w:t>
            </w:r>
          </w:p>
        </w:tc>
        <w:tc>
          <w:tcPr>
            <w:tcW w:w="1454" w:type="dxa"/>
            <w:tcBorders>
              <w:top w:val="single" w:color="auto" w:sz="4" w:space="0"/>
              <w:lef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4052</w:t>
            </w:r>
          </w:p>
        </w:tc>
      </w:tr>
    </w:tbl>
    <w:p>
      <w:pPr>
        <w:bidi w:val="0"/>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（三）最高有效申报价</w:t>
      </w:r>
    </w:p>
    <w:p>
      <w:pPr>
        <w:rPr>
          <w:rFonts w:hint="eastAsia"/>
          <w:color w:val="auto"/>
          <w:sz w:val="32"/>
          <w:szCs w:val="32"/>
          <w:lang w:val="en-US" w:eastAsia="zh-CN"/>
        </w:rPr>
      </w:pPr>
      <w:r>
        <w:rPr>
          <w:rFonts w:hint="eastAsia"/>
          <w:color w:val="auto"/>
          <w:sz w:val="32"/>
          <w:szCs w:val="32"/>
          <w:lang w:val="en-US" w:eastAsia="zh-CN"/>
        </w:rPr>
        <w:t>二级目录最高有效申报价见下表：</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color w:val="auto"/>
          <w:sz w:val="32"/>
          <w:szCs w:val="32"/>
          <w:lang w:val="en-US" w:eastAsia="zh-CN"/>
        </w:rPr>
      </w:pPr>
      <w:r>
        <w:rPr>
          <w:rFonts w:hint="eastAsia"/>
          <w:color w:val="auto"/>
          <w:sz w:val="32"/>
          <w:szCs w:val="32"/>
          <w:lang w:val="en-US" w:eastAsia="zh-CN"/>
        </w:rPr>
        <w:t>二级目录</w:t>
      </w:r>
      <w:r>
        <w:rPr>
          <w:rFonts w:ascii="仿宋_GB2312" w:hAnsi="宋体" w:eastAsia="仿宋_GB2312" w:cs="仿宋_GB2312"/>
          <w:color w:val="auto"/>
          <w:kern w:val="0"/>
          <w:sz w:val="32"/>
          <w:szCs w:val="32"/>
          <w:lang w:val="en-US" w:eastAsia="zh-CN" w:bidi="ar"/>
        </w:rPr>
        <w:t>最高有效申报价汇总表</w:t>
      </w:r>
    </w:p>
    <w:tbl>
      <w:tblPr>
        <w:tblStyle w:val="12"/>
        <w:tblW w:w="4877" w:type="pct"/>
        <w:tblInd w:w="1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91"/>
        <w:gridCol w:w="3197"/>
        <w:gridCol w:w="27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706" w:type="pct"/>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val="0"/>
                <w:bCs w:val="0"/>
                <w:i w:val="0"/>
                <w:iCs w:val="0"/>
                <w:color w:val="auto"/>
                <w:sz w:val="28"/>
                <w:szCs w:val="28"/>
                <w:u w:val="none"/>
                <w:lang w:val="en-US"/>
              </w:rPr>
            </w:pPr>
            <w:r>
              <w:rPr>
                <w:rFonts w:hint="eastAsia" w:ascii="黑体" w:hAnsi="黑体" w:eastAsia="黑体" w:cs="黑体"/>
                <w:b w:val="0"/>
                <w:bCs w:val="0"/>
                <w:i w:val="0"/>
                <w:iCs w:val="0"/>
                <w:color w:val="auto"/>
                <w:kern w:val="0"/>
                <w:sz w:val="28"/>
                <w:szCs w:val="28"/>
                <w:u w:val="none"/>
                <w:lang w:val="en-US" w:eastAsia="zh-CN" w:bidi="ar"/>
              </w:rPr>
              <w:t>一级目录</w:t>
            </w:r>
          </w:p>
        </w:tc>
        <w:tc>
          <w:tcPr>
            <w:tcW w:w="1764" w:type="pc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二级目录</w:t>
            </w:r>
          </w:p>
        </w:tc>
        <w:tc>
          <w:tcPr>
            <w:tcW w:w="1529" w:type="pct"/>
            <w:tcBorders>
              <w:left w:val="single" w:color="000000"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最高有效申报价（元）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706" w:type="pct"/>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透明帽</w:t>
            </w:r>
          </w:p>
        </w:tc>
        <w:tc>
          <w:tcPr>
            <w:tcW w:w="1764" w:type="pc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tc>
        <w:tc>
          <w:tcPr>
            <w:tcW w:w="1529"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706" w:type="pct"/>
            <w:vMerge w:val="restart"/>
            <w:tcBorders>
              <w:top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一次性乳头切开刀</w:t>
            </w:r>
          </w:p>
        </w:tc>
        <w:tc>
          <w:tcPr>
            <w:tcW w:w="1764"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双腔</w:t>
            </w:r>
          </w:p>
        </w:tc>
        <w:tc>
          <w:tcPr>
            <w:tcW w:w="1529"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706" w:type="pct"/>
            <w:vMerge w:val="continue"/>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color w:val="auto"/>
                <w:sz w:val="28"/>
                <w:szCs w:val="28"/>
                <w:lang w:val="en-US" w:eastAsia="zh-CN"/>
              </w:rPr>
            </w:pPr>
          </w:p>
        </w:tc>
        <w:tc>
          <w:tcPr>
            <w:tcW w:w="1764"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三腔</w:t>
            </w:r>
          </w:p>
        </w:tc>
        <w:tc>
          <w:tcPr>
            <w:tcW w:w="1529"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2194</w:t>
            </w:r>
          </w:p>
        </w:tc>
      </w:tr>
    </w:tbl>
    <w:p>
      <w:pPr>
        <w:pStyle w:val="4"/>
        <w:pageBreakBefore w:val="0"/>
        <w:kinsoku/>
        <w:wordWrap/>
        <w:overflowPunct/>
        <w:topLinePunct w:val="0"/>
        <w:bidi w:val="0"/>
        <w:snapToGrid/>
        <w:spacing w:line="560" w:lineRule="exact"/>
        <w:textAlignment w:val="auto"/>
        <w:rPr>
          <w:rFonts w:hint="eastAsia" w:ascii="黑体" w:hAnsi="黑体" w:eastAsia="黑体" w:cs="黑体"/>
          <w:color w:val="auto"/>
          <w:kern w:val="0"/>
          <w:szCs w:val="32"/>
          <w:lang w:val="en-US" w:eastAsia="zh-CN" w:bidi="ar"/>
        </w:rPr>
      </w:pPr>
      <w:bookmarkStart w:id="5" w:name="_Toc17031"/>
      <w:bookmarkStart w:id="6" w:name="_Toc3235"/>
      <w:r>
        <w:rPr>
          <w:rFonts w:hint="eastAsia"/>
          <w:color w:val="auto"/>
          <w:lang w:val="en-US" w:eastAsia="zh-CN"/>
        </w:rPr>
        <w:t>二、申报要求</w:t>
      </w:r>
      <w:bookmarkEnd w:id="5"/>
      <w:bookmarkEnd w:id="6"/>
    </w:p>
    <w:p>
      <w:pPr>
        <w:pStyle w:val="5"/>
        <w:pageBreakBefore w:val="0"/>
        <w:kinsoku/>
        <w:wordWrap/>
        <w:overflowPunct/>
        <w:topLinePunct w:val="0"/>
        <w:bidi w:val="0"/>
        <w:snapToGrid/>
        <w:spacing w:line="560" w:lineRule="exact"/>
        <w:textAlignment w:val="auto"/>
        <w:rPr>
          <w:rFonts w:hint="eastAsia"/>
          <w:color w:val="auto"/>
          <w:lang w:val="en-US" w:eastAsia="zh-CN"/>
        </w:rPr>
      </w:pPr>
      <w:r>
        <w:rPr>
          <w:rFonts w:hint="eastAsia"/>
          <w:color w:val="auto"/>
          <w:lang w:val="en-US" w:eastAsia="zh-CN"/>
        </w:rPr>
        <w:t>（一）申报企业资格及相关要求</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1.申报企业为已取得本次集中带量采购产品合法资质的医疗器械注册人（代理人）。其中，境外医疗器械注册人（代理人）应当指定我国境内企业法人协助其履行相应的法律义务，委托其作为申报企业。</w:t>
      </w:r>
      <w:r>
        <w:rPr>
          <w:rFonts w:hint="eastAsia" w:cs="仿宋_GB2312"/>
          <w:color w:val="auto"/>
          <w:szCs w:val="32"/>
          <w:highlight w:val="none"/>
          <w:u w:val="none"/>
        </w:rPr>
        <w:t>同一医疗器械注册证的产品不得委托不同企业进行申报。</w:t>
      </w:r>
      <w:r>
        <w:rPr>
          <w:rFonts w:hint="eastAsia"/>
          <w:color w:val="auto"/>
          <w:highlight w:val="none"/>
          <w:u w:val="none"/>
          <w:lang w:val="en-US" w:eastAsia="zh-CN"/>
        </w:rPr>
        <w:t>不同医疗器械注册人（代理人）由同一家企业申报的，则各医疗器械注册人（代理人）和该申报企业视为存在关联关系；不同医疗器械注册人（代理人）委托不同企业申报，但受托企业为同一实际控制人或存在控股关系，则视为企业间存在关联关系；不同医疗器械注册人（代理人）间，如为同一实际控制人或存在控股关系，则视为企业间存在关联关系。</w:t>
      </w:r>
    </w:p>
    <w:p>
      <w:pPr>
        <w:pageBreakBefore w:val="0"/>
        <w:kinsoku/>
        <w:wordWrap/>
        <w:overflowPunct/>
        <w:topLinePunct w:val="0"/>
        <w:bidi w:val="0"/>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2.申报企业和医疗器械注册人（代理人）未被列入当前《全国医药价格和招采失信企业风险警示名单》，未被联合采购办公室列入当前“违规名单”。</w:t>
      </w:r>
    </w:p>
    <w:p>
      <w:pPr>
        <w:pageBreakBefore w:val="0"/>
        <w:kinsoku/>
        <w:wordWrap/>
        <w:overflowPunct/>
        <w:topLinePunct w:val="0"/>
        <w:bidi w:val="0"/>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3.</w:t>
      </w:r>
      <w:r>
        <w:rPr>
          <w:rFonts w:hint="eastAsia" w:cs="仿宋_GB2312"/>
          <w:color w:val="auto"/>
          <w:szCs w:val="32"/>
          <w:highlight w:val="none"/>
          <w:u w:val="none"/>
        </w:rPr>
        <w:t>申报企业应遵守《中华人民共和国专利法》《中华人民共和国反垄断法》《中华人民共和国反不正当竞争法》等相关法律法规，并承担相关法律责任。</w:t>
      </w:r>
    </w:p>
    <w:p>
      <w:pPr>
        <w:pageBreakBefore w:val="0"/>
        <w:kinsoku/>
        <w:wordWrap/>
        <w:overflowPunct/>
        <w:topLinePunct w:val="0"/>
        <w:bidi w:val="0"/>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4.申报企业须在本次集中带量采购过程中依据医药价格和招采信用评价制度向联盟采购办公室作出承诺，该承诺或将根据工作需要进行公开。</w:t>
      </w:r>
    </w:p>
    <w:p>
      <w:pPr>
        <w:pageBreakBefore w:val="0"/>
        <w:kinsoku/>
        <w:wordWrap/>
        <w:overflowPunct/>
        <w:topLinePunct w:val="0"/>
        <w:bidi w:val="0"/>
        <w:snapToGrid/>
        <w:spacing w:line="600" w:lineRule="exact"/>
        <w:ind w:firstLine="640"/>
        <w:jc w:val="both"/>
        <w:textAlignment w:val="auto"/>
        <w:rPr>
          <w:rFonts w:hint="eastAsia" w:cs="仿宋_GB2312"/>
          <w:color w:val="auto"/>
          <w:szCs w:val="32"/>
          <w:highlight w:val="none"/>
          <w:u w:val="none"/>
        </w:rPr>
      </w:pPr>
      <w:r>
        <w:rPr>
          <w:rFonts w:hint="eastAsia" w:cs="仿宋_GB2312"/>
          <w:color w:val="auto"/>
          <w:szCs w:val="32"/>
          <w:highlight w:val="none"/>
          <w:u w:val="none"/>
          <w:lang w:val="en-US" w:eastAsia="zh-CN"/>
        </w:rPr>
        <w:t>5</w:t>
      </w:r>
      <w:r>
        <w:rPr>
          <w:rFonts w:hint="eastAsia" w:cs="仿宋_GB2312"/>
          <w:color w:val="auto"/>
          <w:szCs w:val="32"/>
          <w:highlight w:val="none"/>
          <w:u w:val="none"/>
        </w:rPr>
        <w:t>.申报企业须确保在采购周期内满足采购地区的约定采购量需求。</w:t>
      </w:r>
    </w:p>
    <w:p>
      <w:pPr>
        <w:pageBreakBefore w:val="0"/>
        <w:widowControl/>
        <w:kinsoku/>
        <w:wordWrap/>
        <w:overflowPunct/>
        <w:topLinePunct w:val="0"/>
        <w:bidi w:val="0"/>
        <w:snapToGrid/>
        <w:spacing w:line="600" w:lineRule="exact"/>
        <w:ind w:firstLine="640"/>
        <w:jc w:val="both"/>
        <w:textAlignment w:val="auto"/>
        <w:rPr>
          <w:rFonts w:hint="eastAsia" w:cs="仿宋_GB2312"/>
          <w:color w:val="auto"/>
          <w:szCs w:val="32"/>
          <w:highlight w:val="none"/>
          <w:u w:val="none"/>
          <w:lang w:val="en-US" w:eastAsia="zh-CN"/>
        </w:rPr>
      </w:pPr>
      <w:r>
        <w:rPr>
          <w:rFonts w:hint="eastAsia" w:cs="仿宋_GB2312"/>
          <w:color w:val="auto"/>
          <w:szCs w:val="32"/>
          <w:highlight w:val="none"/>
          <w:u w:val="none"/>
          <w:lang w:val="en-US" w:eastAsia="zh-CN"/>
        </w:rPr>
        <w:t>6.申报企业须保持集采前后伴随服务供给的连续性，服务内容及费用标准不得变化。</w:t>
      </w:r>
    </w:p>
    <w:p>
      <w:pPr>
        <w:keepNext w:val="0"/>
        <w:keepLines w:val="0"/>
        <w:pageBreakBefore w:val="0"/>
        <w:widowControl w:val="0"/>
        <w:kinsoku/>
        <w:wordWrap/>
        <w:overflowPunct/>
        <w:topLinePunct w:val="0"/>
        <w:bidi w:val="0"/>
        <w:snapToGrid/>
        <w:spacing w:line="600" w:lineRule="exact"/>
        <w:textAlignment w:val="auto"/>
        <w:rPr>
          <w:rFonts w:hint="eastAsia"/>
          <w:color w:val="auto"/>
          <w:sz w:val="32"/>
          <w:szCs w:val="32"/>
          <w:highlight w:val="none"/>
          <w:u w:val="none"/>
          <w:lang w:val="en-US" w:eastAsia="zh-CN"/>
        </w:rPr>
      </w:pPr>
      <w:r>
        <w:rPr>
          <w:rFonts w:hint="eastAsia"/>
          <w:color w:val="auto"/>
          <w:sz w:val="32"/>
          <w:szCs w:val="32"/>
          <w:highlight w:val="none"/>
          <w:u w:val="none"/>
          <w:lang w:val="en-US" w:eastAsia="zh-CN"/>
        </w:rPr>
        <w:t>7.申报企业在规定时间内完成相应操作的，为有效申报企业，可参与竞价。</w:t>
      </w:r>
    </w:p>
    <w:p>
      <w:pPr>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kern w:val="0"/>
          <w:sz w:val="32"/>
          <w:szCs w:val="32"/>
          <w:highlight w:val="none"/>
          <w:u w:val="none"/>
          <w:lang w:bidi="ar"/>
        </w:rPr>
      </w:pPr>
      <w:r>
        <w:rPr>
          <w:rFonts w:hint="eastAsia" w:cs="仿宋_GB2312"/>
          <w:color w:val="auto"/>
          <w:kern w:val="0"/>
          <w:sz w:val="32"/>
          <w:szCs w:val="32"/>
          <w:highlight w:val="none"/>
          <w:u w:val="none"/>
          <w:lang w:val="en-US" w:eastAsia="zh-CN" w:bidi="ar"/>
        </w:rPr>
        <w:t>8</w:t>
      </w:r>
      <w:r>
        <w:rPr>
          <w:rFonts w:hint="eastAsia" w:ascii="仿宋_GB2312" w:hAnsi="仿宋_GB2312" w:eastAsia="仿宋_GB2312" w:cs="仿宋_GB2312"/>
          <w:color w:val="auto"/>
          <w:kern w:val="0"/>
          <w:sz w:val="32"/>
          <w:szCs w:val="32"/>
          <w:highlight w:val="none"/>
          <w:u w:val="none"/>
          <w:lang w:val="en-US" w:eastAsia="zh-CN" w:bidi="ar"/>
        </w:rPr>
        <w:t>.</w:t>
      </w:r>
      <w:r>
        <w:rPr>
          <w:rFonts w:hint="eastAsia" w:ascii="仿宋_GB2312" w:hAnsi="仿宋_GB2312" w:eastAsia="仿宋_GB2312" w:cs="仿宋_GB2312"/>
          <w:color w:val="auto"/>
          <w:kern w:val="0"/>
          <w:sz w:val="32"/>
          <w:szCs w:val="32"/>
          <w:highlight w:val="none"/>
          <w:u w:val="none"/>
          <w:lang w:bidi="ar"/>
        </w:rPr>
        <w:t>同时投标规则。同企业不同品种在同一注册证的，企业应根据规格型号区分品种后进行分组投标。其他属于以下情况的，企业可同时投标。</w:t>
      </w:r>
    </w:p>
    <w:p>
      <w:pPr>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kern w:val="0"/>
          <w:sz w:val="32"/>
          <w:szCs w:val="32"/>
          <w:highlight w:val="none"/>
          <w:u w:val="none"/>
          <w:lang w:bidi="ar"/>
        </w:rPr>
      </w:pPr>
      <w:r>
        <w:rPr>
          <w:rFonts w:hint="eastAsia" w:ascii="仿宋_GB2312" w:hAnsi="仿宋_GB2312" w:eastAsia="仿宋_GB2312" w:cs="仿宋_GB2312"/>
          <w:color w:val="auto"/>
          <w:kern w:val="0"/>
          <w:sz w:val="32"/>
          <w:szCs w:val="32"/>
          <w:highlight w:val="none"/>
          <w:u w:val="none"/>
          <w:lang w:eastAsia="zh-CN" w:bidi="ar"/>
        </w:rPr>
        <w:t>（</w:t>
      </w:r>
      <w:r>
        <w:rPr>
          <w:rFonts w:hint="eastAsia" w:ascii="仿宋_GB2312" w:hAnsi="仿宋_GB2312" w:eastAsia="仿宋_GB2312" w:cs="仿宋_GB2312"/>
          <w:color w:val="auto"/>
          <w:kern w:val="0"/>
          <w:sz w:val="32"/>
          <w:szCs w:val="32"/>
          <w:highlight w:val="none"/>
          <w:u w:val="none"/>
          <w:lang w:val="en-US" w:eastAsia="zh-CN" w:bidi="ar"/>
        </w:rPr>
        <w:t>1</w:t>
      </w:r>
      <w:r>
        <w:rPr>
          <w:rFonts w:hint="eastAsia" w:ascii="仿宋_GB2312" w:hAnsi="仿宋_GB2312" w:eastAsia="仿宋_GB2312" w:cs="仿宋_GB2312"/>
          <w:color w:val="auto"/>
          <w:kern w:val="0"/>
          <w:sz w:val="32"/>
          <w:szCs w:val="32"/>
          <w:highlight w:val="none"/>
          <w:u w:val="none"/>
          <w:lang w:eastAsia="zh-CN" w:bidi="ar"/>
        </w:rPr>
        <w:t>）</w:t>
      </w:r>
      <w:r>
        <w:rPr>
          <w:rFonts w:hint="eastAsia" w:ascii="仿宋_GB2312" w:hAnsi="仿宋_GB2312" w:eastAsia="仿宋_GB2312" w:cs="仿宋_GB2312"/>
          <w:color w:val="auto"/>
          <w:kern w:val="0"/>
          <w:sz w:val="32"/>
          <w:szCs w:val="32"/>
          <w:highlight w:val="none"/>
          <w:u w:val="none"/>
          <w:lang w:bidi="ar"/>
        </w:rPr>
        <w:t>同一品种内同一企业有不同注册证的；</w:t>
      </w:r>
    </w:p>
    <w:p>
      <w:pPr>
        <w:pageBreakBefore w:val="0"/>
        <w:widowControl w:val="0"/>
        <w:kinsoku/>
        <w:wordWrap/>
        <w:overflowPunct/>
        <w:topLinePunct w:val="0"/>
        <w:autoSpaceDE/>
        <w:autoSpaceDN/>
        <w:bidi w:val="0"/>
        <w:adjustRightInd/>
        <w:snapToGrid/>
        <w:spacing w:line="600" w:lineRule="exact"/>
        <w:textAlignment w:val="auto"/>
        <w:rPr>
          <w:rFonts w:hint="eastAsia"/>
          <w:sz w:val="32"/>
          <w:szCs w:val="32"/>
          <w:lang w:val="en-US" w:eastAsia="zh-CN"/>
        </w:rPr>
      </w:pPr>
      <w:r>
        <w:rPr>
          <w:rFonts w:hint="eastAsia" w:ascii="仿宋_GB2312" w:hAnsi="仿宋_GB2312" w:eastAsia="仿宋_GB2312" w:cs="仿宋_GB2312"/>
          <w:color w:val="auto"/>
          <w:kern w:val="0"/>
          <w:sz w:val="32"/>
          <w:szCs w:val="32"/>
          <w:highlight w:val="none"/>
          <w:u w:val="none"/>
          <w:lang w:eastAsia="zh-CN" w:bidi="ar"/>
        </w:rPr>
        <w:t>（</w:t>
      </w:r>
      <w:r>
        <w:rPr>
          <w:rFonts w:hint="eastAsia" w:ascii="仿宋_GB2312" w:hAnsi="仿宋_GB2312" w:eastAsia="仿宋_GB2312" w:cs="仿宋_GB2312"/>
          <w:color w:val="auto"/>
          <w:kern w:val="0"/>
          <w:sz w:val="32"/>
          <w:szCs w:val="32"/>
          <w:highlight w:val="none"/>
          <w:u w:val="none"/>
          <w:lang w:val="en-US" w:eastAsia="zh-CN" w:bidi="ar"/>
        </w:rPr>
        <w:t>2</w:t>
      </w:r>
      <w:r>
        <w:rPr>
          <w:rFonts w:hint="eastAsia" w:ascii="仿宋_GB2312" w:hAnsi="仿宋_GB2312" w:eastAsia="仿宋_GB2312" w:cs="仿宋_GB2312"/>
          <w:color w:val="auto"/>
          <w:kern w:val="0"/>
          <w:sz w:val="32"/>
          <w:szCs w:val="32"/>
          <w:highlight w:val="none"/>
          <w:u w:val="none"/>
          <w:lang w:eastAsia="zh-CN" w:bidi="ar"/>
        </w:rPr>
        <w:t>）</w:t>
      </w:r>
      <w:r>
        <w:rPr>
          <w:rFonts w:hint="eastAsia" w:ascii="仿宋_GB2312" w:hAnsi="仿宋_GB2312" w:eastAsia="仿宋_GB2312" w:cs="仿宋_GB2312"/>
          <w:color w:val="auto"/>
          <w:kern w:val="0"/>
          <w:sz w:val="32"/>
          <w:szCs w:val="32"/>
          <w:highlight w:val="none"/>
          <w:u w:val="none"/>
          <w:lang w:bidi="ar"/>
        </w:rPr>
        <w:t>同一企业同一注册证有不同二级目录产品的。</w:t>
      </w:r>
    </w:p>
    <w:p>
      <w:pPr>
        <w:pStyle w:val="5"/>
        <w:bidi w:val="0"/>
        <w:rPr>
          <w:rFonts w:hint="eastAsia"/>
          <w:lang w:val="en-US" w:eastAsia="zh-CN"/>
        </w:rPr>
      </w:pPr>
      <w:r>
        <w:rPr>
          <w:rFonts w:hint="eastAsia"/>
          <w:lang w:val="en-US" w:eastAsia="zh-CN"/>
        </w:rPr>
        <w:t>（二）申报产品资格要求</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Times New Roman"/>
          <w:color w:val="auto"/>
          <w:kern w:val="2"/>
          <w:sz w:val="32"/>
          <w:szCs w:val="24"/>
          <w:highlight w:val="none"/>
          <w:u w:val="none"/>
          <w:lang w:val="en-US" w:eastAsia="zh-CN" w:bidi="ar-SA"/>
        </w:rPr>
      </w:pPr>
      <w:bookmarkStart w:id="7" w:name="_Toc4700"/>
      <w:r>
        <w:rPr>
          <w:rFonts w:hint="eastAsia" w:ascii="仿宋_GB2312" w:hAnsi="仿宋_GB2312" w:eastAsia="仿宋_GB2312" w:cs="Times New Roman"/>
          <w:color w:val="auto"/>
          <w:kern w:val="2"/>
          <w:sz w:val="32"/>
          <w:szCs w:val="24"/>
          <w:highlight w:val="none"/>
          <w:u w:val="none"/>
          <w:lang w:val="en-US" w:eastAsia="zh-CN" w:bidi="ar-SA"/>
        </w:rPr>
        <w:t>1.申报产品属于采购产品范围，并获得有效中华人民共和国医疗器械注册证。</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Times New Roman"/>
          <w:color w:val="auto"/>
          <w:kern w:val="2"/>
          <w:sz w:val="32"/>
          <w:szCs w:val="24"/>
          <w:highlight w:val="none"/>
          <w:u w:val="none"/>
          <w:lang w:val="en-US" w:eastAsia="zh-CN" w:bidi="ar-SA"/>
        </w:rPr>
      </w:pPr>
      <w:r>
        <w:rPr>
          <w:rFonts w:hint="eastAsia" w:ascii="仿宋_GB2312" w:hAnsi="仿宋_GB2312" w:eastAsia="仿宋_GB2312" w:cs="Times New Roman"/>
          <w:color w:val="auto"/>
          <w:kern w:val="2"/>
          <w:sz w:val="32"/>
          <w:szCs w:val="24"/>
          <w:highlight w:val="none"/>
          <w:u w:val="none"/>
          <w:lang w:val="en-US" w:eastAsia="zh-CN" w:bidi="ar-SA"/>
        </w:rPr>
        <w:t>2.申报产品应当符合国家有关部门的质量标准要求，并按国家有关部门要求组织生产。</w:t>
      </w:r>
    </w:p>
    <w:p>
      <w:pPr>
        <w:pStyle w:val="4"/>
        <w:pageBreakBefore w:val="0"/>
        <w:kinsoku/>
        <w:wordWrap/>
        <w:overflowPunct/>
        <w:topLinePunct w:val="0"/>
        <w:bidi w:val="0"/>
        <w:snapToGrid/>
        <w:spacing w:line="560" w:lineRule="exact"/>
        <w:textAlignment w:val="auto"/>
        <w:rPr>
          <w:rFonts w:hint="default" w:ascii="黑体" w:hAnsi="黑体" w:eastAsia="黑体" w:cs="黑体"/>
          <w:color w:val="auto"/>
          <w:kern w:val="0"/>
          <w:szCs w:val="32"/>
          <w:lang w:val="en-US" w:eastAsia="zh-CN" w:bidi="ar"/>
        </w:rPr>
      </w:pPr>
      <w:bookmarkStart w:id="8" w:name="_Toc15545"/>
      <w:r>
        <w:rPr>
          <w:rFonts w:hint="eastAsia"/>
          <w:color w:val="auto"/>
          <w:lang w:val="en-US" w:eastAsia="zh-CN"/>
        </w:rPr>
        <w:t>三</w:t>
      </w:r>
      <w:r>
        <w:rPr>
          <w:color w:val="auto"/>
        </w:rPr>
        <w:t>、</w:t>
      </w:r>
      <w:r>
        <w:rPr>
          <w:rFonts w:hint="eastAsia"/>
          <w:color w:val="auto"/>
          <w:lang w:val="en-US" w:eastAsia="zh-CN"/>
        </w:rPr>
        <w:t>采购周期与采购协议</w:t>
      </w:r>
      <w:bookmarkEnd w:id="7"/>
      <w:bookmarkEnd w:id="8"/>
    </w:p>
    <w:p>
      <w:pPr>
        <w:pageBreakBefore w:val="0"/>
        <w:kinsoku/>
        <w:wordWrap/>
        <w:overflowPunct/>
        <w:topLinePunct w:val="0"/>
        <w:bidi w:val="0"/>
        <w:snapToGrid/>
        <w:spacing w:line="600" w:lineRule="exact"/>
        <w:ind w:firstLine="640"/>
        <w:jc w:val="both"/>
        <w:textAlignment w:val="auto"/>
        <w:rPr>
          <w:rFonts w:hint="eastAsia" w:cs="仿宋_GB2312"/>
          <w:color w:val="auto"/>
          <w:szCs w:val="32"/>
          <w:highlight w:val="none"/>
          <w:u w:val="none"/>
        </w:rPr>
      </w:pPr>
      <w:bookmarkStart w:id="9" w:name="_Toc26855"/>
      <w:r>
        <w:rPr>
          <w:rFonts w:hint="eastAsia"/>
          <w:color w:val="auto"/>
          <w:highlight w:val="none"/>
          <w:u w:val="none"/>
          <w:lang w:val="en-US" w:eastAsia="zh-CN"/>
        </w:rPr>
        <w:t>（一）</w:t>
      </w:r>
      <w:r>
        <w:rPr>
          <w:rFonts w:hint="eastAsia" w:cs="仿宋_GB2312"/>
          <w:color w:val="auto"/>
          <w:szCs w:val="32"/>
          <w:highlight w:val="none"/>
          <w:u w:val="none"/>
        </w:rPr>
        <w:t>采购周期自中选结果执行日起计算，原则上为12个月。到期后可根据采购和供应等实际情况延长采购期限，延长采购期限原则上为12个月。</w:t>
      </w:r>
    </w:p>
    <w:p>
      <w:pPr>
        <w:pStyle w:val="2"/>
        <w:pageBreakBefore w:val="0"/>
        <w:kinsoku/>
        <w:wordWrap/>
        <w:overflowPunct/>
        <w:topLinePunct w:val="0"/>
        <w:bidi w:val="0"/>
        <w:snapToGrid/>
        <w:spacing w:line="600" w:lineRule="exact"/>
        <w:ind w:firstLine="640" w:firstLineChars="200"/>
        <w:textAlignment w:val="auto"/>
        <w:rPr>
          <w:rFonts w:hint="eastAsia"/>
          <w:color w:val="auto"/>
          <w:highlight w:val="none"/>
          <w:u w:val="none"/>
        </w:rPr>
      </w:pPr>
      <w:r>
        <w:rPr>
          <w:rFonts w:hint="eastAsia" w:ascii="仿宋_GB2312" w:eastAsia="仿宋_GB2312"/>
          <w:color w:val="auto"/>
          <w:sz w:val="32"/>
          <w:szCs w:val="32"/>
          <w:highlight w:val="none"/>
          <w:u w:val="none"/>
          <w:lang w:eastAsia="zh-CN"/>
        </w:rPr>
        <w:t>（二）采购周期内采购协议每年一签。续签采购协议时,约定采购量原则上不少于各地该中选</w:t>
      </w:r>
      <w:r>
        <w:rPr>
          <w:rFonts w:hint="eastAsia" w:ascii="仿宋_GB2312" w:eastAsia="仿宋_GB2312"/>
          <w:color w:val="auto"/>
          <w:sz w:val="32"/>
          <w:szCs w:val="32"/>
          <w:highlight w:val="none"/>
          <w:u w:val="none"/>
          <w:lang w:val="en-US" w:eastAsia="zh-CN"/>
        </w:rPr>
        <w:t>产品</w:t>
      </w:r>
      <w:r>
        <w:rPr>
          <w:rFonts w:hint="eastAsia" w:ascii="仿宋_GB2312" w:eastAsia="仿宋_GB2312"/>
          <w:color w:val="auto"/>
          <w:sz w:val="32"/>
          <w:szCs w:val="32"/>
          <w:highlight w:val="none"/>
          <w:u w:val="none"/>
          <w:lang w:eastAsia="zh-CN"/>
        </w:rPr>
        <w:t>上年约定采购量。</w:t>
      </w:r>
    </w:p>
    <w:p>
      <w:pPr>
        <w:pageBreakBefore w:val="0"/>
        <w:kinsoku/>
        <w:wordWrap/>
        <w:overflowPunct/>
        <w:topLinePunct w:val="0"/>
        <w:bidi w:val="0"/>
        <w:snapToGrid/>
        <w:spacing w:line="600" w:lineRule="exact"/>
        <w:ind w:firstLine="640"/>
        <w:jc w:val="both"/>
        <w:textAlignment w:val="auto"/>
        <w:rPr>
          <w:rFonts w:hint="eastAsia" w:cs="仿宋_GB2312"/>
          <w:color w:val="auto"/>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cs="仿宋_GB2312"/>
          <w:color w:val="auto"/>
          <w:sz w:val="32"/>
          <w:szCs w:val="32"/>
          <w:highlight w:val="none"/>
          <w:u w:val="none"/>
          <w:lang w:val="en-US" w:eastAsia="zh-CN"/>
        </w:rPr>
        <w:t>三</w:t>
      </w:r>
      <w:r>
        <w:rPr>
          <w:rFonts w:hint="eastAsia" w:ascii="仿宋_GB2312" w:hAnsi="仿宋_GB2312" w:eastAsia="仿宋_GB2312" w:cs="仿宋_GB2312"/>
          <w:color w:val="auto"/>
          <w:sz w:val="32"/>
          <w:szCs w:val="32"/>
          <w:highlight w:val="none"/>
          <w:u w:val="none"/>
        </w:rPr>
        <w:t>）</w:t>
      </w:r>
      <w:r>
        <w:rPr>
          <w:rFonts w:hint="eastAsia" w:cs="仿宋_GB2312"/>
          <w:color w:val="auto"/>
          <w:szCs w:val="32"/>
          <w:highlight w:val="none"/>
          <w:u w:val="none"/>
        </w:rPr>
        <w:t>采购周期内医疗机构完成约定采购量后，超出约定采购量的部分，中选企业仍需按中选价格进行供应，直至采购周期届满。</w:t>
      </w:r>
    </w:p>
    <w:p>
      <w:pPr>
        <w:pStyle w:val="4"/>
        <w:pageBreakBefore w:val="0"/>
        <w:kinsoku/>
        <w:wordWrap/>
        <w:overflowPunct/>
        <w:topLinePunct w:val="0"/>
        <w:bidi w:val="0"/>
        <w:snapToGrid/>
        <w:spacing w:line="560" w:lineRule="exact"/>
        <w:textAlignment w:val="auto"/>
        <w:rPr>
          <w:rFonts w:hint="eastAsia"/>
          <w:color w:val="auto"/>
          <w:lang w:val="en-US" w:eastAsia="zh-CN"/>
        </w:rPr>
      </w:pPr>
      <w:bookmarkStart w:id="10" w:name="_Toc22416"/>
      <w:r>
        <w:rPr>
          <w:rFonts w:hint="eastAsia"/>
          <w:color w:val="auto"/>
          <w:lang w:val="en-US" w:eastAsia="zh-CN"/>
        </w:rPr>
        <w:t>四、</w:t>
      </w:r>
      <w:bookmarkEnd w:id="9"/>
      <w:r>
        <w:rPr>
          <w:rFonts w:hint="eastAsia"/>
          <w:color w:val="auto"/>
          <w:lang w:val="en-US" w:eastAsia="zh-CN"/>
        </w:rPr>
        <w:t>采购执行说明</w:t>
      </w:r>
      <w:bookmarkEnd w:id="1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bookmarkStart w:id="11" w:name="_Toc10847"/>
      <w:r>
        <w:rPr>
          <w:rFonts w:hint="eastAsia" w:ascii="仿宋_GB2312" w:hAnsi="仿宋_GB2312" w:eastAsia="仿宋_GB2312" w:cs="仿宋_GB2312"/>
          <w:color w:val="auto"/>
          <w:sz w:val="32"/>
          <w:szCs w:val="32"/>
          <w:highlight w:val="none"/>
          <w:u w:val="none"/>
        </w:rPr>
        <w:t>（一）采购周期内，医疗机构优先使用本次</w:t>
      </w:r>
      <w:r>
        <w:rPr>
          <w:rFonts w:hint="eastAsia" w:cs="仿宋_GB2312"/>
          <w:color w:val="auto"/>
          <w:sz w:val="32"/>
          <w:szCs w:val="32"/>
          <w:highlight w:val="none"/>
          <w:u w:val="none"/>
          <w:lang w:eastAsia="zh-CN"/>
        </w:rPr>
        <w:t>医用</w:t>
      </w:r>
      <w:r>
        <w:rPr>
          <w:rFonts w:hint="eastAsia" w:ascii="仿宋_GB2312" w:hAnsi="仿宋_GB2312" w:eastAsia="仿宋_GB2312" w:cs="仿宋_GB2312"/>
          <w:color w:val="auto"/>
          <w:sz w:val="32"/>
          <w:szCs w:val="32"/>
          <w:highlight w:val="none"/>
          <w:u w:val="none"/>
        </w:rPr>
        <w:t>耗材集中带量采购中选产品，并确保完成</w:t>
      </w:r>
      <w:r>
        <w:rPr>
          <w:rFonts w:hint="eastAsia" w:cs="仿宋_GB2312"/>
          <w:color w:val="auto"/>
          <w:szCs w:val="32"/>
          <w:highlight w:val="none"/>
          <w:u w:val="none"/>
          <w:lang w:eastAsia="zh-CN"/>
        </w:rPr>
        <w:t>约定</w:t>
      </w:r>
      <w:r>
        <w:rPr>
          <w:rFonts w:hint="eastAsia" w:cs="仿宋_GB2312"/>
          <w:color w:val="auto"/>
          <w:szCs w:val="32"/>
          <w:highlight w:val="none"/>
          <w:u w:val="none"/>
        </w:rPr>
        <w:t>采购量</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cs="仿宋_GB2312"/>
          <w:color w:val="auto"/>
          <w:sz w:val="32"/>
          <w:szCs w:val="32"/>
          <w:highlight w:val="none"/>
          <w:u w:val="none"/>
          <w:lang w:val="en-US" w:eastAsia="zh-CN"/>
        </w:rPr>
        <w:t>（二）</w:t>
      </w:r>
      <w:r>
        <w:rPr>
          <w:rFonts w:hint="eastAsia" w:ascii="仿宋_GB2312" w:hAnsi="仿宋_GB2312" w:eastAsia="仿宋_GB2312" w:cs="仿宋_GB2312"/>
          <w:color w:val="auto"/>
          <w:sz w:val="32"/>
          <w:szCs w:val="32"/>
          <w:highlight w:val="none"/>
          <w:u w:val="none"/>
        </w:rPr>
        <w:t>采购周期内，如中选产品注册证更新，中选资格及中选价格维持不变。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cs="仿宋_GB2312"/>
          <w:color w:val="auto"/>
          <w:sz w:val="32"/>
          <w:szCs w:val="32"/>
          <w:highlight w:val="none"/>
          <w:u w:val="none"/>
          <w:lang w:val="en-US" w:eastAsia="zh-CN"/>
        </w:rPr>
        <w:t>三</w:t>
      </w:r>
      <w:r>
        <w:rPr>
          <w:rFonts w:hint="eastAsia" w:ascii="仿宋_GB2312" w:hAnsi="仿宋_GB2312" w:eastAsia="仿宋_GB2312" w:cs="仿宋_GB2312"/>
          <w:color w:val="auto"/>
          <w:sz w:val="32"/>
          <w:szCs w:val="32"/>
          <w:highlight w:val="none"/>
          <w:u w:val="none"/>
        </w:rPr>
        <w:t>）企业未申报的产品和未中选企业的产品均视为未中选产品。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w:t>
      </w:r>
      <w:r>
        <w:rPr>
          <w:rFonts w:hint="eastAsia" w:cs="仿宋_GB2312"/>
          <w:color w:val="auto"/>
          <w:sz w:val="32"/>
          <w:szCs w:val="32"/>
          <w:highlight w:val="none"/>
          <w:u w:val="none"/>
          <w:lang w:val="en-US" w:eastAsia="zh-CN"/>
        </w:rPr>
        <w:t>四</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采购周期内，各中选企业须按照各产品中选价格统一供应联盟采购地区，提前完成采购需求量的，超过部分中选企业仍应按中选价格进行供应。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w:t>
      </w:r>
      <w:r>
        <w:rPr>
          <w:rFonts w:hint="eastAsia"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采购周期内如同一产品在国家组织的带量采购中形成新的低价，其中选价格生效以后，本次采购尚未执行的采购量，按国家中选价格执行；如同一产品在国内其他省级（含省际联盟）带量采购中形成新的低价，相关企业应主动向联盟采购办公室提交书面申请，本次采购尚未执行的采购量，按新的低价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w:t>
      </w:r>
      <w:r>
        <w:rPr>
          <w:rFonts w:hint="eastAsia" w:cs="仿宋_GB2312"/>
          <w:color w:val="auto"/>
          <w:sz w:val="32"/>
          <w:szCs w:val="32"/>
          <w:highlight w:val="none"/>
          <w:u w:val="none"/>
          <w:lang w:val="en-US" w:eastAsia="zh-CN"/>
        </w:rPr>
        <w:t>六</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各采购</w:t>
      </w:r>
      <w:r>
        <w:rPr>
          <w:rFonts w:hint="eastAsia" w:cs="仿宋_GB2312"/>
          <w:color w:val="auto"/>
          <w:sz w:val="32"/>
          <w:szCs w:val="32"/>
          <w:highlight w:val="none"/>
          <w:u w:val="none"/>
          <w:lang w:val="en-US" w:eastAsia="zh-CN"/>
        </w:rPr>
        <w:t>目录</w:t>
      </w:r>
      <w:r>
        <w:rPr>
          <w:rFonts w:hint="eastAsia" w:ascii="仿宋_GB2312" w:hAnsi="仿宋_GB2312" w:eastAsia="仿宋_GB2312" w:cs="仿宋_GB2312"/>
          <w:color w:val="auto"/>
          <w:sz w:val="32"/>
          <w:szCs w:val="32"/>
          <w:highlight w:val="none"/>
          <w:u w:val="none"/>
          <w:lang w:val="en-US" w:eastAsia="zh-CN"/>
        </w:rPr>
        <w:t>未中选企业如可接受同组最低中选价，</w:t>
      </w:r>
      <w:r>
        <w:rPr>
          <w:rFonts w:hint="eastAsia" w:cs="仿宋_GB2312"/>
          <w:color w:val="auto"/>
          <w:sz w:val="32"/>
          <w:szCs w:val="32"/>
          <w:highlight w:val="none"/>
          <w:u w:val="none"/>
          <w:lang w:val="en-US" w:eastAsia="zh-CN"/>
        </w:rPr>
        <w:t>可</w:t>
      </w:r>
      <w:r>
        <w:rPr>
          <w:rFonts w:hint="eastAsia" w:ascii="仿宋_GB2312" w:hAnsi="仿宋_GB2312" w:eastAsia="仿宋_GB2312" w:cs="仿宋_GB2312"/>
          <w:color w:val="auto"/>
          <w:sz w:val="32"/>
          <w:szCs w:val="32"/>
          <w:highlight w:val="none"/>
          <w:u w:val="none"/>
          <w:lang w:val="en-US" w:eastAsia="zh-CN"/>
        </w:rPr>
        <w:t>在采购</w:t>
      </w:r>
      <w:r>
        <w:rPr>
          <w:rFonts w:hint="eastAsia" w:cs="仿宋_GB2312"/>
          <w:color w:val="auto"/>
          <w:sz w:val="32"/>
          <w:szCs w:val="32"/>
          <w:highlight w:val="none"/>
          <w:u w:val="none"/>
          <w:lang w:val="en-US" w:eastAsia="zh-CN"/>
        </w:rPr>
        <w:t>协议期</w:t>
      </w:r>
      <w:r>
        <w:rPr>
          <w:rFonts w:hint="eastAsia" w:ascii="仿宋_GB2312" w:hAnsi="仿宋_GB2312" w:eastAsia="仿宋_GB2312" w:cs="仿宋_GB2312"/>
          <w:color w:val="auto"/>
          <w:sz w:val="32"/>
          <w:szCs w:val="32"/>
          <w:highlight w:val="none"/>
          <w:u w:val="none"/>
          <w:lang w:val="en-US" w:eastAsia="zh-CN"/>
        </w:rPr>
        <w:t>结束</w:t>
      </w:r>
      <w:r>
        <w:rPr>
          <w:rFonts w:hint="eastAsia" w:cs="仿宋_GB2312"/>
          <w:color w:val="auto"/>
          <w:sz w:val="32"/>
          <w:szCs w:val="32"/>
          <w:highlight w:val="none"/>
          <w:u w:val="none"/>
          <w:lang w:val="en-US" w:eastAsia="zh-CN"/>
        </w:rPr>
        <w:t>前</w:t>
      </w:r>
      <w:r>
        <w:rPr>
          <w:rFonts w:hint="eastAsia" w:ascii="仿宋_GB2312" w:hAnsi="仿宋_GB2312" w:eastAsia="仿宋_GB2312" w:cs="仿宋_GB2312"/>
          <w:color w:val="auto"/>
          <w:sz w:val="32"/>
          <w:szCs w:val="32"/>
          <w:highlight w:val="none"/>
          <w:u w:val="none"/>
          <w:lang w:val="en-US" w:eastAsia="zh-CN"/>
        </w:rPr>
        <w:t>，</w:t>
      </w:r>
      <w:r>
        <w:rPr>
          <w:rFonts w:hint="eastAsia" w:cs="仿宋_GB2312"/>
          <w:color w:val="auto"/>
          <w:sz w:val="32"/>
          <w:szCs w:val="32"/>
          <w:highlight w:val="none"/>
          <w:u w:val="none"/>
          <w:lang w:val="en-US" w:eastAsia="zh-CN"/>
        </w:rPr>
        <w:t>申请</w:t>
      </w:r>
      <w:r>
        <w:rPr>
          <w:rFonts w:hint="eastAsia" w:ascii="仿宋_GB2312" w:hAnsi="仿宋_GB2312" w:eastAsia="仿宋_GB2312" w:cs="仿宋_GB2312"/>
          <w:color w:val="auto"/>
          <w:sz w:val="32"/>
          <w:szCs w:val="32"/>
          <w:highlight w:val="none"/>
          <w:u w:val="none"/>
          <w:lang w:val="en-US" w:eastAsia="zh-CN"/>
        </w:rPr>
        <w:t>在下一采购</w:t>
      </w:r>
      <w:r>
        <w:rPr>
          <w:rFonts w:hint="eastAsia" w:cs="仿宋_GB2312"/>
          <w:color w:val="auto"/>
          <w:sz w:val="32"/>
          <w:szCs w:val="32"/>
          <w:highlight w:val="none"/>
          <w:u w:val="none"/>
          <w:lang w:val="en-US" w:eastAsia="zh-CN"/>
        </w:rPr>
        <w:t>协议</w:t>
      </w:r>
      <w:r>
        <w:rPr>
          <w:rFonts w:hint="eastAsia" w:ascii="仿宋_GB2312" w:hAnsi="仿宋_GB2312" w:eastAsia="仿宋_GB2312" w:cs="仿宋_GB2312"/>
          <w:color w:val="auto"/>
          <w:sz w:val="32"/>
          <w:szCs w:val="32"/>
          <w:highlight w:val="none"/>
          <w:u w:val="none"/>
          <w:lang w:val="en-US" w:eastAsia="zh-CN"/>
        </w:rPr>
        <w:t>期获得中选企业资格。</w:t>
      </w:r>
    </w:p>
    <w:p>
      <w:pPr>
        <w:pStyle w:val="2"/>
        <w:pageBreakBefore w:val="0"/>
        <w:kinsoku/>
        <w:wordWrap/>
        <w:overflowPunct/>
        <w:topLinePunct w:val="0"/>
        <w:bidi w:val="0"/>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default" w:ascii="仿宋_GB2312" w:hAnsi="仿宋_GB2312" w:eastAsia="仿宋_GB2312" w:cs="仿宋_GB2312"/>
          <w:color w:val="auto"/>
          <w:kern w:val="2"/>
          <w:sz w:val="32"/>
          <w:szCs w:val="32"/>
          <w:highlight w:val="none"/>
          <w:u w:val="none"/>
          <w:lang w:val="en-US" w:eastAsia="zh-CN" w:bidi="ar-SA"/>
        </w:rPr>
        <w:t>（</w:t>
      </w:r>
      <w:r>
        <w:rPr>
          <w:rFonts w:hint="eastAsia" w:ascii="仿宋_GB2312" w:hAnsi="仿宋_GB2312" w:eastAsia="仿宋_GB2312" w:cs="仿宋_GB2312"/>
          <w:color w:val="auto"/>
          <w:kern w:val="2"/>
          <w:sz w:val="32"/>
          <w:szCs w:val="32"/>
          <w:highlight w:val="none"/>
          <w:u w:val="none"/>
          <w:lang w:val="en-US" w:eastAsia="zh-CN" w:bidi="ar-SA"/>
        </w:rPr>
        <w:t>七</w:t>
      </w:r>
      <w:r>
        <w:rPr>
          <w:rFonts w:hint="default" w:ascii="仿宋_GB2312" w:hAnsi="仿宋_GB2312" w:eastAsia="仿宋_GB2312" w:cs="仿宋_GB2312"/>
          <w:color w:val="auto"/>
          <w:kern w:val="2"/>
          <w:sz w:val="32"/>
          <w:szCs w:val="32"/>
          <w:highlight w:val="none"/>
          <w:u w:val="none"/>
          <w:lang w:val="en-US" w:eastAsia="zh-CN" w:bidi="ar-SA"/>
        </w:rPr>
        <w:t>）申报企业在信息填报工作中填报的产品信息作为本次集中带量采购的产品供应清单，若中选，企业须按照该</w:t>
      </w:r>
      <w:r>
        <w:rPr>
          <w:rFonts w:hint="eastAsia" w:ascii="仿宋_GB2312" w:hAnsi="仿宋_GB2312" w:eastAsia="仿宋_GB2312" w:cs="仿宋_GB2312"/>
          <w:color w:val="auto"/>
          <w:kern w:val="2"/>
          <w:sz w:val="32"/>
          <w:szCs w:val="32"/>
          <w:highlight w:val="none"/>
          <w:u w:val="none"/>
          <w:lang w:val="en-US" w:eastAsia="zh-CN" w:bidi="ar-SA"/>
        </w:rPr>
        <w:t>产品</w:t>
      </w:r>
      <w:r>
        <w:rPr>
          <w:rFonts w:hint="default" w:ascii="仿宋_GB2312" w:hAnsi="仿宋_GB2312" w:eastAsia="仿宋_GB2312" w:cs="仿宋_GB2312"/>
          <w:color w:val="auto"/>
          <w:kern w:val="2"/>
          <w:sz w:val="32"/>
          <w:szCs w:val="32"/>
          <w:highlight w:val="none"/>
          <w:u w:val="none"/>
          <w:lang w:val="en-US" w:eastAsia="zh-CN" w:bidi="ar-SA"/>
        </w:rPr>
        <w:t>清单供应</w:t>
      </w:r>
      <w:r>
        <w:rPr>
          <w:rFonts w:hint="eastAsia" w:ascii="仿宋_GB2312" w:hAnsi="仿宋_GB2312" w:eastAsia="仿宋_GB2312" w:cs="仿宋_GB2312"/>
          <w:color w:val="auto"/>
          <w:kern w:val="2"/>
          <w:sz w:val="32"/>
          <w:szCs w:val="32"/>
          <w:highlight w:val="none"/>
          <w:u w:val="none"/>
          <w:lang w:val="en-US" w:eastAsia="zh-CN" w:bidi="ar-SA"/>
        </w:rPr>
        <w:t>所有规格型号的产品</w:t>
      </w:r>
      <w:r>
        <w:rPr>
          <w:rFonts w:hint="default" w:ascii="仿宋_GB2312" w:hAnsi="仿宋_GB2312" w:eastAsia="仿宋_GB2312" w:cs="仿宋_GB2312"/>
          <w:color w:val="auto"/>
          <w:kern w:val="2"/>
          <w:sz w:val="32"/>
          <w:szCs w:val="32"/>
          <w:highlight w:val="none"/>
          <w:u w:val="none"/>
          <w:lang w:val="en-US" w:eastAsia="zh-CN" w:bidi="ar-SA"/>
        </w:rPr>
        <w:t>，其采购价以中选价格确定。</w:t>
      </w:r>
    </w:p>
    <w:p>
      <w:pPr>
        <w:pStyle w:val="2"/>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（八）</w:t>
      </w:r>
      <w:r>
        <w:rPr>
          <w:rFonts w:hint="eastAsia" w:ascii="仿宋_GB2312" w:hAnsi="仿宋_GB2312" w:eastAsia="仿宋_GB2312" w:cs="仿宋_GB2312"/>
          <w:sz w:val="32"/>
          <w:szCs w:val="32"/>
          <w:highlight w:val="none"/>
          <w:u w:val="none"/>
        </w:rPr>
        <w:t>医疗机构与中选企业在本文件发布前已有协议，且同一产品价格低于中选价格的，仍可继续执行原协议</w:t>
      </w:r>
      <w:r>
        <w:rPr>
          <w:rFonts w:hint="eastAsia" w:ascii="仿宋_GB2312" w:hAnsi="仿宋_GB2312" w:eastAsia="仿宋_GB2312" w:cs="仿宋_GB2312"/>
          <w:sz w:val="32"/>
          <w:szCs w:val="32"/>
          <w:highlight w:val="none"/>
          <w:u w:val="none"/>
          <w:lang w:eastAsia="zh-CN"/>
        </w:rPr>
        <w:t>。</w:t>
      </w:r>
    </w:p>
    <w:p>
      <w:pPr>
        <w:pStyle w:val="4"/>
        <w:pageBreakBefore w:val="0"/>
        <w:kinsoku/>
        <w:wordWrap/>
        <w:overflowPunct/>
        <w:topLinePunct w:val="0"/>
        <w:bidi w:val="0"/>
        <w:snapToGrid/>
        <w:spacing w:line="560" w:lineRule="exact"/>
        <w:textAlignment w:val="auto"/>
        <w:rPr>
          <w:rFonts w:hint="default" w:ascii="黑体" w:hAnsi="黑体" w:eastAsia="黑体" w:cs="黑体"/>
          <w:color w:val="auto"/>
          <w:kern w:val="0"/>
          <w:szCs w:val="32"/>
          <w:lang w:val="en-US" w:eastAsia="zh-CN" w:bidi="ar"/>
        </w:rPr>
      </w:pPr>
      <w:bookmarkStart w:id="12" w:name="_Toc26232"/>
      <w:r>
        <w:rPr>
          <w:rFonts w:hint="eastAsia"/>
          <w:color w:val="auto"/>
          <w:lang w:val="en-US" w:eastAsia="zh-CN"/>
        </w:rPr>
        <w:t>五、采购文件获取</w:t>
      </w:r>
      <w:bookmarkEnd w:id="11"/>
      <w:bookmarkEnd w:id="12"/>
    </w:p>
    <w:p>
      <w:pPr>
        <w:bidi w:val="0"/>
        <w:rPr>
          <w:color w:val="auto"/>
          <w:highlight w:val="none"/>
        </w:rPr>
      </w:pPr>
      <w:bookmarkStart w:id="13" w:name="_Toc14239"/>
      <w:r>
        <w:rPr>
          <w:color w:val="auto"/>
          <w:highlight w:val="none"/>
        </w:rPr>
        <w:t>本次集中带量采购工作所有公告、信息</w:t>
      </w:r>
      <w:r>
        <w:rPr>
          <w:rFonts w:hint="eastAsia"/>
          <w:color w:val="auto"/>
          <w:highlight w:val="none"/>
        </w:rPr>
        <w:t>通过</w:t>
      </w:r>
      <w:r>
        <w:rPr>
          <w:rFonts w:hint="eastAsia"/>
          <w:color w:val="auto"/>
          <w:highlight w:val="none"/>
          <w:lang w:val="en-US" w:eastAsia="zh-CN"/>
        </w:rPr>
        <w:t>河南省医保局</w:t>
      </w:r>
      <w:r>
        <w:rPr>
          <w:rFonts w:hint="eastAsia"/>
          <w:color w:val="auto"/>
          <w:highlight w:val="none"/>
        </w:rPr>
        <w:t>（网址</w:t>
      </w:r>
      <w:r>
        <w:rPr>
          <w:rFonts w:hint="eastAsia"/>
          <w:color w:val="auto"/>
          <w:highlight w:val="none"/>
          <w:u w:val="none"/>
        </w:rPr>
        <w:t>：https://ylbz.henan.gov.cn/）</w:t>
      </w:r>
      <w:r>
        <w:rPr>
          <w:rFonts w:hint="eastAsia"/>
          <w:color w:val="auto"/>
          <w:highlight w:val="none"/>
          <w:u w:val="none"/>
          <w:lang w:val="en-US" w:eastAsia="zh-CN"/>
        </w:rPr>
        <w:t>及漯河</w:t>
      </w:r>
      <w:r>
        <w:rPr>
          <w:rFonts w:hint="eastAsia"/>
          <w:color w:val="auto"/>
          <w:highlight w:val="none"/>
          <w:lang w:val="en-US" w:eastAsia="zh-CN"/>
        </w:rPr>
        <w:t>市医疗保障局官网</w:t>
      </w:r>
      <w:r>
        <w:rPr>
          <w:rFonts w:hint="eastAsia"/>
          <w:color w:val="auto"/>
          <w:highlight w:val="none"/>
        </w:rPr>
        <w:t>（</w:t>
      </w:r>
      <w:r>
        <w:rPr>
          <w:rFonts w:hint="eastAsia"/>
          <w:color w:val="auto"/>
          <w:highlight w:val="none"/>
          <w:u w:val="none"/>
        </w:rPr>
        <w:t>网址：https://ybj.luohe.gov.cn/</w:t>
      </w:r>
      <w:r>
        <w:rPr>
          <w:color w:val="auto"/>
          <w:highlight w:val="none"/>
        </w:rPr>
        <w:t>）下载相关文件。</w:t>
      </w:r>
      <w:bookmarkEnd w:id="13"/>
    </w:p>
    <w:p>
      <w:pPr>
        <w:pStyle w:val="4"/>
        <w:pageBreakBefore w:val="0"/>
        <w:kinsoku/>
        <w:wordWrap/>
        <w:overflowPunct/>
        <w:topLinePunct w:val="0"/>
        <w:bidi w:val="0"/>
        <w:snapToGrid/>
        <w:spacing w:line="560" w:lineRule="exact"/>
        <w:textAlignment w:val="auto"/>
        <w:rPr>
          <w:rFonts w:hint="default"/>
          <w:color w:val="auto"/>
          <w:lang w:val="en-US" w:eastAsia="zh-CN"/>
        </w:rPr>
      </w:pPr>
      <w:bookmarkStart w:id="14" w:name="_Toc26726"/>
      <w:bookmarkStart w:id="15" w:name="_Toc25851"/>
      <w:r>
        <w:rPr>
          <w:rFonts w:hint="eastAsia"/>
          <w:color w:val="auto"/>
          <w:lang w:val="en-US" w:eastAsia="zh-CN"/>
        </w:rPr>
        <w:t>六、申报方式</w:t>
      </w:r>
      <w:bookmarkEnd w:id="14"/>
      <w:bookmarkEnd w:id="15"/>
    </w:p>
    <w:p>
      <w:pPr>
        <w:pageBreakBefore w:val="0"/>
        <w:kinsoku/>
        <w:wordWrap/>
        <w:overflowPunct/>
        <w:topLinePunct w:val="0"/>
        <w:bidi w:val="0"/>
        <w:snapToGrid/>
        <w:spacing w:line="560" w:lineRule="exact"/>
        <w:textAlignment w:val="auto"/>
        <w:rPr>
          <w:rFonts w:hint="eastAsia"/>
          <w:color w:val="auto"/>
          <w:lang w:val="en-US" w:eastAsia="zh-CN"/>
        </w:rPr>
      </w:pPr>
      <w:r>
        <w:rPr>
          <w:rFonts w:hint="eastAsia" w:ascii="仿宋_GB2312" w:hAnsi="仿宋_GB2312" w:eastAsia="仿宋_GB2312" w:cs="仿宋_GB2312"/>
          <w:color w:val="auto"/>
          <w:kern w:val="2"/>
          <w:sz w:val="32"/>
          <w:szCs w:val="32"/>
          <w:highlight w:val="none"/>
          <w:u w:val="none"/>
          <w:lang w:val="en-US" w:eastAsia="zh-CN" w:bidi="ar-SA"/>
        </w:rPr>
        <w:t>本次医用耗材带量采购产品信息申报和报价采取网上申报的方式进行，通过河南省医药集中采购平台线上进行(网址:http://ypnew.hnggzyjy.cn:9080/cms)。</w:t>
      </w:r>
      <w:r>
        <w:rPr>
          <w:rFonts w:hint="eastAsia"/>
          <w:color w:val="auto"/>
          <w:lang w:val="en-US" w:eastAsia="zh-CN"/>
        </w:rPr>
        <w:t>数字证书是企业网上申报的唯一标识，申报企业需在规定时间内使用数字证书登录河南省医药集中采购平台，进行企业信息维护、产品申报、资料提交等操作。通过资质审核的企业以数字证书方式登录平台进行产品报价、解密操作。</w:t>
      </w:r>
    </w:p>
    <w:p>
      <w:pPr>
        <w:pStyle w:val="4"/>
        <w:bidi w:val="0"/>
        <w:rPr>
          <w:rFonts w:hint="default"/>
          <w:lang w:val="en-US" w:eastAsia="zh-CN"/>
        </w:rPr>
      </w:pPr>
      <w:bookmarkStart w:id="16" w:name="_Toc11730"/>
      <w:bookmarkStart w:id="17" w:name="_Toc12253"/>
      <w:r>
        <w:rPr>
          <w:rFonts w:hint="eastAsia"/>
          <w:color w:val="auto"/>
          <w:lang w:val="en-US" w:eastAsia="zh-CN"/>
        </w:rPr>
        <w:t>七、</w:t>
      </w:r>
      <w:bookmarkEnd w:id="16"/>
      <w:bookmarkStart w:id="18" w:name="_Toc32223"/>
      <w:r>
        <w:rPr>
          <w:rFonts w:hint="eastAsia"/>
          <w:lang w:val="en-US" w:eastAsia="zh-CN"/>
        </w:rPr>
        <w:t>报价时间安排</w:t>
      </w:r>
      <w:bookmarkEnd w:id="17"/>
      <w:bookmarkEnd w:id="18"/>
    </w:p>
    <w:p>
      <w:pPr>
        <w:pStyle w:val="2"/>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模拟报价时间：11月22日（星期三）上午8：30-9：30</w:t>
      </w:r>
    </w:p>
    <w:p>
      <w:pPr>
        <w:pStyle w:val="2"/>
        <w:pageBreakBefore w:val="0"/>
        <w:kinsoku/>
        <w:wordWrap/>
        <w:overflowPunct/>
        <w:topLinePunct w:val="0"/>
        <w:bidi w:val="0"/>
        <w:snapToGrid/>
        <w:spacing w:line="600" w:lineRule="exact"/>
        <w:ind w:firstLine="640" w:firstLineChars="200"/>
        <w:jc w:val="both"/>
        <w:textAlignment w:val="auto"/>
        <w:rPr>
          <w:rFonts w:hint="eastAsia"/>
          <w:lang w:val="en-US" w:eastAsia="zh-CN"/>
        </w:rPr>
      </w:pPr>
      <w:r>
        <w:rPr>
          <w:rFonts w:hint="eastAsia" w:ascii="仿宋_GB2312" w:hAnsi="仿宋_GB2312" w:eastAsia="仿宋_GB2312" w:cs="仿宋_GB2312"/>
          <w:color w:val="auto"/>
          <w:kern w:val="2"/>
          <w:sz w:val="32"/>
          <w:szCs w:val="32"/>
          <w:highlight w:val="none"/>
          <w:u w:val="none"/>
          <w:lang w:val="en-US" w:eastAsia="zh-CN" w:bidi="ar-SA"/>
        </w:rPr>
        <w:t>模拟解密时间：11月22日（星期三）上午9：40-10：30</w:t>
      </w:r>
    </w:p>
    <w:p>
      <w:pPr>
        <w:pStyle w:val="2"/>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正式报价时间：11月28日（星期二）上午8：30-9：30</w:t>
      </w:r>
    </w:p>
    <w:p>
      <w:pPr>
        <w:pStyle w:val="2"/>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正式解密时间：11月28日（星期二）上午9：40-10：30</w:t>
      </w:r>
    </w:p>
    <w:p>
      <w:pPr>
        <w:pStyle w:val="2"/>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请相关企业做好议价谈判和价格纠偏准备，企业代表须携带本人身份证、法定代表人授权书（见附件2）参加。具体须议价谈判和价格纠偏的企业将于11月28日报价解密后电话进行通知，请被授权人保持通信畅通。</w:t>
      </w:r>
    </w:p>
    <w:p>
      <w:pPr>
        <w:pStyle w:val="2"/>
        <w:pageBreakBefore w:val="0"/>
        <w:kinsoku/>
        <w:wordWrap/>
        <w:overflowPunct/>
        <w:topLinePunct w:val="0"/>
        <w:bidi w:val="0"/>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议价谈判和价格纠偏时间：11月28日下午14：00-18：00</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议价谈判和价格纠偏地点：河南省公共资源交易中心（郑州</w:t>
      </w:r>
    </w:p>
    <w:p>
      <w:pPr>
        <w:pStyle w:val="2"/>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ascii="仿宋_GB2312" w:hAnsi="方正小标宋简体" w:eastAsia="仿宋_GB2312"/>
          <w:color w:val="auto"/>
          <w:sz w:val="32"/>
          <w:szCs w:val="32"/>
        </w:rPr>
      </w:pPr>
      <w:r>
        <w:rPr>
          <w:rFonts w:hint="eastAsia" w:ascii="仿宋_GB2312" w:hAnsi="仿宋_GB2312" w:eastAsia="仿宋_GB2312" w:cs="仿宋_GB2312"/>
          <w:color w:val="auto"/>
          <w:kern w:val="2"/>
          <w:sz w:val="32"/>
          <w:szCs w:val="32"/>
          <w:highlight w:val="none"/>
          <w:u w:val="none"/>
          <w:lang w:val="en-US" w:eastAsia="zh-CN" w:bidi="ar-SA"/>
        </w:rPr>
        <w:t>市金水区经二路纬四路交叉口）。</w:t>
      </w:r>
    </w:p>
    <w:p>
      <w:pPr>
        <w:pStyle w:val="4"/>
        <w:pageBreakBefore w:val="0"/>
        <w:kinsoku/>
        <w:wordWrap/>
        <w:overflowPunct/>
        <w:topLinePunct w:val="0"/>
        <w:bidi w:val="0"/>
        <w:snapToGrid/>
        <w:spacing w:line="560" w:lineRule="exact"/>
        <w:textAlignment w:val="auto"/>
        <w:rPr>
          <w:rFonts w:hint="eastAsia"/>
          <w:color w:val="auto"/>
          <w:lang w:val="en-US" w:eastAsia="zh-CN"/>
        </w:rPr>
      </w:pPr>
      <w:bookmarkStart w:id="19" w:name="_Toc9058"/>
      <w:bookmarkStart w:id="20" w:name="_Toc9760"/>
      <w:r>
        <w:rPr>
          <w:rFonts w:hint="eastAsia"/>
          <w:color w:val="auto"/>
          <w:lang w:val="en-US" w:eastAsia="zh-CN"/>
        </w:rPr>
        <w:t>八、其他</w:t>
      </w:r>
      <w:bookmarkEnd w:id="19"/>
      <w:bookmarkEnd w:id="2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（一）联盟采购办公室已通过自我审查的方式开展公平竞争审查,本次医用耗材集中带量采购相关文件不具有排除、限制竞争情形。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（二）联盟各地区按有关工作要求,制定确保中选产品质量、供应、使用以及医疗机构及时回款的配套措施。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（三）如本次集中带量采购相关工作需进行调整的，由联盟采购办公室另行通知。</w:t>
      </w:r>
    </w:p>
    <w:p>
      <w:pPr>
        <w:rPr>
          <w:rFonts w:hint="eastAsia"/>
          <w:color w:val="auto"/>
          <w:lang w:val="en-US" w:eastAsia="zh-CN"/>
        </w:rPr>
      </w:pPr>
      <w:r>
        <w:rPr>
          <w:rFonts w:hint="eastAsia"/>
          <w:color w:val="auto"/>
          <w:lang w:val="en-US" w:eastAsia="zh-CN"/>
        </w:rPr>
        <w:br w:type="page"/>
      </w:r>
    </w:p>
    <w:p>
      <w:pPr>
        <w:bidi w:val="0"/>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before="4680" w:beforeLines="1500" w:line="600" w:lineRule="exact"/>
        <w:ind w:firstLine="0" w:firstLineChars="0"/>
        <w:jc w:val="center"/>
        <w:textAlignment w:val="auto"/>
        <w:outlineLvl w:val="0"/>
        <w:rPr>
          <w:rFonts w:hint="eastAsia" w:ascii="方正小标宋简体" w:hAnsi="方正小标宋简体" w:eastAsia="方正小标宋简体" w:cs="方正小标宋简体"/>
          <w:bCs/>
          <w:color w:val="auto"/>
          <w:sz w:val="56"/>
          <w:szCs w:val="56"/>
          <w:lang w:val="en-US" w:eastAsia="zh-CN"/>
        </w:rPr>
      </w:pPr>
      <w:bookmarkStart w:id="21" w:name="_Toc15544"/>
      <w:bookmarkStart w:id="22" w:name="_Toc13"/>
      <w:r>
        <w:rPr>
          <w:rFonts w:hint="eastAsia" w:ascii="方正小标宋简体" w:hAnsi="方正小标宋简体" w:eastAsia="方正小标宋简体" w:cs="方正小标宋简体"/>
          <w:bCs/>
          <w:color w:val="auto"/>
          <w:sz w:val="56"/>
          <w:szCs w:val="56"/>
          <w:lang w:val="en-US" w:eastAsia="zh-CN"/>
        </w:rPr>
        <w:t>第二部分 申报企业须知</w:t>
      </w:r>
      <w:bookmarkEnd w:id="21"/>
      <w:bookmarkEnd w:id="22"/>
    </w:p>
    <w:p>
      <w:pPr>
        <w:rPr>
          <w:rFonts w:hint="eastAsia" w:ascii="方正小标宋简体" w:hAnsi="方正小标宋简体" w:eastAsia="方正小标宋简体" w:cs="方正小标宋简体"/>
          <w:bCs/>
          <w:color w:val="auto"/>
          <w:sz w:val="56"/>
          <w:szCs w:val="56"/>
          <w:lang w:val="en-US" w:eastAsia="zh-CN"/>
        </w:rPr>
      </w:pPr>
      <w:r>
        <w:rPr>
          <w:rFonts w:hint="eastAsia" w:ascii="方正小标宋简体" w:hAnsi="方正小标宋简体" w:eastAsia="方正小标宋简体" w:cs="方正小标宋简体"/>
          <w:bCs/>
          <w:color w:val="auto"/>
          <w:sz w:val="56"/>
          <w:szCs w:val="56"/>
          <w:lang w:val="en-US" w:eastAsia="zh-CN"/>
        </w:rPr>
        <w:br w:type="page"/>
      </w:r>
    </w:p>
    <w:p>
      <w:pPr>
        <w:pStyle w:val="4"/>
        <w:bidi w:val="0"/>
        <w:rPr>
          <w:rFonts w:hint="eastAsia"/>
          <w:lang w:val="en-US" w:eastAsia="zh-CN"/>
        </w:rPr>
      </w:pPr>
      <w:bookmarkStart w:id="23" w:name="_Toc12929"/>
      <w:bookmarkStart w:id="24" w:name="_Toc5143"/>
      <w:r>
        <w:rPr>
          <w:rFonts w:hint="eastAsia"/>
          <w:lang w:val="en-US" w:eastAsia="zh-CN"/>
        </w:rPr>
        <w:t>一、集中带量采购当事人</w:t>
      </w:r>
      <w:bookmarkEnd w:id="23"/>
      <w:bookmarkEnd w:id="24"/>
    </w:p>
    <w:p>
      <w:pPr>
        <w:pStyle w:val="5"/>
        <w:pageBreakBefore w:val="0"/>
        <w:widowControl w:val="0"/>
        <w:kinsoku/>
        <w:wordWrap/>
        <w:topLinePunct w:val="0"/>
        <w:bidi w:val="0"/>
        <w:adjustRightInd/>
        <w:snapToGrid/>
        <w:spacing w:line="560" w:lineRule="exact"/>
        <w:textAlignment w:val="auto"/>
        <w:rPr>
          <w:color w:val="auto"/>
        </w:rPr>
      </w:pPr>
      <w:r>
        <w:rPr>
          <w:color w:val="auto"/>
          <w:lang w:val="en-US" w:eastAsia="zh-CN"/>
        </w:rPr>
        <w:t>（一）申报企业</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r>
        <w:rPr>
          <w:color w:val="auto"/>
          <w:highlight w:val="none"/>
          <w:u w:val="none"/>
          <w:lang w:val="en-US" w:eastAsia="zh-CN"/>
        </w:rPr>
        <w:t>1.申报企业参加本次医用耗材</w:t>
      </w:r>
      <w:r>
        <w:rPr>
          <w:rFonts w:hint="eastAsia"/>
          <w:color w:val="auto"/>
          <w:highlight w:val="none"/>
          <w:u w:val="none"/>
          <w:lang w:val="en-US" w:eastAsia="zh-CN"/>
        </w:rPr>
        <w:t>联盟</w:t>
      </w:r>
      <w:r>
        <w:rPr>
          <w:color w:val="auto"/>
          <w:highlight w:val="none"/>
          <w:u w:val="none"/>
          <w:lang w:val="en-US" w:eastAsia="zh-CN"/>
        </w:rPr>
        <w:t>带量采购活动应当</w:t>
      </w:r>
      <w:r>
        <w:rPr>
          <w:rFonts w:hint="eastAsia"/>
          <w:color w:val="auto"/>
          <w:highlight w:val="none"/>
          <w:u w:val="none"/>
          <w:lang w:val="en-US" w:eastAsia="zh-CN"/>
        </w:rPr>
        <w:t>具备以下条件：</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r>
        <w:rPr>
          <w:rFonts w:hint="eastAsia"/>
          <w:color w:val="auto"/>
          <w:highlight w:val="none"/>
          <w:u w:val="none"/>
          <w:lang w:val="en-US" w:eastAsia="zh-CN"/>
        </w:rPr>
        <w:t>（1）具有履行采购协议必须具备的能力；</w:t>
      </w:r>
    </w:p>
    <w:p>
      <w:pPr>
        <w:keepNext w:val="0"/>
        <w:keepLines w:val="0"/>
        <w:pageBreakBefore w:val="0"/>
        <w:widowControl w:val="0"/>
        <w:kinsoku/>
        <w:wordWrap/>
        <w:overflowPunct w:val="0"/>
        <w:topLinePunct w:val="0"/>
        <w:autoSpaceDE w:val="0"/>
        <w:autoSpaceDN w:val="0"/>
        <w:bidi w:val="0"/>
        <w:adjustRightInd/>
        <w:snapToGrid/>
        <w:spacing w:line="600" w:lineRule="exact"/>
        <w:textAlignment w:val="auto"/>
        <w:rPr>
          <w:color w:val="auto"/>
          <w:highlight w:val="none"/>
          <w:u w:val="none"/>
        </w:rPr>
      </w:pPr>
      <w:r>
        <w:rPr>
          <w:rFonts w:hint="eastAsia"/>
          <w:color w:val="auto"/>
          <w:highlight w:val="none"/>
          <w:u w:val="none"/>
          <w:lang w:val="en-US" w:eastAsia="zh-CN"/>
        </w:rPr>
        <w:t>（2）申报企业和医疗器械注册人（代理人）未被列入当前《全国医药价格和招采失信企业风险警示名单》，未被联盟采购办公室列入当前“违规名单”；</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r>
        <w:rPr>
          <w:rFonts w:hint="eastAsia"/>
          <w:color w:val="auto"/>
          <w:highlight w:val="none"/>
          <w:u w:val="none"/>
          <w:lang w:val="en-US" w:eastAsia="zh-CN"/>
        </w:rPr>
        <w:t>（3）对申报产品的质量负责，一旦中选，作为供应保障的第一责任人，及时、足量按要求组织生产，并向配送企业发送中选产品，满足医疗机构临床使用需求；</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r>
        <w:rPr>
          <w:rFonts w:hint="eastAsia"/>
          <w:color w:val="auto"/>
          <w:highlight w:val="none"/>
          <w:u w:val="none"/>
          <w:lang w:val="en-US" w:eastAsia="zh-CN"/>
        </w:rPr>
        <w:t>2.申报企业应按照本采购文件的要求编制申报材料，申报材料应对本采购文件提出的要求和条件作出响应。</w:t>
      </w:r>
    </w:p>
    <w:p>
      <w:pPr>
        <w:pStyle w:val="5"/>
        <w:pageBreakBefore w:val="0"/>
        <w:widowControl w:val="0"/>
        <w:kinsoku/>
        <w:wordWrap/>
        <w:topLinePunct w:val="0"/>
        <w:bidi w:val="0"/>
        <w:adjustRightInd/>
        <w:snapToGrid/>
        <w:spacing w:line="560" w:lineRule="exact"/>
        <w:textAlignment w:val="auto"/>
        <w:rPr>
          <w:color w:val="auto"/>
        </w:rPr>
      </w:pPr>
      <w:r>
        <w:rPr>
          <w:rFonts w:hint="eastAsia"/>
          <w:color w:val="auto"/>
          <w:lang w:val="en-US" w:eastAsia="zh-CN"/>
        </w:rPr>
        <w:t>（二）其他要求</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bookmarkStart w:id="25" w:name="_Toc31991"/>
      <w:r>
        <w:rPr>
          <w:rFonts w:hint="eastAsia"/>
          <w:color w:val="auto"/>
          <w:highlight w:val="none"/>
          <w:u w:val="none"/>
          <w:lang w:val="en-US" w:eastAsia="zh-CN"/>
        </w:rPr>
        <w:t>1.若申报企业明显不具备申报资格中规定必须满足的全部要求，或涉嫌提供虚假证明材料的，一经确认，联盟采购办公室将视其为无效申报；情节严重的，列入“违规名单”，作出相应处置。</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r>
        <w:rPr>
          <w:rFonts w:hint="eastAsia"/>
          <w:color w:val="auto"/>
          <w:highlight w:val="none"/>
          <w:u w:val="none"/>
          <w:lang w:val="en-US" w:eastAsia="zh-CN"/>
        </w:rPr>
        <w:t>2.联盟采购办公室根据工作需要可对中选产品生产及中选产品质量进行调查（调查形式根据实际情况确定），中选企业应予以积极配合。</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r>
        <w:rPr>
          <w:rFonts w:hint="eastAsia"/>
          <w:color w:val="auto"/>
          <w:highlight w:val="none"/>
          <w:u w:val="none"/>
          <w:lang w:val="en-US" w:eastAsia="zh-CN"/>
        </w:rPr>
        <w:t>3.申报企业中选后，须按联盟地区采购要求签订采购协议。</w:t>
      </w:r>
    </w:p>
    <w:p>
      <w:pPr>
        <w:keepNext w:val="0"/>
        <w:keepLines w:val="0"/>
        <w:pageBreakBefore w:val="0"/>
        <w:widowControl w:val="0"/>
        <w:kinsoku/>
        <w:wordWrap/>
        <w:topLinePunct w:val="0"/>
        <w:bidi w:val="0"/>
        <w:adjustRightInd/>
        <w:snapToGrid/>
        <w:spacing w:line="600" w:lineRule="exact"/>
        <w:textAlignment w:val="auto"/>
        <w:rPr>
          <w:rFonts w:hint="default"/>
          <w:color w:val="auto"/>
          <w:highlight w:val="none"/>
          <w:u w:val="none"/>
          <w:lang w:val="en-US"/>
        </w:rPr>
      </w:pPr>
      <w:r>
        <w:rPr>
          <w:rFonts w:hint="eastAsia"/>
          <w:color w:val="auto"/>
          <w:highlight w:val="none"/>
          <w:u w:val="none"/>
          <w:lang w:val="en-US" w:eastAsia="zh-CN"/>
        </w:rPr>
        <w:t>4.在采购协议履行过程中，如遇国家政策调整等不可抗力，影响采购协议履行的，由签订采购协议各方协商解决。</w:t>
      </w:r>
    </w:p>
    <w:p>
      <w:pPr>
        <w:pStyle w:val="4"/>
        <w:pageBreakBefore w:val="0"/>
        <w:widowControl w:val="0"/>
        <w:kinsoku/>
        <w:wordWrap/>
        <w:topLinePunct w:val="0"/>
        <w:bidi w:val="0"/>
        <w:adjustRightInd/>
        <w:snapToGrid/>
        <w:spacing w:line="560" w:lineRule="exact"/>
        <w:textAlignment w:val="auto"/>
        <w:rPr>
          <w:rFonts w:hint="eastAsia"/>
          <w:color w:val="auto"/>
          <w:lang w:val="en-US" w:eastAsia="zh-CN"/>
        </w:rPr>
      </w:pPr>
      <w:bookmarkStart w:id="26" w:name="_Toc10936"/>
      <w:r>
        <w:rPr>
          <w:rFonts w:hint="eastAsia"/>
          <w:color w:val="auto"/>
          <w:lang w:val="en-US" w:eastAsia="zh-CN"/>
        </w:rPr>
        <w:t>二、</w:t>
      </w:r>
      <w:bookmarkEnd w:id="25"/>
      <w:r>
        <w:rPr>
          <w:rFonts w:hint="eastAsia" w:ascii="黑体" w:hAnsi="黑体" w:eastAsia="黑体" w:cs="黑体"/>
          <w:highlight w:val="none"/>
          <w:u w:val="none"/>
          <w:lang w:val="en-US" w:eastAsia="zh-CN"/>
        </w:rPr>
        <w:t>申报</w:t>
      </w:r>
      <w:r>
        <w:rPr>
          <w:rFonts w:hint="eastAsia" w:cs="黑体"/>
          <w:highlight w:val="none"/>
          <w:u w:val="none"/>
          <w:lang w:val="en-US" w:eastAsia="zh-CN"/>
        </w:rPr>
        <w:t>信息提交</w:t>
      </w:r>
      <w:bookmarkEnd w:id="26"/>
    </w:p>
    <w:p>
      <w:pPr>
        <w:keepNext w:val="0"/>
        <w:keepLines w:val="0"/>
        <w:pageBreakBefore w:val="0"/>
        <w:widowControl w:val="0"/>
        <w:kinsoku/>
        <w:wordWrap/>
        <w:topLinePunct w:val="0"/>
        <w:bidi w:val="0"/>
        <w:snapToGrid/>
        <w:spacing w:line="600" w:lineRule="exact"/>
        <w:textAlignment w:val="auto"/>
        <w:rPr>
          <w:rFonts w:hint="eastAsia" w:ascii="楷体_GB2312" w:hAnsi="楷体_GB2312" w:eastAsia="楷体_GB2312" w:cs="楷体_GB2312"/>
          <w:highlight w:val="none"/>
          <w:u w:val="none"/>
          <w:lang w:val="en-US" w:eastAsia="zh-CN"/>
        </w:rPr>
      </w:pPr>
      <w:r>
        <w:rPr>
          <w:rFonts w:hint="eastAsia" w:ascii="楷体_GB2312" w:hAnsi="楷体_GB2312" w:eastAsia="楷体_GB2312" w:cs="楷体_GB2312"/>
          <w:highlight w:val="none"/>
          <w:u w:val="none"/>
          <w:lang w:val="en-US" w:eastAsia="zh-CN"/>
        </w:rPr>
        <w:t>（一）申报要求</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r>
        <w:rPr>
          <w:rFonts w:hint="eastAsia"/>
          <w:color w:val="auto"/>
          <w:highlight w:val="none"/>
          <w:u w:val="none"/>
          <w:lang w:val="en-US" w:eastAsia="zh-CN"/>
        </w:rPr>
        <w:t>申报企业应仔细阅读本采购文件全部内容，如实提供和填报有关资料，申报材料采用电子文档的方式在网上进行申报，申报材料需使用数字证书加盖电子印章后提交。网上填报时间截止后，不允许企业对其申报材料进行修改。如果由于申报企业没有按照采购文件规定提交完整材料，或者提交的申报材料没有对采购文件做出响应、申报材料内容不实等原因，影响中选结果的，由申报企业自行负责。</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color w:val="000000"/>
          <w:spacing w:val="0"/>
          <w:sz w:val="32"/>
          <w:szCs w:val="32"/>
          <w:highlight w:val="none"/>
          <w:u w:val="none"/>
          <w:lang w:eastAsia="zh-CN"/>
        </w:rPr>
      </w:pPr>
      <w:r>
        <w:rPr>
          <w:rFonts w:hint="eastAsia" w:ascii="楷体_GB2312" w:hAnsi="楷体_GB2312" w:eastAsia="楷体_GB2312" w:cs="楷体_GB2312"/>
          <w:color w:val="000000"/>
          <w:spacing w:val="0"/>
          <w:sz w:val="32"/>
          <w:szCs w:val="32"/>
          <w:highlight w:val="none"/>
          <w:u w:val="none"/>
        </w:rPr>
        <w:t>（</w:t>
      </w:r>
      <w:r>
        <w:rPr>
          <w:rFonts w:hint="eastAsia" w:ascii="楷体_GB2312" w:hAnsi="楷体_GB2312" w:eastAsia="楷体_GB2312" w:cs="楷体_GB2312"/>
          <w:color w:val="000000"/>
          <w:spacing w:val="0"/>
          <w:sz w:val="32"/>
          <w:szCs w:val="32"/>
          <w:highlight w:val="none"/>
          <w:u w:val="none"/>
          <w:lang w:eastAsia="zh-CN"/>
        </w:rPr>
        <w:t>二</w:t>
      </w:r>
      <w:r>
        <w:rPr>
          <w:rFonts w:hint="eastAsia" w:ascii="楷体_GB2312" w:hAnsi="楷体_GB2312" w:eastAsia="楷体_GB2312" w:cs="楷体_GB2312"/>
          <w:color w:val="000000"/>
          <w:spacing w:val="0"/>
          <w:sz w:val="32"/>
          <w:szCs w:val="32"/>
          <w:highlight w:val="none"/>
          <w:u w:val="none"/>
        </w:rPr>
        <w:t>）申报</w:t>
      </w:r>
      <w:r>
        <w:rPr>
          <w:rFonts w:hint="eastAsia" w:ascii="楷体_GB2312" w:hAnsi="楷体_GB2312" w:eastAsia="楷体_GB2312" w:cs="楷体_GB2312"/>
          <w:color w:val="000000"/>
          <w:spacing w:val="0"/>
          <w:sz w:val="32"/>
          <w:szCs w:val="32"/>
          <w:highlight w:val="none"/>
          <w:u w:val="none"/>
          <w:lang w:eastAsia="zh-CN"/>
        </w:rPr>
        <w:t>信息</w:t>
      </w:r>
    </w:p>
    <w:p>
      <w:pPr>
        <w:keepNext w:val="0"/>
        <w:keepLines w:val="0"/>
        <w:pageBreakBefore w:val="0"/>
        <w:widowControl w:val="0"/>
        <w:kinsoku/>
        <w:wordWrap/>
        <w:topLinePunct w:val="0"/>
        <w:bidi w:val="0"/>
        <w:adjustRightInd/>
        <w:snapToGrid/>
        <w:spacing w:line="600" w:lineRule="exact"/>
        <w:textAlignment w:val="auto"/>
        <w:rPr>
          <w:color w:val="auto"/>
          <w:highlight w:val="none"/>
          <w:u w:val="none"/>
        </w:rPr>
      </w:pPr>
      <w:r>
        <w:rPr>
          <w:rFonts w:hint="eastAsia"/>
          <w:color w:val="auto"/>
          <w:highlight w:val="none"/>
          <w:u w:val="none"/>
          <w:lang w:val="en-US" w:eastAsia="zh-CN"/>
        </w:rPr>
        <w:t>按采购文件中提供的申报材料格式要求，网上提交申报材料并均需加盖企业公章，具体如下：</w:t>
      </w:r>
    </w:p>
    <w:p>
      <w:pPr>
        <w:keepNext w:val="0"/>
        <w:keepLines w:val="0"/>
        <w:pageBreakBefore w:val="0"/>
        <w:widowControl w:val="0"/>
        <w:numPr>
          <w:ilvl w:val="0"/>
          <w:numId w:val="0"/>
        </w:numPr>
        <w:kinsoku/>
        <w:wordWrap/>
        <w:topLinePunct w:val="0"/>
        <w:bidi w:val="0"/>
        <w:adjustRightInd/>
        <w:snapToGrid/>
        <w:spacing w:line="600" w:lineRule="exact"/>
        <w:ind w:firstLine="640" w:firstLineChars="200"/>
        <w:jc w:val="both"/>
        <w:textAlignment w:val="auto"/>
        <w:rPr>
          <w:rFonts w:hint="default"/>
          <w:color w:val="auto"/>
          <w:highlight w:val="none"/>
          <w:u w:val="none"/>
          <w:lang w:val="en-US" w:eastAsia="zh-CN"/>
        </w:rPr>
      </w:pPr>
      <w:r>
        <w:rPr>
          <w:rFonts w:hint="eastAsia"/>
          <w:color w:val="auto"/>
          <w:highlight w:val="none"/>
          <w:u w:val="none"/>
          <w:lang w:val="en-US" w:eastAsia="zh-CN"/>
        </w:rPr>
        <w:t>1.</w:t>
      </w:r>
      <w:r>
        <w:rPr>
          <w:rFonts w:hint="default"/>
          <w:color w:val="auto"/>
          <w:highlight w:val="none"/>
          <w:u w:val="none"/>
          <w:lang w:val="en-US" w:eastAsia="zh-CN"/>
        </w:rPr>
        <w:t>《</w:t>
      </w:r>
      <w:r>
        <w:rPr>
          <w:rFonts w:hint="eastAsia"/>
          <w:color w:val="auto"/>
          <w:highlight w:val="none"/>
          <w:u w:val="none"/>
          <w:lang w:val="en-US" w:eastAsia="zh-CN"/>
        </w:rPr>
        <w:t>医用耗材省际联盟</w:t>
      </w:r>
      <w:r>
        <w:rPr>
          <w:rFonts w:hint="default"/>
          <w:color w:val="auto"/>
          <w:highlight w:val="none"/>
          <w:u w:val="none"/>
          <w:lang w:val="en-US" w:eastAsia="zh-CN"/>
        </w:rPr>
        <w:t>采购申报函》（见附件1）。</w:t>
      </w:r>
    </w:p>
    <w:p>
      <w:pPr>
        <w:keepNext w:val="0"/>
        <w:keepLines w:val="0"/>
        <w:pageBreakBefore w:val="0"/>
        <w:widowControl w:val="0"/>
        <w:numPr>
          <w:ilvl w:val="0"/>
          <w:numId w:val="0"/>
        </w:numPr>
        <w:kinsoku/>
        <w:wordWrap/>
        <w:topLinePunct w:val="0"/>
        <w:bidi w:val="0"/>
        <w:adjustRightInd/>
        <w:snapToGrid/>
        <w:spacing w:line="600" w:lineRule="exact"/>
        <w:ind w:firstLine="640" w:firstLineChars="200"/>
        <w:jc w:val="both"/>
        <w:textAlignment w:val="auto"/>
        <w:rPr>
          <w:rFonts w:hint="default"/>
          <w:color w:val="auto"/>
          <w:highlight w:val="none"/>
          <w:u w:val="none"/>
          <w:lang w:val="en-US" w:eastAsia="zh-CN"/>
        </w:rPr>
      </w:pPr>
      <w:r>
        <w:rPr>
          <w:rFonts w:hint="eastAsia"/>
          <w:color w:val="auto"/>
          <w:highlight w:val="none"/>
          <w:u w:val="none"/>
          <w:lang w:val="en-US" w:eastAsia="zh-CN"/>
        </w:rPr>
        <w:t>2.</w:t>
      </w:r>
      <w:r>
        <w:rPr>
          <w:rFonts w:hint="default"/>
          <w:color w:val="auto"/>
          <w:highlight w:val="none"/>
          <w:u w:val="none"/>
          <w:lang w:val="en-US" w:eastAsia="zh-CN"/>
        </w:rPr>
        <w:t>《法定代表人授权书》（见附件2）。</w:t>
      </w:r>
    </w:p>
    <w:p>
      <w:pPr>
        <w:keepNext w:val="0"/>
        <w:keepLines w:val="0"/>
        <w:pageBreakBefore w:val="0"/>
        <w:widowControl w:val="0"/>
        <w:numPr>
          <w:ilvl w:val="0"/>
          <w:numId w:val="0"/>
        </w:numPr>
        <w:kinsoku/>
        <w:wordWrap/>
        <w:topLinePunct w:val="0"/>
        <w:bidi w:val="0"/>
        <w:adjustRightInd/>
        <w:snapToGrid/>
        <w:spacing w:line="600" w:lineRule="exact"/>
        <w:ind w:firstLine="640" w:firstLineChars="200"/>
        <w:jc w:val="both"/>
        <w:textAlignment w:val="auto"/>
        <w:rPr>
          <w:rFonts w:hint="eastAsia"/>
          <w:color w:val="auto"/>
          <w:highlight w:val="none"/>
          <w:u w:val="none"/>
          <w:lang w:val="en-US" w:eastAsia="zh-CN"/>
        </w:rPr>
      </w:pPr>
      <w:r>
        <w:rPr>
          <w:rFonts w:hint="eastAsia"/>
          <w:color w:val="auto"/>
          <w:highlight w:val="none"/>
          <w:u w:val="none"/>
          <w:lang w:val="en-US" w:eastAsia="zh-CN"/>
        </w:rPr>
        <w:t>3.申报产品价格（具体见操作规范和报价系统）</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spacing w:val="0"/>
          <w:kern w:val="2"/>
          <w:sz w:val="32"/>
          <w:szCs w:val="32"/>
          <w:highlight w:val="none"/>
          <w:u w:val="none"/>
          <w:lang w:val="en-US" w:eastAsia="zh-CN" w:bidi="ar-SA"/>
        </w:rPr>
      </w:pPr>
      <w:r>
        <w:rPr>
          <w:rFonts w:hint="eastAsia" w:ascii="仿宋_GB2312" w:hAnsi="仿宋_GB2312" w:eastAsia="仿宋_GB2312" w:cs="仿宋_GB2312"/>
          <w:color w:val="000000"/>
          <w:spacing w:val="0"/>
          <w:kern w:val="2"/>
          <w:sz w:val="32"/>
          <w:szCs w:val="32"/>
          <w:highlight w:val="none"/>
          <w:u w:val="none"/>
          <w:lang w:val="en-US" w:eastAsia="zh-CN" w:bidi="ar-SA"/>
        </w:rPr>
        <w:t>各生产企业在规定时间内使用数字证书登录河南省公共资源交易中心“河南省医药集中采购平台”，按照操作规范提交《医用耗材省际联盟采购申报函》、《法定代表人授权书》和申报产品价格。附件1和附件2未按规定提交的，将无法进行报价，并视为无效申报企业。</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000000"/>
          <w:spacing w:val="0"/>
          <w:sz w:val="32"/>
          <w:szCs w:val="32"/>
          <w:highlight w:val="none"/>
          <w:u w:val="none"/>
        </w:rPr>
      </w:pPr>
      <w:r>
        <w:rPr>
          <w:rFonts w:hint="eastAsia" w:ascii="仿宋_GB2312" w:hAnsi="仿宋_GB2312" w:eastAsia="仿宋_GB2312" w:cs="仿宋_GB2312"/>
          <w:color w:val="000000"/>
          <w:spacing w:val="0"/>
          <w:sz w:val="32"/>
          <w:szCs w:val="32"/>
          <w:highlight w:val="none"/>
          <w:u w:val="none"/>
        </w:rPr>
        <w:t>医疗器械注册人非同一实际控制人，且不存在控股关系的，如委托同一家企业申报，应分别提交</w:t>
      </w:r>
      <w:r>
        <w:rPr>
          <w:rFonts w:hint="eastAsia" w:cs="仿宋_GB2312"/>
          <w:color w:val="000000"/>
          <w:spacing w:val="0"/>
          <w:sz w:val="32"/>
          <w:szCs w:val="32"/>
          <w:highlight w:val="none"/>
          <w:u w:val="none"/>
          <w:lang w:eastAsia="zh-CN"/>
        </w:rPr>
        <w:t>申报信息</w:t>
      </w:r>
      <w:r>
        <w:rPr>
          <w:rFonts w:hint="eastAsia" w:ascii="仿宋_GB2312" w:hAnsi="仿宋_GB2312" w:eastAsia="仿宋_GB2312" w:cs="仿宋_GB2312"/>
          <w:color w:val="000000"/>
          <w:spacing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color w:val="000000"/>
          <w:spacing w:val="0"/>
          <w:sz w:val="32"/>
          <w:szCs w:val="32"/>
          <w:highlight w:val="none"/>
          <w:u w:val="none"/>
        </w:rPr>
      </w:pPr>
      <w:r>
        <w:rPr>
          <w:rFonts w:hint="eastAsia" w:ascii="楷体_GB2312" w:hAnsi="楷体_GB2312" w:eastAsia="楷体_GB2312" w:cs="楷体_GB2312"/>
          <w:color w:val="000000"/>
          <w:spacing w:val="0"/>
          <w:sz w:val="32"/>
          <w:szCs w:val="32"/>
          <w:highlight w:val="none"/>
          <w:u w:val="none"/>
        </w:rPr>
        <w:t>（</w:t>
      </w:r>
      <w:r>
        <w:rPr>
          <w:rFonts w:hint="eastAsia" w:ascii="楷体_GB2312" w:hAnsi="楷体_GB2312" w:eastAsia="楷体_GB2312" w:cs="楷体_GB2312"/>
          <w:color w:val="000000"/>
          <w:spacing w:val="0"/>
          <w:sz w:val="32"/>
          <w:szCs w:val="32"/>
          <w:highlight w:val="none"/>
          <w:u w:val="none"/>
          <w:lang w:eastAsia="zh-CN"/>
        </w:rPr>
        <w:t>三</w:t>
      </w:r>
      <w:r>
        <w:rPr>
          <w:rFonts w:hint="eastAsia" w:ascii="楷体_GB2312" w:hAnsi="楷体_GB2312" w:eastAsia="楷体_GB2312" w:cs="楷体_GB2312"/>
          <w:color w:val="000000"/>
          <w:spacing w:val="0"/>
          <w:sz w:val="32"/>
          <w:szCs w:val="32"/>
          <w:highlight w:val="none"/>
          <w:u w:val="none"/>
        </w:rPr>
        <w:t>）申报</w:t>
      </w:r>
      <w:r>
        <w:rPr>
          <w:rFonts w:hint="eastAsia" w:ascii="楷体_GB2312" w:hAnsi="楷体_GB2312" w:eastAsia="楷体_GB2312" w:cs="楷体_GB2312"/>
          <w:color w:val="000000"/>
          <w:spacing w:val="0"/>
          <w:sz w:val="32"/>
          <w:szCs w:val="32"/>
          <w:highlight w:val="none"/>
          <w:u w:val="none"/>
          <w:lang w:eastAsia="zh-CN"/>
        </w:rPr>
        <w:t>信息提</w:t>
      </w:r>
      <w:r>
        <w:rPr>
          <w:rFonts w:hint="eastAsia" w:ascii="楷体_GB2312" w:hAnsi="楷体_GB2312" w:eastAsia="楷体_GB2312" w:cs="楷体_GB2312"/>
          <w:color w:val="000000"/>
          <w:spacing w:val="0"/>
          <w:sz w:val="32"/>
          <w:szCs w:val="32"/>
          <w:highlight w:val="none"/>
          <w:u w:val="none"/>
        </w:rPr>
        <w:t>交要求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000000"/>
          <w:spacing w:val="0"/>
          <w:sz w:val="32"/>
          <w:szCs w:val="32"/>
          <w:highlight w:val="none"/>
          <w:u w:val="none"/>
        </w:rPr>
      </w:pPr>
      <w:r>
        <w:rPr>
          <w:rFonts w:hint="eastAsia" w:ascii="仿宋_GB2312" w:hAnsi="仿宋_GB2312" w:eastAsia="仿宋_GB2312" w:cs="仿宋_GB2312"/>
          <w:color w:val="000000"/>
          <w:spacing w:val="0"/>
          <w:sz w:val="32"/>
          <w:szCs w:val="32"/>
          <w:highlight w:val="none"/>
          <w:u w:val="none"/>
        </w:rPr>
        <w:t>1.申报企业应</w:t>
      </w:r>
      <w:r>
        <w:rPr>
          <w:rFonts w:hint="eastAsia" w:cs="仿宋_GB2312"/>
          <w:color w:val="000000"/>
          <w:spacing w:val="0"/>
          <w:sz w:val="32"/>
          <w:szCs w:val="32"/>
          <w:highlight w:val="none"/>
          <w:u w:val="none"/>
          <w:lang w:eastAsia="zh-CN"/>
        </w:rPr>
        <w:t>按</w:t>
      </w:r>
      <w:r>
        <w:rPr>
          <w:rFonts w:hint="eastAsia" w:ascii="仿宋_GB2312" w:hAnsi="仿宋_GB2312" w:eastAsia="仿宋_GB2312" w:cs="仿宋_GB2312"/>
          <w:color w:val="000000"/>
          <w:spacing w:val="0"/>
          <w:sz w:val="32"/>
          <w:szCs w:val="32"/>
          <w:highlight w:val="none"/>
          <w:u w:val="none"/>
        </w:rPr>
        <w:t>规定时间和</w:t>
      </w:r>
      <w:r>
        <w:rPr>
          <w:rFonts w:hint="eastAsia" w:cs="仿宋_GB2312"/>
          <w:color w:val="000000"/>
          <w:spacing w:val="0"/>
          <w:sz w:val="32"/>
          <w:szCs w:val="32"/>
          <w:highlight w:val="none"/>
          <w:u w:val="none"/>
          <w:lang w:eastAsia="zh-CN"/>
        </w:rPr>
        <w:t>流程</w:t>
      </w:r>
      <w:r>
        <w:rPr>
          <w:rFonts w:hint="eastAsia" w:ascii="仿宋_GB2312" w:hAnsi="仿宋_GB2312" w:eastAsia="仿宋_GB2312" w:cs="仿宋_GB2312"/>
          <w:color w:val="000000"/>
          <w:spacing w:val="0"/>
          <w:sz w:val="32"/>
          <w:szCs w:val="32"/>
          <w:highlight w:val="none"/>
          <w:u w:val="none"/>
        </w:rPr>
        <w:t>递交申报材料。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2.</w:t>
      </w:r>
      <w:r>
        <w:rPr>
          <w:rFonts w:hint="eastAsia" w:cs="仿宋_GB2312"/>
          <w:color w:val="000000"/>
          <w:spacing w:val="0"/>
          <w:sz w:val="32"/>
          <w:szCs w:val="32"/>
          <w:highlight w:val="none"/>
          <w:lang w:val="en-US" w:eastAsia="zh-CN"/>
        </w:rPr>
        <w:t>联盟</w:t>
      </w:r>
      <w:r>
        <w:rPr>
          <w:rFonts w:hint="eastAsia" w:ascii="仿宋_GB2312" w:hAnsi="仿宋_GB2312" w:eastAsia="仿宋_GB2312" w:cs="仿宋_GB2312"/>
          <w:color w:val="000000"/>
          <w:spacing w:val="0"/>
          <w:sz w:val="32"/>
          <w:szCs w:val="32"/>
          <w:highlight w:val="none"/>
        </w:rPr>
        <w:t>采购办公室拒绝接收在申报截止时间后</w:t>
      </w:r>
      <w:r>
        <w:rPr>
          <w:rFonts w:hint="eastAsia" w:cs="仿宋_GB2312"/>
          <w:color w:val="000000"/>
          <w:spacing w:val="0"/>
          <w:sz w:val="32"/>
          <w:szCs w:val="32"/>
          <w:highlight w:val="none"/>
          <w:lang w:eastAsia="zh-CN"/>
        </w:rPr>
        <w:t>提交</w:t>
      </w:r>
      <w:r>
        <w:rPr>
          <w:rFonts w:hint="eastAsia" w:ascii="仿宋_GB2312" w:hAnsi="仿宋_GB2312" w:eastAsia="仿宋_GB2312" w:cs="仿宋_GB2312"/>
          <w:color w:val="000000"/>
          <w:spacing w:val="0"/>
          <w:sz w:val="32"/>
          <w:szCs w:val="32"/>
          <w:highlight w:val="none"/>
        </w:rPr>
        <w:t>的任何申报及申报材料。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000000"/>
          <w:spacing w:val="0"/>
          <w:sz w:val="32"/>
          <w:szCs w:val="32"/>
          <w:highlight w:val="none"/>
          <w:u w:val="none"/>
        </w:rPr>
      </w:pPr>
      <w:r>
        <w:rPr>
          <w:rFonts w:hint="eastAsia" w:ascii="仿宋_GB2312" w:hAnsi="仿宋_GB2312" w:eastAsia="仿宋_GB2312" w:cs="仿宋_GB2312"/>
          <w:color w:val="000000"/>
          <w:spacing w:val="0"/>
          <w:sz w:val="32"/>
          <w:szCs w:val="32"/>
          <w:highlight w:val="none"/>
          <w:u w:val="none"/>
        </w:rPr>
        <w:t>3.申报时间截止后，申报企业不得对申报材料做任何修改。</w:t>
      </w:r>
    </w:p>
    <w:p>
      <w:pPr>
        <w:pStyle w:val="2"/>
        <w:bidi w:val="0"/>
        <w:ind w:firstLine="640" w:firstLineChars="200"/>
        <w:rPr>
          <w:rFonts w:hint="eastAsia" w:ascii="仿宋_GB2312" w:hAnsi="仿宋_GB2312" w:eastAsia="楷体_GB2312" w:cstheme="minorBidi"/>
          <w:color w:val="auto"/>
          <w:kern w:val="2"/>
          <w:sz w:val="32"/>
          <w:szCs w:val="24"/>
          <w:lang w:val="en-US" w:eastAsia="zh-CN" w:bidi="ar-SA"/>
        </w:rPr>
      </w:pPr>
      <w:r>
        <w:rPr>
          <w:rFonts w:hint="eastAsia" w:ascii="仿宋_GB2312" w:hAnsi="仿宋_GB2312" w:eastAsia="楷体_GB2312" w:cstheme="minorBidi"/>
          <w:color w:val="auto"/>
          <w:kern w:val="2"/>
          <w:sz w:val="32"/>
          <w:szCs w:val="24"/>
          <w:lang w:val="en-US" w:eastAsia="zh-CN" w:bidi="ar-SA"/>
        </w:rPr>
        <w:t>（四）申报报价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sz w:val="32"/>
          <w:szCs w:val="32"/>
          <w:highlight w:val="none"/>
          <w:u w:val="none"/>
        </w:rPr>
      </w:pPr>
      <w:bookmarkStart w:id="27" w:name="_Toc10612"/>
      <w:r>
        <w:rPr>
          <w:rFonts w:hint="eastAsia"/>
          <w:color w:val="auto"/>
          <w:lang w:val="en-US" w:eastAsia="zh-CN"/>
        </w:rPr>
        <w:t>1.</w:t>
      </w:r>
      <w:r>
        <w:rPr>
          <w:rFonts w:hint="eastAsia"/>
          <w:color w:val="auto"/>
          <w:sz w:val="32"/>
          <w:szCs w:val="32"/>
          <w:highlight w:val="none"/>
          <w:u w:val="none"/>
        </w:rPr>
        <w:t>申报企业按照</w:t>
      </w:r>
      <w:r>
        <w:rPr>
          <w:rFonts w:hint="eastAsia"/>
          <w:color w:val="auto"/>
          <w:sz w:val="32"/>
          <w:szCs w:val="32"/>
          <w:highlight w:val="none"/>
          <w:u w:val="none"/>
          <w:lang w:eastAsia="zh-CN"/>
        </w:rPr>
        <w:t>各二级目录</w:t>
      </w:r>
      <w:r>
        <w:rPr>
          <w:rFonts w:hint="eastAsia"/>
          <w:color w:val="auto"/>
          <w:sz w:val="32"/>
          <w:szCs w:val="32"/>
          <w:highlight w:val="none"/>
          <w:u w:val="none"/>
        </w:rPr>
        <w:t>的最小竞价单位</w:t>
      </w:r>
      <w:r>
        <w:rPr>
          <w:rFonts w:hint="eastAsia"/>
          <w:color w:val="auto"/>
          <w:sz w:val="32"/>
          <w:szCs w:val="32"/>
          <w:highlight w:val="none"/>
          <w:u w:val="none"/>
          <w:lang w:eastAsia="zh-CN"/>
        </w:rPr>
        <w:t>申报价格</w:t>
      </w:r>
      <w:r>
        <w:rPr>
          <w:rFonts w:hint="eastAsia"/>
          <w:color w:val="auto"/>
          <w:sz w:val="32"/>
          <w:szCs w:val="32"/>
          <w:highlight w:val="none"/>
          <w:u w:val="none"/>
        </w:rPr>
        <w:t>，</w:t>
      </w:r>
      <w:bookmarkStart w:id="28" w:name="_Hlk121316927"/>
      <w:r>
        <w:rPr>
          <w:rFonts w:hint="eastAsia"/>
          <w:color w:val="auto"/>
          <w:sz w:val="32"/>
          <w:szCs w:val="32"/>
          <w:highlight w:val="none"/>
          <w:u w:val="none"/>
        </w:rPr>
        <w:t>根据拟中选规则产生拟中选</w:t>
      </w:r>
      <w:r>
        <w:rPr>
          <w:rFonts w:hint="eastAsia"/>
          <w:color w:val="auto"/>
          <w:sz w:val="32"/>
          <w:szCs w:val="32"/>
          <w:highlight w:val="none"/>
          <w:u w:val="none"/>
          <w:lang w:eastAsia="zh-CN"/>
        </w:rPr>
        <w:t>结果</w:t>
      </w:r>
      <w:r>
        <w:rPr>
          <w:rFonts w:hint="eastAsia"/>
          <w:color w:val="auto"/>
          <w:sz w:val="32"/>
          <w:szCs w:val="32"/>
          <w:highlight w:val="none"/>
          <w:u w:val="none"/>
        </w:rPr>
        <w:t>。</w:t>
      </w:r>
      <w:bookmarkEnd w:id="28"/>
    </w:p>
    <w:p>
      <w:pPr>
        <w:keepNext w:val="0"/>
        <w:keepLines w:val="0"/>
        <w:pageBreakBefore w:val="0"/>
        <w:widowControl w:val="0"/>
        <w:kinsoku/>
        <w:wordWrap/>
        <w:overflowPunct/>
        <w:topLinePunct w:val="0"/>
        <w:bidi w:val="0"/>
        <w:snapToGrid/>
        <w:spacing w:line="600" w:lineRule="exact"/>
        <w:ind w:firstLine="640"/>
        <w:jc w:val="both"/>
        <w:textAlignment w:val="auto"/>
        <w:rPr>
          <w:rFonts w:hint="eastAsia" w:cs="仿宋_GB2312"/>
          <w:color w:val="auto"/>
          <w:szCs w:val="32"/>
          <w:highlight w:val="none"/>
          <w:u w:val="none"/>
        </w:rPr>
      </w:pPr>
      <w:r>
        <w:rPr>
          <w:rFonts w:hint="eastAsia"/>
          <w:color w:val="auto"/>
          <w:lang w:val="en-US" w:eastAsia="zh-CN"/>
        </w:rPr>
        <w:t>2.</w:t>
      </w:r>
      <w:r>
        <w:rPr>
          <w:rFonts w:hint="eastAsia" w:cs="仿宋_GB2312"/>
          <w:color w:val="auto"/>
          <w:szCs w:val="32"/>
          <w:highlight w:val="none"/>
          <w:u w:val="none"/>
        </w:rPr>
        <w:t>企业申报价以人民币填报，单位为“元”，</w:t>
      </w:r>
      <w:r>
        <w:rPr>
          <w:rFonts w:hint="eastAsia" w:cs="仿宋_GB2312"/>
          <w:color w:val="auto"/>
          <w:szCs w:val="32"/>
          <w:highlight w:val="none"/>
          <w:u w:val="none"/>
          <w:lang w:eastAsia="zh-CN"/>
        </w:rPr>
        <w:t>至多</w:t>
      </w:r>
      <w:r>
        <w:rPr>
          <w:rFonts w:hint="eastAsia" w:cs="仿宋_GB2312"/>
          <w:color w:val="auto"/>
          <w:szCs w:val="32"/>
          <w:highlight w:val="none"/>
          <w:u w:val="none"/>
        </w:rPr>
        <w:t>保留</w:t>
      </w:r>
      <w:r>
        <w:rPr>
          <w:rFonts w:hint="eastAsia" w:cs="仿宋_GB2312"/>
          <w:color w:val="auto"/>
          <w:szCs w:val="32"/>
          <w:highlight w:val="none"/>
          <w:u w:val="none"/>
          <w:lang w:eastAsia="zh-CN"/>
        </w:rPr>
        <w:t>两位</w:t>
      </w:r>
      <w:r>
        <w:rPr>
          <w:rFonts w:hint="eastAsia" w:cs="仿宋_GB2312"/>
          <w:color w:val="auto"/>
          <w:szCs w:val="32"/>
          <w:highlight w:val="none"/>
          <w:u w:val="none"/>
        </w:rPr>
        <w:t>小数。申报企业应在规定时间内进行价格信息申报。未在规定时间内完成报价</w:t>
      </w:r>
      <w:r>
        <w:rPr>
          <w:rFonts w:hint="eastAsia" w:cs="仿宋_GB2312"/>
          <w:color w:val="auto"/>
          <w:szCs w:val="32"/>
          <w:highlight w:val="none"/>
          <w:u w:val="none"/>
          <w:lang w:eastAsia="zh-CN"/>
        </w:rPr>
        <w:t>解密，</w:t>
      </w:r>
      <w:r>
        <w:rPr>
          <w:rFonts w:hint="eastAsia" w:cs="仿宋_GB2312"/>
          <w:color w:val="auto"/>
          <w:szCs w:val="32"/>
          <w:highlight w:val="none"/>
          <w:u w:val="none"/>
          <w:lang w:val="en-US" w:eastAsia="zh-CN"/>
        </w:rPr>
        <w:t>或者报价</w:t>
      </w:r>
      <w:r>
        <w:rPr>
          <w:rFonts w:hint="eastAsia" w:cs="仿宋_GB2312"/>
          <w:color w:val="auto"/>
          <w:szCs w:val="32"/>
          <w:highlight w:val="none"/>
          <w:u w:val="none"/>
        </w:rPr>
        <w:t>为零</w:t>
      </w:r>
      <w:r>
        <w:rPr>
          <w:rFonts w:hint="eastAsia" w:cs="仿宋_GB2312"/>
          <w:color w:val="auto"/>
          <w:szCs w:val="32"/>
          <w:highlight w:val="none"/>
          <w:u w:val="none"/>
          <w:lang w:eastAsia="zh-CN"/>
        </w:rPr>
        <w:t>，</w:t>
      </w:r>
      <w:r>
        <w:rPr>
          <w:rFonts w:hint="eastAsia" w:cs="仿宋_GB2312"/>
          <w:color w:val="auto"/>
          <w:szCs w:val="32"/>
          <w:highlight w:val="none"/>
          <w:u w:val="none"/>
          <w:lang w:val="en-US" w:eastAsia="zh-CN"/>
        </w:rPr>
        <w:t>以及报价高于同目录分组</w:t>
      </w:r>
      <w:r>
        <w:rPr>
          <w:rFonts w:hint="eastAsia" w:ascii="仿宋_GB2312" w:hAnsi="仿宋_GB2312" w:eastAsia="仿宋_GB2312" w:cs="仿宋_GB2312"/>
          <w:color w:val="auto"/>
          <w:spacing w:val="0"/>
          <w:sz w:val="32"/>
          <w:highlight w:val="none"/>
          <w:u w:val="none"/>
        </w:rPr>
        <w:t>最高有效申报价</w:t>
      </w:r>
      <w:r>
        <w:rPr>
          <w:rFonts w:hint="eastAsia" w:cs="仿宋_GB2312"/>
          <w:color w:val="auto"/>
          <w:szCs w:val="32"/>
          <w:highlight w:val="none"/>
          <w:u w:val="none"/>
          <w:lang w:val="en-US" w:eastAsia="zh-CN"/>
        </w:rPr>
        <w:t>的</w:t>
      </w:r>
      <w:r>
        <w:rPr>
          <w:rFonts w:hint="eastAsia" w:cs="仿宋_GB2312"/>
          <w:color w:val="auto"/>
          <w:szCs w:val="32"/>
          <w:highlight w:val="none"/>
          <w:u w:val="none"/>
          <w:lang w:eastAsia="zh-CN"/>
        </w:rPr>
        <w:t>，视为无效申报企业</w:t>
      </w:r>
      <w:r>
        <w:rPr>
          <w:rFonts w:hint="eastAsia" w:cs="仿宋_GB2312"/>
          <w:color w:val="auto"/>
          <w:szCs w:val="32"/>
          <w:highlight w:val="none"/>
          <w:u w:val="none"/>
        </w:rPr>
        <w:t>。同时，企业报价不得高于本企业在各省级医药采购平台上最低挂网（中标）价、已开展集中带量采购的中选价格。</w:t>
      </w:r>
    </w:p>
    <w:p>
      <w:pPr>
        <w:keepNext w:val="0"/>
        <w:keepLines w:val="0"/>
        <w:pageBreakBefore w:val="0"/>
        <w:widowControl w:val="0"/>
        <w:kinsoku/>
        <w:wordWrap/>
        <w:overflowPunct/>
        <w:topLinePunct w:val="0"/>
        <w:bidi w:val="0"/>
        <w:snapToGrid/>
        <w:spacing w:line="600" w:lineRule="exact"/>
        <w:ind w:firstLine="640"/>
        <w:jc w:val="both"/>
        <w:textAlignment w:val="auto"/>
        <w:rPr>
          <w:rFonts w:hint="eastAsia" w:cs="仿宋_GB2312"/>
          <w:color w:val="auto"/>
          <w:szCs w:val="32"/>
          <w:highlight w:val="none"/>
          <w:u w:val="none"/>
          <w:lang w:val="en-US" w:eastAsia="zh-CN"/>
        </w:rPr>
      </w:pPr>
      <w:r>
        <w:rPr>
          <w:rFonts w:hint="eastAsia" w:cs="仿宋_GB2312"/>
          <w:color w:val="auto"/>
          <w:szCs w:val="32"/>
          <w:highlight w:val="none"/>
          <w:u w:val="none"/>
          <w:lang w:val="en-US" w:eastAsia="zh-CN"/>
        </w:rPr>
        <w:t>3.申报产品的申报价为满足临床使用的实际供应价，应包含税费、产品正常损耗、相关配件和配送等所有费用。</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eastAsia" w:cs="仿宋_GB2312"/>
          <w:color w:val="auto"/>
          <w:szCs w:val="32"/>
          <w:highlight w:val="none"/>
          <w:u w:val="none"/>
        </w:rPr>
      </w:pPr>
      <w:r>
        <w:rPr>
          <w:rFonts w:hint="eastAsia" w:cs="仿宋_GB2312"/>
          <w:color w:val="auto"/>
          <w:szCs w:val="32"/>
          <w:highlight w:val="none"/>
          <w:u w:val="none"/>
          <w:lang w:eastAsia="zh-CN"/>
        </w:rPr>
        <w:t>各分组目录内存在关联关系的企业，可同时投标，分别提交申报信息，并分别计算为该组有效申报企业数，</w:t>
      </w:r>
      <w:r>
        <w:rPr>
          <w:rFonts w:hint="eastAsia" w:cs="仿宋_GB2312"/>
          <w:color w:val="auto"/>
          <w:szCs w:val="32"/>
          <w:highlight w:val="none"/>
          <w:u w:val="none"/>
        </w:rPr>
        <w:t>但应按同一价格申报。</w:t>
      </w:r>
      <w:r>
        <w:rPr>
          <w:rFonts w:hint="eastAsia" w:cs="仿宋_GB2312"/>
          <w:color w:val="auto"/>
          <w:szCs w:val="32"/>
          <w:highlight w:val="none"/>
          <w:u w:val="none"/>
          <w:lang w:eastAsia="zh-CN"/>
        </w:rPr>
        <w:t>若申报价格不同，以</w:t>
      </w:r>
      <w:r>
        <w:rPr>
          <w:rFonts w:hint="eastAsia" w:cs="仿宋_GB2312"/>
          <w:color w:val="auto"/>
          <w:szCs w:val="32"/>
          <w:highlight w:val="none"/>
          <w:u w:val="none"/>
          <w:lang w:val="en-US" w:eastAsia="zh-CN"/>
        </w:rPr>
        <w:t>较低价格作为</w:t>
      </w:r>
      <w:r>
        <w:rPr>
          <w:rFonts w:hint="eastAsia" w:cs="仿宋_GB2312"/>
          <w:color w:val="auto"/>
          <w:szCs w:val="32"/>
          <w:highlight w:val="none"/>
          <w:u w:val="none"/>
          <w:lang w:eastAsia="zh-CN"/>
        </w:rPr>
        <w:t>有效申报</w:t>
      </w:r>
      <w:r>
        <w:rPr>
          <w:rFonts w:hint="eastAsia" w:cs="仿宋_GB2312"/>
          <w:color w:val="auto"/>
          <w:szCs w:val="32"/>
          <w:highlight w:val="none"/>
          <w:u w:val="none"/>
          <w:lang w:val="en-US" w:eastAsia="zh-CN"/>
        </w:rPr>
        <w:t>价格。</w:t>
      </w:r>
      <w:r>
        <w:rPr>
          <w:rFonts w:hint="eastAsia" w:cs="仿宋_GB2312"/>
          <w:color w:val="auto"/>
          <w:szCs w:val="32"/>
          <w:highlight w:val="none"/>
          <w:u w:val="none"/>
        </w:rPr>
        <w:t>若中选，各企业独立计算中选名额。</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cs="仿宋_GB2312"/>
          <w:color w:val="auto"/>
          <w:szCs w:val="32"/>
          <w:highlight w:val="none"/>
          <w:u w:val="none"/>
          <w:lang w:val="en-US" w:eastAsia="zh-CN"/>
        </w:rPr>
        <w:t>4</w:t>
      </w:r>
      <w:r>
        <w:rPr>
          <w:rFonts w:hint="eastAsia" w:cs="仿宋_GB2312"/>
          <w:color w:val="auto"/>
          <w:kern w:val="2"/>
          <w:sz w:val="32"/>
          <w:szCs w:val="32"/>
          <w:highlight w:val="none"/>
          <w:u w:val="none"/>
          <w:lang w:val="en-US" w:eastAsia="zh-CN" w:bidi="ar-SA"/>
        </w:rPr>
        <w:t>.</w:t>
      </w:r>
      <w:r>
        <w:rPr>
          <w:rFonts w:hint="eastAsia" w:ascii="仿宋_GB2312" w:hAnsi="仿宋_GB2312" w:eastAsia="仿宋_GB2312" w:cs="仿宋_GB2312"/>
          <w:color w:val="auto"/>
          <w:kern w:val="2"/>
          <w:sz w:val="32"/>
          <w:szCs w:val="32"/>
          <w:highlight w:val="none"/>
          <w:u w:val="none"/>
          <w:lang w:val="en-US" w:eastAsia="zh-CN" w:bidi="ar-SA"/>
        </w:rPr>
        <w:t>在规定时间内未申报或未按文件要求申报的,申报结束后不得补报或修改,由此引起的一切后果由申报企业自行负责。</w:t>
      </w:r>
    </w:p>
    <w:p>
      <w:pPr>
        <w:pStyle w:val="4"/>
        <w:keepNext w:val="0"/>
        <w:keepLines w:val="0"/>
        <w:pageBreakBefore w:val="0"/>
        <w:widowControl w:val="0"/>
        <w:kinsoku/>
        <w:wordWrap/>
        <w:topLinePunct w:val="0"/>
        <w:bidi w:val="0"/>
        <w:snapToGrid/>
        <w:spacing w:beforeLines="0" w:afterLines="0" w:line="600" w:lineRule="exact"/>
        <w:textAlignment w:val="auto"/>
        <w:rPr>
          <w:rFonts w:hint="eastAsia" w:ascii="黑体" w:hAnsi="黑体" w:eastAsia="黑体" w:cs="黑体"/>
          <w:color w:val="auto"/>
          <w:highlight w:val="none"/>
          <w:u w:val="none"/>
          <w:lang w:val="en-US" w:eastAsia="zh-CN"/>
        </w:rPr>
      </w:pPr>
      <w:bookmarkStart w:id="29" w:name="_Toc1544"/>
      <w:bookmarkStart w:id="30" w:name="_Toc30926"/>
      <w:r>
        <w:rPr>
          <w:rFonts w:hint="eastAsia" w:cs="黑体"/>
          <w:color w:val="auto"/>
          <w:highlight w:val="none"/>
          <w:u w:val="none"/>
          <w:lang w:val="en-US" w:eastAsia="zh-CN"/>
        </w:rPr>
        <w:t>三</w:t>
      </w:r>
      <w:r>
        <w:rPr>
          <w:rFonts w:hint="eastAsia" w:ascii="黑体" w:hAnsi="黑体" w:eastAsia="黑体" w:cs="黑体"/>
          <w:color w:val="auto"/>
          <w:highlight w:val="none"/>
          <w:u w:val="none"/>
          <w:lang w:val="en-US" w:eastAsia="zh-CN"/>
        </w:rPr>
        <w:t>、申报信息公开</w:t>
      </w:r>
      <w:bookmarkEnd w:id="29"/>
      <w:bookmarkEnd w:id="30"/>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lang w:val="en-US" w:eastAsia="zh-CN"/>
        </w:rPr>
      </w:pPr>
      <w:r>
        <w:rPr>
          <w:rFonts w:hint="eastAsia" w:ascii="仿宋_GB2312" w:hAnsi="仿宋_GB2312" w:eastAsia="仿宋_GB2312" w:cs="仿宋_GB2312"/>
          <w:color w:val="auto"/>
          <w:spacing w:val="0"/>
          <w:kern w:val="2"/>
          <w:sz w:val="32"/>
          <w:szCs w:val="32"/>
          <w:highlight w:val="none"/>
          <w:u w:val="none"/>
          <w:lang w:val="en-US" w:eastAsia="zh-CN" w:bidi="ar-SA"/>
        </w:rPr>
        <w:t>申报信息公开时邀请有关部门参加，对申报信息公开的全过程进行监督。</w:t>
      </w:r>
    </w:p>
    <w:p>
      <w:pPr>
        <w:pStyle w:val="4"/>
        <w:bidi w:val="0"/>
        <w:rPr>
          <w:rFonts w:hint="eastAsia"/>
          <w:lang w:val="en-US" w:eastAsia="zh-CN"/>
        </w:rPr>
      </w:pPr>
      <w:bookmarkStart w:id="31" w:name="_Toc4144"/>
      <w:r>
        <w:rPr>
          <w:rFonts w:hint="eastAsia"/>
          <w:lang w:val="en-US" w:eastAsia="zh-CN"/>
        </w:rPr>
        <w:t>四、拟中选企业确定</w:t>
      </w:r>
      <w:bookmarkEnd w:id="27"/>
      <w:bookmarkEnd w:id="31"/>
    </w:p>
    <w:p>
      <w:pPr>
        <w:pStyle w:val="2"/>
        <w:bidi w:val="0"/>
        <w:ind w:firstLine="640" w:firstLineChars="200"/>
        <w:rPr>
          <w:rFonts w:hint="eastAsia" w:ascii="仿宋_GB2312" w:hAnsi="仿宋_GB2312" w:eastAsia="仿宋_GB2312" w:cstheme="minorBidi"/>
          <w:color w:val="auto"/>
          <w:kern w:val="2"/>
          <w:sz w:val="32"/>
          <w:szCs w:val="24"/>
          <w:lang w:val="en-US" w:eastAsia="zh-CN" w:bidi="ar-SA"/>
        </w:rPr>
      </w:pPr>
      <w:r>
        <w:rPr>
          <w:rFonts w:hint="eastAsia" w:ascii="仿宋_GB2312" w:hAnsi="仿宋_GB2312" w:eastAsia="仿宋_GB2312" w:cstheme="minorBidi"/>
          <w:color w:val="auto"/>
          <w:kern w:val="2"/>
          <w:sz w:val="32"/>
          <w:szCs w:val="24"/>
          <w:lang w:val="en-US" w:eastAsia="zh-CN" w:bidi="ar-SA"/>
        </w:rPr>
        <w:t>（一）拟中选企业数</w:t>
      </w:r>
    </w:p>
    <w:p>
      <w:pPr>
        <w:keepNext w:val="0"/>
        <w:keepLines w:val="0"/>
        <w:pageBreakBefore w:val="0"/>
        <w:widowControl w:val="0"/>
        <w:kinsoku/>
        <w:wordWrap/>
        <w:overflowPunct/>
        <w:topLinePunct w:val="0"/>
        <w:bidi w:val="0"/>
        <w:snapToGrid/>
        <w:spacing w:line="600" w:lineRule="exact"/>
        <w:ind w:firstLine="640"/>
        <w:textAlignment w:val="auto"/>
        <w:rPr>
          <w:rFonts w:hint="eastAsia"/>
        </w:rPr>
      </w:pPr>
      <w:r>
        <w:rPr>
          <w:rFonts w:hint="eastAsia"/>
          <w:color w:val="auto"/>
          <w:highlight w:val="none"/>
          <w:u w:val="none"/>
        </w:rPr>
        <w:t>采购目录中，各组最多</w:t>
      </w:r>
      <w:r>
        <w:rPr>
          <w:rFonts w:hint="eastAsia"/>
          <w:color w:val="auto"/>
          <w:highlight w:val="none"/>
          <w:u w:val="none"/>
          <w:lang w:eastAsia="zh-CN"/>
        </w:rPr>
        <w:t>拟中选</w:t>
      </w:r>
      <w:r>
        <w:rPr>
          <w:rFonts w:hint="eastAsia"/>
          <w:color w:val="auto"/>
          <w:highlight w:val="none"/>
          <w:u w:val="none"/>
        </w:rPr>
        <w:t>企业数根据符合要求的</w:t>
      </w:r>
      <w:r>
        <w:rPr>
          <w:rFonts w:hint="eastAsia"/>
          <w:color w:val="auto"/>
          <w:highlight w:val="none"/>
          <w:u w:val="none"/>
          <w:lang w:eastAsia="zh-CN"/>
        </w:rPr>
        <w:t>有效</w:t>
      </w:r>
      <w:r>
        <w:rPr>
          <w:rFonts w:hint="eastAsia"/>
          <w:color w:val="auto"/>
          <w:highlight w:val="none"/>
          <w:u w:val="none"/>
        </w:rPr>
        <w:t>申报企业数确定，详见下表。</w:t>
      </w:r>
    </w:p>
    <w:tbl>
      <w:tblPr>
        <w:tblStyle w:val="12"/>
        <w:tblpPr w:leftFromText="180" w:rightFromText="180" w:vertAnchor="text" w:horzAnchor="page" w:tblpX="1359" w:tblpY="57"/>
        <w:tblOverlap w:val="never"/>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265"/>
        <w:gridCol w:w="2265"/>
        <w:gridCol w:w="2265"/>
        <w:gridCol w:w="2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2265"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153" w:firstLine="0" w:firstLineChars="0"/>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有效申报</w:t>
            </w:r>
          </w:p>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153" w:firstLine="0" w:firstLineChars="0"/>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企业数</w:t>
            </w:r>
          </w:p>
        </w:tc>
        <w:tc>
          <w:tcPr>
            <w:tcW w:w="2265" w:type="dxa"/>
            <w:tcBorders>
              <w:right w:val="double" w:color="000000" w:sz="0"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93" w:firstLine="0" w:firstLineChars="0"/>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最多拟中选</w:t>
            </w:r>
          </w:p>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93" w:firstLine="0" w:firstLineChars="0"/>
              <w:jc w:val="center"/>
              <w:textAlignment w:val="auto"/>
              <w:rPr>
                <w:rFonts w:hint="eastAsia" w:ascii="黑体" w:hAnsi="黑体" w:eastAsia="黑体" w:cs="黑体"/>
                <w:i w:val="0"/>
                <w:iCs w:val="0"/>
                <w:color w:val="auto"/>
                <w:kern w:val="0"/>
                <w:sz w:val="24"/>
                <w:szCs w:val="24"/>
                <w:highlight w:val="none"/>
                <w:u w:val="none"/>
                <w:lang w:val="en-US" w:eastAsia="zh-CN" w:bidi="ar"/>
              </w:rPr>
            </w:pPr>
            <w:r>
              <w:rPr>
                <w:rFonts w:hint="eastAsia" w:ascii="黑体" w:hAnsi="黑体" w:eastAsia="黑体" w:cs="黑体"/>
                <w:color w:val="auto"/>
                <w:kern w:val="2"/>
                <w:sz w:val="24"/>
                <w:szCs w:val="24"/>
                <w:highlight w:val="none"/>
                <w:u w:val="none"/>
                <w:lang w:val="en-US" w:eastAsia="zh-CN" w:bidi="ar-SA"/>
              </w:rPr>
              <w:t>企业数额</w:t>
            </w:r>
          </w:p>
        </w:tc>
        <w:tc>
          <w:tcPr>
            <w:tcW w:w="2265" w:type="dxa"/>
            <w:tcBorders>
              <w:left w:val="double" w:color="000000" w:sz="0"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127" w:firstLine="0" w:firstLineChars="0"/>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有效申报</w:t>
            </w:r>
          </w:p>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127" w:firstLine="0" w:firstLineChars="0"/>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企业数</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93" w:firstLine="0" w:firstLineChars="0"/>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最多拟中选</w:t>
            </w:r>
          </w:p>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119" w:firstLine="0" w:firstLineChars="0"/>
              <w:jc w:val="center"/>
              <w:textAlignment w:val="auto"/>
              <w:rPr>
                <w:rFonts w:hint="eastAsia" w:ascii="黑体" w:hAnsi="黑体" w:eastAsia="黑体" w:cs="黑体"/>
                <w:color w:val="auto"/>
                <w:kern w:val="2"/>
                <w:sz w:val="24"/>
                <w:szCs w:val="24"/>
                <w:highlight w:val="none"/>
                <w:u w:val="none"/>
                <w:lang w:val="en-US" w:eastAsia="zh-CN" w:bidi="ar-SA"/>
              </w:rPr>
            </w:pPr>
            <w:r>
              <w:rPr>
                <w:rFonts w:hint="eastAsia" w:ascii="黑体" w:hAnsi="黑体" w:eastAsia="黑体" w:cs="黑体"/>
                <w:color w:val="auto"/>
                <w:kern w:val="2"/>
                <w:sz w:val="24"/>
                <w:szCs w:val="24"/>
                <w:highlight w:val="none"/>
                <w:u w:val="none"/>
                <w:lang w:val="en-US" w:eastAsia="zh-CN" w:bidi="ar-SA"/>
              </w:rPr>
              <w:t>企业数额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265" w:type="dxa"/>
            <w:tcBorders>
              <w:right w:val="double" w:color="000000" w:sz="0"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265" w:type="dxa"/>
            <w:tcBorders>
              <w:left w:val="double" w:color="000000" w:sz="0"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2265" w:type="dxa"/>
            <w:tcBorders>
              <w:right w:val="double" w:color="000000" w:sz="0"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2265" w:type="dxa"/>
            <w:tcBorders>
              <w:left w:val="double" w:color="000000" w:sz="0"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2265" w:type="dxa"/>
            <w:tcBorders>
              <w:right w:val="double" w:color="000000" w:sz="0"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 w:eastAsia="zh-CN" w:bidi="ar"/>
              </w:rPr>
            </w:pPr>
            <w:r>
              <w:rPr>
                <w:rFonts w:hint="eastAsia" w:ascii="宋体" w:hAnsi="宋体" w:eastAsia="宋体" w:cs="宋体"/>
                <w:i w:val="0"/>
                <w:iCs w:val="0"/>
                <w:color w:val="auto"/>
                <w:kern w:val="0"/>
                <w:sz w:val="24"/>
                <w:szCs w:val="24"/>
                <w:highlight w:val="none"/>
                <w:u w:val="none"/>
                <w:lang w:val="en" w:eastAsia="zh-CN" w:bidi="ar"/>
              </w:rPr>
              <w:t>2</w:t>
            </w:r>
          </w:p>
        </w:tc>
        <w:tc>
          <w:tcPr>
            <w:tcW w:w="2265" w:type="dxa"/>
            <w:tcBorders>
              <w:left w:val="double" w:color="000000" w:sz="0"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2265" w:type="dxa"/>
            <w:tcBorders>
              <w:right w:val="double" w:color="000000" w:sz="0"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2265" w:type="dxa"/>
            <w:tcBorders>
              <w:left w:val="double" w:color="000000" w:sz="0"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2265" w:type="dxa"/>
            <w:tcBorders>
              <w:right w:val="double" w:color="000000" w:sz="0"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2265" w:type="dxa"/>
            <w:tcBorders>
              <w:left w:val="double" w:color="000000" w:sz="0"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2265" w:type="dxa"/>
            <w:tcBorders>
              <w:right w:val="double" w:color="000000" w:sz="0"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2265" w:type="dxa"/>
            <w:tcBorders>
              <w:left w:val="double" w:color="000000" w:sz="0"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2265" w:type="dxa"/>
            <w:tcBorders>
              <w:right w:val="double" w:color="000000" w:sz="0"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2265" w:type="dxa"/>
            <w:tcBorders>
              <w:left w:val="double" w:color="000000" w:sz="0"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2265" w:type="dxa"/>
            <w:tcBorders>
              <w:right w:val="double" w:color="000000" w:sz="0"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2265" w:type="dxa"/>
            <w:tcBorders>
              <w:left w:val="double" w:color="000000" w:sz="0"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2265" w:type="dxa"/>
            <w:tcBorders>
              <w:right w:val="double" w:color="000000" w:sz="0"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2265" w:type="dxa"/>
            <w:tcBorders>
              <w:left w:val="double" w:color="000000" w:sz="0"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2265" w:type="dxa"/>
            <w:tcBorders>
              <w:right w:val="double" w:color="000000" w:sz="0"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2265" w:type="dxa"/>
            <w:tcBorders>
              <w:left w:val="double" w:color="000000" w:sz="0"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25</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2265" w:type="dxa"/>
            <w:tcBorders>
              <w:right w:val="double" w:color="000000" w:sz="0"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2265" w:type="dxa"/>
            <w:tcBorders>
              <w:left w:val="double" w:color="000000" w:sz="0"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26</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2265" w:type="dxa"/>
            <w:tcBorders>
              <w:right w:val="double" w:color="000000" w:sz="0"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2265" w:type="dxa"/>
            <w:tcBorders>
              <w:left w:val="double" w:color="000000" w:sz="0"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27</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w:t>
            </w:r>
          </w:p>
        </w:tc>
        <w:tc>
          <w:tcPr>
            <w:tcW w:w="2265" w:type="dxa"/>
            <w:tcBorders>
              <w:right w:val="double" w:color="000000" w:sz="0"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2265" w:type="dxa"/>
            <w:tcBorders>
              <w:left w:val="double" w:color="000000" w:sz="0"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65"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w:t>
            </w:r>
          </w:p>
        </w:tc>
        <w:tc>
          <w:tcPr>
            <w:tcW w:w="2265" w:type="dxa"/>
            <w:tcBorders>
              <w:right w:val="double" w:color="000000" w:sz="0"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2265" w:type="dxa"/>
            <w:tcBorders>
              <w:left w:val="double" w:color="000000" w:sz="0"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29</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2265" w:type="dxa"/>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2265" w:type="dxa"/>
            <w:tcBorders>
              <w:right w:val="double" w:color="000000" w:sz="0"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right="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2265" w:type="dxa"/>
            <w:tcBorders>
              <w:left w:val="double" w:color="000000" w:sz="0"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pageBreakBefore w:val="0"/>
              <w:widowControl w:val="0"/>
              <w:kinsoku/>
              <w:wordWrap/>
              <w:overflowPunct/>
              <w:topLinePunct w:val="0"/>
              <w:autoSpaceDE/>
              <w:autoSpaceDN/>
              <w:bidi w:val="0"/>
              <w:adjustRightInd/>
              <w:snapToGrid/>
              <w:spacing w:before="0" w:line="30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w:t>
            </w:r>
          </w:p>
        </w:tc>
      </w:tr>
    </w:tbl>
    <w:p>
      <w:pPr>
        <w:pStyle w:val="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highlight w:val="none"/>
          <w:u w:val="none"/>
        </w:rPr>
      </w:pPr>
      <w:r>
        <w:rPr>
          <w:rFonts w:hint="eastAsia" w:ascii="仿宋_GB2312" w:hAnsi="仿宋_GB2312" w:eastAsia="仿宋_GB2312" w:cs="仿宋_GB2312"/>
          <w:color w:val="auto"/>
          <w:kern w:val="2"/>
          <w:sz w:val="32"/>
          <w:highlight w:val="none"/>
          <w:u w:val="none"/>
        </w:rPr>
        <w:t>同组内，依据企业申报价格按照由低到高的顺序确定排名，申报价格最低的为第一名，次低的为第二名，依此类推。申报价格相同的情况，按照以下规则依次确定排名：</w:t>
      </w:r>
    </w:p>
    <w:p>
      <w:pPr>
        <w:pStyle w:val="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highlight w:val="none"/>
          <w:u w:val="none"/>
        </w:rPr>
      </w:pPr>
      <w:r>
        <w:rPr>
          <w:rFonts w:hint="eastAsia" w:ascii="仿宋_GB2312" w:hAnsi="仿宋_GB2312" w:eastAsia="仿宋_GB2312" w:cs="仿宋_GB2312"/>
          <w:color w:val="auto"/>
          <w:kern w:val="2"/>
          <w:sz w:val="32"/>
          <w:highlight w:val="none"/>
          <w:u w:val="none"/>
        </w:rPr>
        <w:t>1.未被任意一省依据医药价格和招采信用评价制度评定为“中等”“严重”或“特别严重”失信等级的企业优先；</w:t>
      </w:r>
    </w:p>
    <w:p>
      <w:pPr>
        <w:pStyle w:val="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highlight w:val="none"/>
          <w:u w:val="none"/>
          <w:lang w:eastAsia="zh-CN"/>
        </w:rPr>
      </w:pPr>
      <w:r>
        <w:rPr>
          <w:rFonts w:hint="eastAsia" w:ascii="仿宋_GB2312" w:hAnsi="仿宋_GB2312" w:eastAsia="仿宋_GB2312" w:cs="仿宋_GB2312"/>
          <w:color w:val="auto"/>
          <w:kern w:val="2"/>
          <w:sz w:val="32"/>
          <w:highlight w:val="none"/>
          <w:u w:val="none"/>
        </w:rPr>
        <w:t>2.同</w:t>
      </w:r>
      <w:r>
        <w:rPr>
          <w:rFonts w:hint="eastAsia" w:ascii="仿宋_GB2312" w:hAnsi="仿宋_GB2312" w:eastAsia="仿宋_GB2312" w:cs="仿宋_GB2312"/>
          <w:color w:val="auto"/>
          <w:kern w:val="2"/>
          <w:sz w:val="32"/>
          <w:highlight w:val="none"/>
        </w:rPr>
        <w:t>组</w:t>
      </w:r>
      <w:r>
        <w:rPr>
          <w:rFonts w:hint="eastAsia" w:ascii="仿宋_GB2312" w:hAnsi="仿宋_GB2312" w:eastAsia="仿宋_GB2312" w:cs="仿宋_GB2312"/>
          <w:color w:val="auto"/>
          <w:kern w:val="2"/>
          <w:sz w:val="32"/>
          <w:highlight w:val="none"/>
          <w:u w:val="none"/>
        </w:rPr>
        <w:t>内，医疗机构采购需求量大的企业优先</w:t>
      </w:r>
      <w:r>
        <w:rPr>
          <w:rFonts w:hint="eastAsia" w:ascii="仿宋_GB2312" w:hAnsi="仿宋_GB2312" w:eastAsia="仿宋_GB2312" w:cs="仿宋_GB2312"/>
          <w:color w:val="auto"/>
          <w:kern w:val="2"/>
          <w:sz w:val="32"/>
          <w:highlight w:val="none"/>
          <w:u w:val="none"/>
          <w:lang w:eastAsia="zh-CN"/>
        </w:rPr>
        <w:t>；</w:t>
      </w:r>
    </w:p>
    <w:p>
      <w:pPr>
        <w:pStyle w:val="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kern w:val="2"/>
          <w:sz w:val="32"/>
          <w:highlight w:val="none"/>
          <w:u w:val="none"/>
          <w:lang w:val="en-US" w:eastAsia="zh-CN"/>
        </w:rPr>
      </w:pPr>
      <w:r>
        <w:rPr>
          <w:rFonts w:hint="eastAsia" w:ascii="仿宋_GB2312" w:hAnsi="仿宋_GB2312" w:eastAsia="仿宋_GB2312" w:cs="仿宋_GB2312"/>
          <w:color w:val="auto"/>
          <w:kern w:val="2"/>
          <w:sz w:val="32"/>
          <w:highlight w:val="none"/>
          <w:u w:val="none"/>
          <w:lang w:val="en-US" w:eastAsia="zh-CN"/>
        </w:rPr>
        <w:t>3.获得药品监督管理部门首次医疗器械注册证时间在前的企业优先（以药品监督管理部门首次批准日期为准）</w:t>
      </w:r>
    </w:p>
    <w:p>
      <w:pPr>
        <w:pStyle w:val="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仿宋_GB2312" w:hAnsi="仿宋_GB2312" w:eastAsia="仿宋_GB2312" w:cs="仿宋_GB2312"/>
          <w:color w:val="auto"/>
          <w:kern w:val="2"/>
          <w:sz w:val="32"/>
          <w:highlight w:val="none"/>
          <w:u w:val="none"/>
          <w:lang w:val="en-US" w:eastAsia="zh-CN"/>
        </w:rPr>
      </w:pPr>
      <w:r>
        <w:rPr>
          <w:rFonts w:hint="eastAsia" w:ascii="仿宋_GB2312" w:hAnsi="仿宋_GB2312" w:eastAsia="仿宋_GB2312" w:cs="仿宋_GB2312"/>
          <w:color w:val="auto"/>
          <w:kern w:val="2"/>
          <w:sz w:val="32"/>
          <w:highlight w:val="none"/>
          <w:u w:val="none"/>
          <w:lang w:val="en-US" w:eastAsia="zh-CN"/>
        </w:rPr>
        <w:t>4.中华人民共和国医疗器械注册证编号在前的企业优先。</w:t>
      </w:r>
    </w:p>
    <w:p>
      <w:pPr>
        <w:keepNext w:val="0"/>
        <w:keepLines w:val="0"/>
        <w:pageBreakBefore w:val="0"/>
        <w:widowControl w:val="0"/>
        <w:kinsoku/>
        <w:wordWrap/>
        <w:overflowPunct/>
        <w:topLinePunct w:val="0"/>
        <w:bidi w:val="0"/>
        <w:snapToGrid/>
        <w:spacing w:line="600" w:lineRule="exact"/>
        <w:textAlignment w:val="auto"/>
        <w:rPr>
          <w:rFonts w:hint="eastAsia" w:ascii="楷体_GB2312" w:hAnsi="楷体_GB2312" w:eastAsia="楷体_GB2312" w:cs="楷体_GB2312"/>
          <w:highlight w:val="none"/>
          <w:u w:val="none"/>
          <w:lang w:val="en-US" w:eastAsia="zh-CN"/>
        </w:rPr>
      </w:pPr>
      <w:r>
        <w:rPr>
          <w:rFonts w:hint="eastAsia" w:ascii="楷体_GB2312" w:hAnsi="楷体_GB2312" w:eastAsia="楷体_GB2312" w:cs="楷体_GB2312"/>
          <w:highlight w:val="none"/>
          <w:u w:val="none"/>
          <w:lang w:val="en-US" w:eastAsia="zh-CN"/>
        </w:rPr>
        <w:t>（二）拟中选规则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bookmarkStart w:id="32" w:name="_Toc20904"/>
      <w:r>
        <w:rPr>
          <w:rFonts w:hint="eastAsia" w:ascii="仿宋_GB2312" w:hAnsi="仿宋_GB2312" w:eastAsia="仿宋_GB2312" w:cs="仿宋_GB2312"/>
          <w:color w:val="auto"/>
          <w:sz w:val="32"/>
          <w:szCs w:val="32"/>
          <w:highlight w:val="none"/>
          <w:u w:val="none"/>
        </w:rPr>
        <w:t>符合申报要求的企业实际申报数为</w:t>
      </w:r>
      <w:r>
        <w:rPr>
          <w:rFonts w:hint="eastAsia"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家及以上的，采取竞价的方式产生中选结果；实际申报数为1家</w:t>
      </w:r>
      <w:r>
        <w:rPr>
          <w:rFonts w:hint="eastAsia" w:cs="仿宋_GB2312"/>
          <w:color w:val="auto"/>
          <w:sz w:val="32"/>
          <w:szCs w:val="32"/>
          <w:highlight w:val="none"/>
          <w:u w:val="none"/>
          <w:lang w:eastAsia="zh-CN"/>
        </w:rPr>
        <w:t>和</w:t>
      </w:r>
      <w:r>
        <w:rPr>
          <w:rFonts w:hint="eastAsia" w:cs="仿宋_GB2312"/>
          <w:color w:val="auto"/>
          <w:sz w:val="32"/>
          <w:szCs w:val="32"/>
          <w:highlight w:val="none"/>
          <w:u w:val="none"/>
          <w:lang w:val="en-US" w:eastAsia="zh-CN"/>
        </w:rPr>
        <w:t>2家</w:t>
      </w:r>
      <w:r>
        <w:rPr>
          <w:rFonts w:hint="eastAsia" w:ascii="仿宋_GB2312" w:hAnsi="仿宋_GB2312" w:eastAsia="仿宋_GB2312" w:cs="仿宋_GB2312"/>
          <w:color w:val="auto"/>
          <w:sz w:val="32"/>
          <w:szCs w:val="32"/>
          <w:highlight w:val="none"/>
          <w:u w:val="none"/>
        </w:rPr>
        <w:t>的，采取议价谈判的方式产生中选结果。</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b w:val="0"/>
          <w:bCs w:val="0"/>
          <w:color w:val="auto"/>
          <w:highlight w:val="none"/>
          <w:u w:val="none"/>
          <w:lang w:val="en-US" w:eastAsia="zh-CN"/>
        </w:rPr>
      </w:pPr>
      <w:r>
        <w:rPr>
          <w:rFonts w:hint="eastAsia"/>
          <w:b w:val="0"/>
          <w:bCs w:val="0"/>
          <w:color w:val="auto"/>
          <w:highlight w:val="none"/>
          <w:u w:val="none"/>
          <w:lang w:val="en-US" w:eastAsia="zh-CN"/>
        </w:rPr>
        <w:t>1.竞价中选</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b w:val="0"/>
          <w:bCs w:val="0"/>
          <w:color w:val="auto"/>
          <w:highlight w:val="none"/>
          <w:u w:val="none"/>
          <w:lang w:val="en-US" w:eastAsia="zh-CN"/>
        </w:rPr>
      </w:pPr>
      <w:r>
        <w:rPr>
          <w:rFonts w:hint="eastAsia"/>
          <w:b w:val="0"/>
          <w:bCs w:val="0"/>
          <w:color w:val="auto"/>
          <w:highlight w:val="none"/>
          <w:u w:val="none"/>
          <w:lang w:val="en-US" w:eastAsia="zh-CN"/>
        </w:rPr>
        <w:t>在各组最大拟中选数额内，按报价由低到高顺序，满足以下条件之一的方可获得拟中选资格，直至达到最大拟中选数额。</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b w:val="0"/>
          <w:bCs w:val="0"/>
          <w:color w:val="auto"/>
          <w:highlight w:val="none"/>
          <w:u w:val="none"/>
          <w:lang w:val="en-US" w:eastAsia="zh-CN"/>
        </w:rPr>
      </w:pPr>
      <w:r>
        <w:rPr>
          <w:rFonts w:hint="eastAsia"/>
          <w:b w:val="0"/>
          <w:bCs w:val="0"/>
          <w:color w:val="auto"/>
          <w:highlight w:val="none"/>
          <w:u w:val="none"/>
          <w:lang w:val="en-US" w:eastAsia="zh-CN"/>
        </w:rPr>
        <w:t xml:space="preserve"> ①同竞价组内申报价格不高于本组最低申报价格1.5倍的产品。</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b w:val="0"/>
          <w:bCs w:val="0"/>
          <w:color w:val="auto"/>
          <w:highlight w:val="none"/>
          <w:u w:val="none"/>
          <w:lang w:val="en-US" w:eastAsia="zh-CN"/>
        </w:rPr>
      </w:pPr>
      <w:r>
        <w:rPr>
          <w:rFonts w:hint="eastAsia"/>
          <w:b w:val="0"/>
          <w:bCs w:val="0"/>
          <w:color w:val="auto"/>
          <w:highlight w:val="none"/>
          <w:u w:val="none"/>
          <w:lang w:val="en-US" w:eastAsia="zh-CN"/>
        </w:rPr>
        <w:t xml:space="preserve"> ②以</w:t>
      </w:r>
      <w:r>
        <w:rPr>
          <w:rFonts w:hint="eastAsia" w:cs="仿宋_GB2312"/>
          <w:snapToGrid/>
          <w:color w:val="auto"/>
          <w:kern w:val="2"/>
          <w:sz w:val="32"/>
          <w:szCs w:val="32"/>
          <w:highlight w:val="none"/>
          <w:u w:val="none"/>
          <w:lang w:val="en-US" w:eastAsia="zh-CN" w:bidi="ar-SA"/>
        </w:rPr>
        <w:t>分组目录</w:t>
      </w:r>
      <w:r>
        <w:rPr>
          <w:rFonts w:hint="eastAsia"/>
          <w:b w:val="0"/>
          <w:bCs w:val="0"/>
          <w:color w:val="auto"/>
          <w:highlight w:val="none"/>
          <w:u w:val="none"/>
          <w:lang w:val="en-US" w:eastAsia="zh-CN"/>
        </w:rPr>
        <w:t>最高有效申报价为基数进行计算，申报产品的降幅不低于50%。</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b w:val="0"/>
          <w:bCs w:val="0"/>
          <w:color w:val="auto"/>
          <w:highlight w:val="none"/>
          <w:u w:val="none"/>
          <w:lang w:val="en-US" w:eastAsia="zh-CN"/>
        </w:rPr>
      </w:pPr>
      <w:r>
        <w:rPr>
          <w:rFonts w:hint="eastAsia"/>
          <w:b w:val="0"/>
          <w:bCs w:val="0"/>
          <w:color w:val="auto"/>
          <w:highlight w:val="none"/>
          <w:u w:val="none"/>
          <w:lang w:val="en-US" w:eastAsia="zh-CN"/>
        </w:rPr>
        <w:t>2.复活中选</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b w:val="0"/>
          <w:bCs w:val="0"/>
          <w:color w:val="auto"/>
          <w:highlight w:val="none"/>
          <w:u w:val="none"/>
          <w:lang w:val="en-US" w:eastAsia="zh-CN"/>
        </w:rPr>
      </w:pPr>
      <w:r>
        <w:rPr>
          <w:rFonts w:hint="eastAsia"/>
          <w:b w:val="0"/>
          <w:bCs w:val="0"/>
          <w:color w:val="auto"/>
          <w:highlight w:val="none"/>
          <w:u w:val="none"/>
          <w:lang w:val="en-US" w:eastAsia="zh-CN"/>
        </w:rPr>
        <w:t>各品种以企业报价和</w:t>
      </w:r>
      <w:r>
        <w:rPr>
          <w:rFonts w:hint="eastAsia" w:cs="仿宋_GB2312"/>
          <w:snapToGrid/>
          <w:color w:val="auto"/>
          <w:kern w:val="2"/>
          <w:sz w:val="32"/>
          <w:szCs w:val="32"/>
          <w:highlight w:val="none"/>
          <w:u w:val="none"/>
          <w:lang w:val="en-US" w:eastAsia="zh-CN" w:bidi="ar-SA"/>
        </w:rPr>
        <w:t>同分组目录</w:t>
      </w:r>
      <w:r>
        <w:rPr>
          <w:rFonts w:hint="eastAsia"/>
          <w:b w:val="0"/>
          <w:bCs w:val="0"/>
          <w:color w:val="auto"/>
          <w:highlight w:val="none"/>
          <w:u w:val="none"/>
          <w:lang w:val="en-US" w:eastAsia="zh-CN"/>
        </w:rPr>
        <w:t>最高有效申报价为基数计算，产品降幅不低于60%但竞价未中选的，可不受最大拟中选数额限制，复活中选。</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b w:val="0"/>
          <w:bCs w:val="0"/>
          <w:color w:val="auto"/>
          <w:highlight w:val="none"/>
          <w:u w:val="none"/>
          <w:lang w:val="en-US" w:eastAsia="zh-CN"/>
        </w:rPr>
      </w:pPr>
      <w:r>
        <w:rPr>
          <w:rFonts w:hint="eastAsia"/>
          <w:b w:val="0"/>
          <w:bCs w:val="0"/>
          <w:color w:val="auto"/>
          <w:highlight w:val="none"/>
          <w:u w:val="none"/>
          <w:lang w:val="en-US" w:eastAsia="zh-CN"/>
        </w:rPr>
        <w:t>3.议价中选</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b w:val="0"/>
          <w:bCs w:val="0"/>
          <w:color w:val="auto"/>
          <w:highlight w:val="none"/>
          <w:u w:val="none"/>
          <w:lang w:val="en-US" w:eastAsia="zh-CN"/>
        </w:rPr>
      </w:pPr>
      <w:r>
        <w:rPr>
          <w:rFonts w:hint="eastAsia"/>
          <w:b w:val="0"/>
          <w:bCs w:val="0"/>
          <w:color w:val="auto"/>
          <w:highlight w:val="none"/>
          <w:u w:val="none"/>
          <w:lang w:val="en-US" w:eastAsia="zh-CN"/>
        </w:rPr>
        <w:t>同组内符合申报资格的实际有效申报企业数为1家或2家的，参考所有竞价组拟中选产品平均降幅，不低于该降幅的确定为拟中选产品；小于该降幅的，由专家参考该降幅进行谈判议价。</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b w:val="0"/>
          <w:bCs w:val="0"/>
          <w:color w:val="auto"/>
          <w:highlight w:val="none"/>
          <w:u w:val="none"/>
          <w:lang w:val="en-US" w:eastAsia="zh-CN"/>
        </w:rPr>
      </w:pPr>
      <w:r>
        <w:rPr>
          <w:rFonts w:hint="eastAsia"/>
          <w:b w:val="0"/>
          <w:bCs w:val="0"/>
          <w:color w:val="auto"/>
          <w:highlight w:val="none"/>
          <w:u w:val="none"/>
          <w:lang w:val="en-US" w:eastAsia="zh-CN"/>
        </w:rPr>
        <w:t>4.价格纠偏</w:t>
      </w:r>
    </w:p>
    <w:bookmarkEnd w:id="32"/>
    <w:p>
      <w:pPr>
        <w:pStyle w:val="7"/>
        <w:keepNext w:val="0"/>
        <w:keepLines w:val="0"/>
        <w:pageBreakBefore w:val="0"/>
        <w:widowControl w:val="0"/>
        <w:kinsoku/>
        <w:wordWrap/>
        <w:overflowPunct/>
        <w:topLinePunct w:val="0"/>
        <w:autoSpaceDE/>
        <w:autoSpaceDN/>
        <w:bidi w:val="0"/>
        <w:adjustRightInd/>
        <w:snapToGrid/>
        <w:spacing w:line="520" w:lineRule="exact"/>
        <w:ind w:left="0" w:firstLine="640"/>
        <w:jc w:val="both"/>
        <w:textAlignment w:val="auto"/>
        <w:rPr>
          <w:rFonts w:hint="eastAsia" w:ascii="仿宋_GB2312" w:hAnsi="仿宋_GB2312" w:eastAsia="仿宋_GB2312" w:cs="仿宋_GB2312"/>
          <w:snapToGrid/>
          <w:color w:val="auto"/>
          <w:kern w:val="2"/>
          <w:sz w:val="32"/>
          <w:szCs w:val="32"/>
          <w:highlight w:val="none"/>
          <w:u w:val="none"/>
          <w:lang w:val="en-US" w:eastAsia="zh-CN" w:bidi="ar-SA"/>
        </w:rPr>
      </w:pPr>
      <w:bookmarkStart w:id="33" w:name="_Toc28767"/>
      <w:bookmarkStart w:id="34" w:name="_Toc32437"/>
      <w:r>
        <w:rPr>
          <w:rFonts w:hint="eastAsia"/>
          <w:color w:val="auto"/>
          <w:highlight w:val="none"/>
          <w:u w:val="none"/>
        </w:rPr>
        <w:t>各品种拟中选降幅</w:t>
      </w:r>
      <w:r>
        <w:rPr>
          <w:rFonts w:hint="eastAsia"/>
          <w:color w:val="auto"/>
          <w:highlight w:val="none"/>
          <w:u w:val="none"/>
          <w:lang w:val="en-US" w:eastAsia="zh-CN"/>
        </w:rPr>
        <w:t>和</w:t>
      </w:r>
      <w:r>
        <w:rPr>
          <w:rFonts w:hint="eastAsia"/>
          <w:color w:val="auto"/>
          <w:highlight w:val="none"/>
          <w:u w:val="none"/>
        </w:rPr>
        <w:t>平均降幅差距较大</w:t>
      </w:r>
      <w:r>
        <w:rPr>
          <w:rFonts w:hint="eastAsia"/>
          <w:color w:val="auto"/>
          <w:highlight w:val="none"/>
          <w:u w:val="none"/>
          <w:lang w:val="en-US" w:eastAsia="zh-CN"/>
        </w:rPr>
        <w:t>的以及</w:t>
      </w:r>
      <w:r>
        <w:rPr>
          <w:rFonts w:hint="eastAsia" w:cs="仿宋_GB2312"/>
          <w:snapToGrid/>
          <w:color w:val="auto"/>
          <w:kern w:val="2"/>
          <w:sz w:val="32"/>
          <w:szCs w:val="32"/>
          <w:highlight w:val="none"/>
          <w:u w:val="none"/>
          <w:lang w:val="en-US" w:eastAsia="zh-CN" w:bidi="ar-SA"/>
        </w:rPr>
        <w:t>同分组目录</w:t>
      </w:r>
      <w:r>
        <w:rPr>
          <w:rFonts w:hint="eastAsia"/>
          <w:color w:val="auto"/>
          <w:highlight w:val="none"/>
          <w:u w:val="none"/>
          <w:lang w:val="en-US" w:eastAsia="zh-CN"/>
        </w:rPr>
        <w:t>内降幅差距较大</w:t>
      </w:r>
      <w:r>
        <w:rPr>
          <w:rFonts w:hint="eastAsia"/>
          <w:color w:val="auto"/>
          <w:highlight w:val="none"/>
          <w:u w:val="none"/>
        </w:rPr>
        <w:t>，组织专家进行价格纠偏。不接受价格纠偏的,取消其拟中选资格。</w:t>
      </w:r>
    </w:p>
    <w:p>
      <w:pPr>
        <w:pStyle w:val="4"/>
        <w:bidi w:val="0"/>
        <w:rPr>
          <w:rFonts w:hint="eastAsia"/>
        </w:rPr>
      </w:pPr>
      <w:r>
        <w:rPr>
          <w:rFonts w:hint="eastAsia"/>
          <w:lang w:val="en-US" w:eastAsia="zh-CN"/>
        </w:rPr>
        <w:t>五</w:t>
      </w:r>
      <w:r>
        <w:rPr>
          <w:rFonts w:hint="eastAsia"/>
        </w:rPr>
        <w:t>、拟中选价格确定</w:t>
      </w:r>
      <w:bookmarkEnd w:id="33"/>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val="en-US" w:eastAsia="zh-CN"/>
        </w:rPr>
      </w:pPr>
      <w:r>
        <w:rPr>
          <w:rFonts w:hint="eastAsia"/>
          <w:lang w:val="en-US" w:eastAsia="zh-CN"/>
        </w:rPr>
        <w:t>各分组目录拟中选企业产生后，拟中选企业申报价格即为该企业在该分组内所有注册证产品价格。</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val="en-US" w:eastAsia="zh-CN"/>
        </w:rPr>
        <w:t>其中，一次性乳头切开刀存在比价关系。</w:t>
      </w:r>
      <w:r>
        <w:rPr>
          <w:rFonts w:hint="eastAsia"/>
        </w:rPr>
        <w:t>以系数为1</w:t>
      </w:r>
      <w:r>
        <w:rPr>
          <w:rFonts w:hint="eastAsia"/>
          <w:lang w:val="en-US" w:eastAsia="zh-CN"/>
        </w:rPr>
        <w:t>的分包目录为</w:t>
      </w:r>
      <w:r>
        <w:rPr>
          <w:rFonts w:hint="eastAsia"/>
          <w:lang w:eastAsia="zh-CN"/>
        </w:rPr>
        <w:t>指定竞价组。</w:t>
      </w:r>
      <w:r>
        <w:rPr>
          <w:rFonts w:hint="eastAsia"/>
        </w:rPr>
        <w:t>以</w:t>
      </w:r>
      <w:r>
        <w:rPr>
          <w:rFonts w:hint="eastAsia"/>
          <w:lang w:eastAsia="zh-CN"/>
        </w:rPr>
        <w:t>指定竞价组</w:t>
      </w:r>
      <w:r>
        <w:rPr>
          <w:rFonts w:hint="eastAsia"/>
        </w:rPr>
        <w:t>的拟中选价格为基准，按比价系数相乘，计算其他组拟中选价格具体比价关系如下表</w:t>
      </w:r>
      <w:r>
        <w:rPr>
          <w:rFonts w:hint="eastAsia"/>
          <w:lang w:eastAsia="zh-CN"/>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r>
              <w:rPr>
                <w:rFonts w:hint="eastAsia" w:ascii="黑体" w:hAnsi="黑体" w:eastAsia="黑体" w:cs="黑体"/>
                <w:i w:val="0"/>
                <w:color w:val="000000"/>
                <w:kern w:val="0"/>
                <w:sz w:val="24"/>
                <w:szCs w:val="24"/>
                <w:u w:val="none"/>
                <w:lang w:val="en-US" w:eastAsia="zh-CN" w:bidi="ar"/>
              </w:rPr>
              <w:t>一级目录</w:t>
            </w:r>
          </w:p>
        </w:tc>
        <w:tc>
          <w:tcPr>
            <w:tcW w:w="3096"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r>
              <w:rPr>
                <w:rFonts w:hint="eastAsia" w:ascii="黑体" w:hAnsi="黑体" w:eastAsia="黑体" w:cs="黑体"/>
                <w:i w:val="0"/>
                <w:color w:val="000000"/>
                <w:kern w:val="0"/>
                <w:sz w:val="24"/>
                <w:szCs w:val="24"/>
                <w:u w:val="none"/>
                <w:lang w:val="en-US" w:eastAsia="zh-CN" w:bidi="ar"/>
              </w:rPr>
              <w:t>二级目录</w:t>
            </w:r>
          </w:p>
        </w:tc>
        <w:tc>
          <w:tcPr>
            <w:tcW w:w="3096" w:type="dxa"/>
            <w:vAlign w:val="center"/>
          </w:tcPr>
          <w:p>
            <w:pPr>
              <w:pStyle w:val="2"/>
              <w:jc w:val="center"/>
              <w:rPr>
                <w:rFonts w:hint="eastAsia"/>
                <w:vertAlign w:val="baseline"/>
                <w:lang w:val="en-US" w:eastAsia="zh-CN"/>
              </w:rPr>
            </w:pPr>
            <w:r>
              <w:rPr>
                <w:rFonts w:hint="eastAsia" w:ascii="黑体" w:hAnsi="黑体" w:eastAsia="黑体" w:cs="黑体"/>
                <w:i w:val="0"/>
                <w:color w:val="000000"/>
                <w:kern w:val="0"/>
                <w:sz w:val="24"/>
                <w:szCs w:val="24"/>
                <w:u w:val="none"/>
                <w:lang w:val="en-US" w:eastAsia="zh-CN" w:bidi="ar"/>
              </w:rPr>
              <w:t>比价系数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09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vertAlign w:val="baseline"/>
                <w:lang w:val="en-US" w:eastAsia="zh-CN"/>
              </w:rPr>
            </w:pPr>
            <w:r>
              <w:rPr>
                <w:rFonts w:hint="eastAsia"/>
                <w:color w:val="auto"/>
                <w:sz w:val="24"/>
                <w:szCs w:val="21"/>
                <w:lang w:val="en-US" w:eastAsia="zh-CN"/>
              </w:rPr>
              <w:t>一次性乳头切开刀</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vertAlign w:val="baseline"/>
                <w:lang w:val="en-US" w:eastAsia="zh-CN"/>
              </w:rPr>
            </w:pPr>
            <w:r>
              <w:rPr>
                <w:rFonts w:hint="eastAsia"/>
                <w:color w:val="auto"/>
                <w:sz w:val="24"/>
                <w:szCs w:val="21"/>
                <w:lang w:val="en-US" w:eastAsia="zh-CN"/>
              </w:rPr>
              <w:t>双腔</w:t>
            </w:r>
          </w:p>
        </w:tc>
        <w:tc>
          <w:tcPr>
            <w:tcW w:w="3096" w:type="dxa"/>
          </w:tcPr>
          <w:p>
            <w:pPr>
              <w:pStyle w:val="2"/>
              <w:jc w:val="center"/>
              <w:rPr>
                <w:rFonts w:hint="default"/>
                <w:vertAlign w:val="baseline"/>
                <w:lang w:val="en-US" w:eastAsia="zh-CN"/>
              </w:rPr>
            </w:pPr>
            <w:r>
              <w:rPr>
                <w:rFonts w:hint="eastAsia" w:ascii="仿宋_GB2312" w:hAnsi="仿宋_GB2312" w:eastAsia="仿宋_GB2312" w:cstheme="minorBidi"/>
                <w:color w:val="auto"/>
                <w:kern w:val="2"/>
                <w:sz w:val="24"/>
                <w:szCs w:val="21"/>
                <w:lang w:val="en-US" w:eastAsia="zh-CN" w:bidi="ar-SA"/>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09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vertAlign w:val="baseline"/>
                <w:lang w:val="en-US" w:eastAsia="zh-CN"/>
              </w:rPr>
            </w:pP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vertAlign w:val="baseline"/>
                <w:lang w:val="en-US" w:eastAsia="zh-CN"/>
              </w:rPr>
            </w:pPr>
            <w:r>
              <w:rPr>
                <w:rFonts w:hint="eastAsia"/>
                <w:color w:val="auto"/>
                <w:sz w:val="24"/>
                <w:szCs w:val="21"/>
                <w:lang w:val="en-US" w:eastAsia="zh-CN"/>
              </w:rPr>
              <w:t>三腔</w:t>
            </w:r>
          </w:p>
        </w:tc>
        <w:tc>
          <w:tcPr>
            <w:tcW w:w="3096" w:type="dxa"/>
            <w:vAlign w:val="center"/>
          </w:tcPr>
          <w:p>
            <w:pPr>
              <w:pStyle w:val="2"/>
              <w:jc w:val="center"/>
              <w:rPr>
                <w:rFonts w:hint="default"/>
                <w:vertAlign w:val="baseline"/>
                <w:lang w:val="en-US" w:eastAsia="zh-CN"/>
              </w:rPr>
            </w:pPr>
            <w:r>
              <w:rPr>
                <w:rFonts w:hint="eastAsia" w:ascii="仿宋_GB2312" w:hAnsi="仿宋_GB2312" w:eastAsia="仿宋_GB2312" w:cstheme="minorBidi"/>
                <w:color w:val="auto"/>
                <w:kern w:val="2"/>
                <w:sz w:val="24"/>
                <w:szCs w:val="21"/>
                <w:lang w:val="en-US" w:eastAsia="zh-CN" w:bidi="ar-SA"/>
              </w:rPr>
              <w:t>1</w:t>
            </w:r>
          </w:p>
        </w:tc>
      </w:tr>
    </w:tbl>
    <w:p>
      <w:pPr>
        <w:bidi w:val="0"/>
        <w:rPr>
          <w:rFonts w:hint="eastAsia"/>
          <w:lang w:val="en-US" w:eastAsia="zh-CN"/>
        </w:rPr>
      </w:pPr>
      <w:r>
        <w:rPr>
          <w:rFonts w:hint="eastAsia"/>
          <w:lang w:val="en-US" w:eastAsia="zh-CN"/>
        </w:rPr>
        <w:t>按照上述原则确定的拟中选价格，如果高于该产品在各省级医药采购平台上最低挂网（中标）价、已开展集中带量采购的中选价格的，企业应主动申请价格调整。</w:t>
      </w:r>
    </w:p>
    <w:p>
      <w:pPr>
        <w:pStyle w:val="4"/>
        <w:pageBreakBefore w:val="0"/>
        <w:widowControl w:val="0"/>
        <w:kinsoku/>
        <w:wordWrap/>
        <w:overflowPunct/>
        <w:topLinePunct w:val="0"/>
        <w:bidi w:val="0"/>
        <w:snapToGrid/>
        <w:spacing w:beforeLines="0" w:afterLines="0" w:line="600" w:lineRule="exact"/>
        <w:textAlignment w:val="auto"/>
        <w:rPr>
          <w:rFonts w:hint="eastAsia" w:ascii="黑体" w:hAnsi="黑体" w:eastAsia="黑体" w:cs="黑体"/>
          <w:color w:val="auto"/>
          <w:highlight w:val="none"/>
          <w:u w:val="none"/>
          <w:lang w:val="en-US" w:eastAsia="zh-CN"/>
        </w:rPr>
      </w:pPr>
      <w:bookmarkStart w:id="35" w:name="_Toc6924"/>
      <w:r>
        <w:rPr>
          <w:rFonts w:hint="eastAsia" w:cs="黑体"/>
          <w:color w:val="auto"/>
          <w:highlight w:val="none"/>
          <w:u w:val="none"/>
          <w:lang w:val="en-US" w:eastAsia="zh-CN"/>
        </w:rPr>
        <w:t>六</w:t>
      </w:r>
      <w:r>
        <w:rPr>
          <w:rFonts w:hint="eastAsia" w:ascii="黑体" w:hAnsi="黑体" w:eastAsia="黑体" w:cs="黑体"/>
          <w:color w:val="auto"/>
          <w:highlight w:val="none"/>
          <w:u w:val="none"/>
          <w:lang w:val="en-US" w:eastAsia="zh-CN"/>
        </w:rPr>
        <w:t>、中选产品确定</w:t>
      </w:r>
      <w:bookmarkEnd w:id="34"/>
      <w:bookmarkEnd w:id="35"/>
    </w:p>
    <w:p>
      <w:pPr>
        <w:pStyle w:val="5"/>
        <w:bidi w:val="0"/>
        <w:rPr>
          <w:rFonts w:hint="eastAsia"/>
        </w:rPr>
      </w:pPr>
      <w:r>
        <w:rPr>
          <w:rFonts w:hint="eastAsia"/>
        </w:rPr>
        <w:t>（一）拟中选结果公示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spacing w:val="0"/>
          <w:sz w:val="32"/>
          <w:szCs w:val="32"/>
          <w:highlight w:val="none"/>
          <w:u w:val="none"/>
        </w:rPr>
        <w:t>拟中选结果产生后，在</w:t>
      </w:r>
      <w:r>
        <w:rPr>
          <w:rFonts w:hint="eastAsia" w:ascii="仿宋_GB2312" w:hAnsi="仿宋_GB2312" w:eastAsia="仿宋_GB2312" w:cs="仿宋_GB2312"/>
          <w:color w:val="auto"/>
          <w:sz w:val="32"/>
          <w:szCs w:val="32"/>
          <w:highlight w:val="none"/>
          <w:u w:val="none"/>
        </w:rPr>
        <w:t>河南省</w:t>
      </w:r>
      <w:r>
        <w:rPr>
          <w:rFonts w:hint="eastAsia" w:cs="仿宋_GB2312"/>
          <w:color w:val="auto"/>
          <w:sz w:val="32"/>
          <w:szCs w:val="32"/>
          <w:highlight w:val="none"/>
          <w:u w:val="none"/>
          <w:lang w:eastAsia="zh-CN"/>
        </w:rPr>
        <w:t>医疗保障局或</w:t>
      </w:r>
      <w:r>
        <w:rPr>
          <w:rFonts w:hint="eastAsia" w:ascii="仿宋_GB2312" w:hAnsi="仿宋_GB2312" w:eastAsia="仿宋_GB2312" w:cs="仿宋_GB2312"/>
          <w:color w:val="auto"/>
          <w:kern w:val="2"/>
          <w:sz w:val="32"/>
          <w:szCs w:val="32"/>
          <w:highlight w:val="none"/>
          <w:u w:val="none"/>
          <w:lang w:val="en-US" w:eastAsia="zh-CN" w:bidi="ar-SA"/>
        </w:rPr>
        <w:t>河南省医药集中采购平台</w:t>
      </w:r>
      <w:r>
        <w:rPr>
          <w:rFonts w:hint="eastAsia" w:ascii="仿宋_GB2312" w:hAnsi="仿宋_GB2312" w:eastAsia="仿宋_GB2312" w:cs="仿宋_GB2312"/>
          <w:color w:val="auto"/>
          <w:spacing w:val="0"/>
          <w:sz w:val="32"/>
          <w:szCs w:val="32"/>
          <w:highlight w:val="none"/>
          <w:u w:val="none"/>
        </w:rPr>
        <w:t>进行公示，由</w:t>
      </w:r>
      <w:r>
        <w:rPr>
          <w:rFonts w:hint="eastAsia" w:cs="仿宋_GB2312"/>
          <w:color w:val="auto"/>
          <w:spacing w:val="0"/>
          <w:sz w:val="32"/>
          <w:szCs w:val="32"/>
          <w:highlight w:val="none"/>
          <w:u w:val="none"/>
          <w:lang w:val="en-US" w:eastAsia="zh-CN"/>
        </w:rPr>
        <w:t>联盟</w:t>
      </w:r>
      <w:r>
        <w:rPr>
          <w:rFonts w:hint="eastAsia" w:ascii="仿宋_GB2312" w:hAnsi="仿宋_GB2312" w:eastAsia="仿宋_GB2312" w:cs="仿宋_GB2312"/>
          <w:color w:val="auto"/>
          <w:spacing w:val="0"/>
          <w:sz w:val="32"/>
          <w:szCs w:val="32"/>
          <w:highlight w:val="none"/>
          <w:u w:val="none"/>
        </w:rPr>
        <w:t>采购办公室接受复核申请。复核申请应在公示期间内提出，并依法依规提供合法有效证明材料。未提供相应证明材料的，不予受理。经公示，如拟中选企业被取消中选资格，不递补拟中选企业，不影响其他企业中选。</w:t>
      </w:r>
    </w:p>
    <w:p>
      <w:pPr>
        <w:pStyle w:val="5"/>
        <w:bidi w:val="0"/>
        <w:rPr>
          <w:rFonts w:hint="eastAsia"/>
        </w:rPr>
      </w:pPr>
      <w:r>
        <w:rPr>
          <w:rFonts w:hint="eastAsia"/>
        </w:rPr>
        <w:t>（二）中选结果公布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spacing w:val="0"/>
          <w:sz w:val="32"/>
          <w:szCs w:val="32"/>
          <w:highlight w:val="none"/>
          <w:u w:val="none"/>
        </w:rPr>
        <w:t>拟中选结果公示无异议后，由</w:t>
      </w:r>
      <w:r>
        <w:rPr>
          <w:rFonts w:hint="eastAsia" w:cs="仿宋_GB2312"/>
          <w:color w:val="auto"/>
          <w:spacing w:val="0"/>
          <w:sz w:val="32"/>
          <w:szCs w:val="32"/>
          <w:highlight w:val="none"/>
          <w:u w:val="none"/>
          <w:lang w:val="en-US" w:eastAsia="zh-CN"/>
        </w:rPr>
        <w:t>联盟</w:t>
      </w:r>
      <w:r>
        <w:rPr>
          <w:rFonts w:hint="eastAsia" w:ascii="仿宋_GB2312" w:hAnsi="仿宋_GB2312" w:eastAsia="仿宋_GB2312" w:cs="仿宋_GB2312"/>
          <w:color w:val="auto"/>
          <w:spacing w:val="0"/>
          <w:sz w:val="32"/>
          <w:szCs w:val="32"/>
          <w:highlight w:val="none"/>
          <w:u w:val="none"/>
        </w:rPr>
        <w:t>采购办公室在</w:t>
      </w:r>
      <w:r>
        <w:rPr>
          <w:rFonts w:hint="eastAsia" w:ascii="仿宋_GB2312" w:hAnsi="仿宋_GB2312" w:eastAsia="仿宋_GB2312" w:cs="仿宋_GB2312"/>
          <w:color w:val="auto"/>
          <w:sz w:val="32"/>
          <w:szCs w:val="32"/>
          <w:highlight w:val="none"/>
          <w:u w:val="none"/>
        </w:rPr>
        <w:t>河南省</w:t>
      </w:r>
      <w:r>
        <w:rPr>
          <w:rFonts w:hint="eastAsia" w:cs="仿宋_GB2312"/>
          <w:color w:val="auto"/>
          <w:sz w:val="32"/>
          <w:szCs w:val="32"/>
          <w:highlight w:val="none"/>
          <w:u w:val="none"/>
          <w:lang w:eastAsia="zh-CN"/>
        </w:rPr>
        <w:t>医疗</w:t>
      </w:r>
      <w:r>
        <w:rPr>
          <w:rFonts w:hint="eastAsia" w:cs="仿宋_GB2312"/>
          <w:color w:val="auto"/>
          <w:spacing w:val="-6"/>
          <w:sz w:val="32"/>
          <w:szCs w:val="32"/>
          <w:highlight w:val="none"/>
          <w:u w:val="none"/>
          <w:lang w:eastAsia="zh-CN"/>
        </w:rPr>
        <w:t>保障局、</w:t>
      </w:r>
      <w:r>
        <w:rPr>
          <w:rFonts w:hint="eastAsia" w:ascii="仿宋_GB2312" w:hAnsi="仿宋_GB2312" w:eastAsia="仿宋_GB2312" w:cs="仿宋_GB2312"/>
          <w:color w:val="auto"/>
          <w:spacing w:val="-6"/>
          <w:sz w:val="32"/>
          <w:szCs w:val="32"/>
          <w:highlight w:val="none"/>
          <w:u w:val="none"/>
        </w:rPr>
        <w:t>河南省</w:t>
      </w:r>
      <w:r>
        <w:rPr>
          <w:rFonts w:hint="eastAsia" w:ascii="仿宋_GB2312" w:hAnsi="仿宋_GB2312" w:eastAsia="仿宋_GB2312" w:cs="仿宋_GB2312"/>
          <w:color w:val="auto"/>
          <w:spacing w:val="-6"/>
          <w:sz w:val="32"/>
          <w:szCs w:val="32"/>
          <w:highlight w:val="none"/>
          <w:u w:val="none"/>
          <w:lang w:val="en-US" w:eastAsia="zh-CN"/>
        </w:rPr>
        <w:t>医药采购平台</w:t>
      </w:r>
      <w:r>
        <w:rPr>
          <w:rFonts w:hint="eastAsia" w:cs="仿宋_GB2312"/>
          <w:color w:val="auto"/>
          <w:spacing w:val="-6"/>
          <w:sz w:val="32"/>
          <w:szCs w:val="32"/>
          <w:highlight w:val="none"/>
          <w:u w:val="none"/>
          <w:lang w:val="en-US" w:eastAsia="zh-CN"/>
        </w:rPr>
        <w:t>或</w:t>
      </w:r>
      <w:r>
        <w:rPr>
          <w:rFonts w:hint="eastAsia" w:ascii="仿宋_GB2312" w:hAnsi="仿宋_GB2312" w:eastAsia="仿宋_GB2312" w:cs="仿宋_GB2312"/>
          <w:color w:val="auto"/>
          <w:spacing w:val="-6"/>
          <w:sz w:val="32"/>
          <w:szCs w:val="32"/>
          <w:highlight w:val="none"/>
          <w:u w:val="none"/>
        </w:rPr>
        <w:t>联盟地区指定网站公布中选结果。</w:t>
      </w:r>
    </w:p>
    <w:p>
      <w:pPr>
        <w:pStyle w:val="5"/>
        <w:bidi w:val="0"/>
        <w:rPr>
          <w:rFonts w:hint="eastAsia"/>
        </w:rPr>
      </w:pPr>
      <w:r>
        <w:rPr>
          <w:rFonts w:hint="eastAsia"/>
        </w:rPr>
        <w:t>（三）网上信息维护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spacing w:val="0"/>
          <w:sz w:val="32"/>
          <w:szCs w:val="32"/>
          <w:highlight w:val="none"/>
          <w:u w:val="none"/>
        </w:rPr>
        <w:t>为做好采购协议签订等后续工作，中选企业需使用数字证书登录</w:t>
      </w:r>
      <w:r>
        <w:rPr>
          <w:rFonts w:hint="eastAsia" w:ascii="仿宋_GB2312" w:hAnsi="仿宋_GB2312" w:eastAsia="仿宋_GB2312" w:cs="仿宋_GB2312"/>
          <w:color w:val="auto"/>
          <w:sz w:val="32"/>
          <w:szCs w:val="32"/>
          <w:highlight w:val="none"/>
          <w:u w:val="none"/>
        </w:rPr>
        <w:t>河南省</w:t>
      </w:r>
      <w:r>
        <w:rPr>
          <w:rFonts w:hint="eastAsia" w:ascii="仿宋_GB2312" w:hAnsi="仿宋_GB2312" w:eastAsia="仿宋_GB2312" w:cs="仿宋_GB2312"/>
          <w:color w:val="auto"/>
          <w:sz w:val="32"/>
          <w:szCs w:val="32"/>
          <w:highlight w:val="none"/>
          <w:u w:val="none"/>
          <w:lang w:val="en-US" w:eastAsia="zh-CN"/>
        </w:rPr>
        <w:t>医药集中采购平台</w:t>
      </w:r>
      <w:r>
        <w:rPr>
          <w:rFonts w:hint="eastAsia" w:ascii="仿宋_GB2312" w:hAnsi="仿宋_GB2312" w:eastAsia="仿宋_GB2312" w:cs="仿宋_GB2312"/>
          <w:color w:val="auto"/>
          <w:spacing w:val="0"/>
          <w:sz w:val="32"/>
          <w:szCs w:val="32"/>
          <w:highlight w:val="none"/>
          <w:u w:val="none"/>
        </w:rPr>
        <w:t>，维护企业及产品信息。</w:t>
      </w:r>
    </w:p>
    <w:p>
      <w:pPr>
        <w:pStyle w:val="4"/>
        <w:numPr>
          <w:ilvl w:val="0"/>
          <w:numId w:val="1"/>
        </w:numPr>
        <w:bidi w:val="0"/>
        <w:rPr>
          <w:rFonts w:hint="eastAsia"/>
          <w:lang w:val="en-US" w:eastAsia="zh-CN"/>
        </w:rPr>
      </w:pPr>
      <w:bookmarkStart w:id="36" w:name="_Toc9165"/>
      <w:r>
        <w:rPr>
          <w:rFonts w:hint="eastAsia"/>
          <w:lang w:val="en-US" w:eastAsia="zh-CN"/>
        </w:rPr>
        <w:t>约定采购量分配</w:t>
      </w:r>
      <w:bookmarkEnd w:id="36"/>
    </w:p>
    <w:p>
      <w:pPr>
        <w:pStyle w:val="2"/>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bookmarkStart w:id="37" w:name="_Toc30393"/>
      <w:bookmarkStart w:id="38" w:name="_Toc24617"/>
      <w:r>
        <w:rPr>
          <w:rFonts w:hint="eastAsia" w:ascii="仿宋_GB2312" w:hAnsi="仿宋_GB2312" w:eastAsia="仿宋_GB2312" w:cs="仿宋_GB2312"/>
          <w:sz w:val="32"/>
          <w:szCs w:val="32"/>
          <w:lang w:val="en-US" w:eastAsia="zh-CN"/>
        </w:rPr>
        <w:t>集中采购结果执行周期内，根据各医疗机构填报的采购需求</w:t>
      </w:r>
    </w:p>
    <w:p>
      <w:pPr>
        <w:pStyle w:val="2"/>
        <w:keepNext w:val="0"/>
        <w:keepLines w:val="0"/>
        <w:pageBreakBefore w:val="0"/>
        <w:kinsoku/>
        <w:wordWrap/>
        <w:overflowPunct/>
        <w:topLinePunct w:val="0"/>
        <w:bidi w:val="0"/>
        <w:snapToGrid/>
        <w:spacing w:line="560" w:lineRule="exact"/>
        <w:ind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量，将中选产品协议采购量分配给对应中选企业。</w:t>
      </w:r>
    </w:p>
    <w:p>
      <w:pPr>
        <w:pStyle w:val="2"/>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1.医疗机构报量的企业若在中选范围，对应产品采购需求量的100%直接计入该中选企业的协议采购量；按照</w:t>
      </w:r>
      <w:r>
        <w:rPr>
          <w:rFonts w:hint="eastAsia" w:ascii="仿宋_GB2312" w:hAnsi="仿宋_GB2312" w:eastAsia="仿宋_GB2312" w:cs="仿宋_GB2312"/>
          <w:b w:val="0"/>
          <w:bCs w:val="0"/>
          <w:snapToGrid/>
          <w:color w:val="auto"/>
          <w:kern w:val="2"/>
          <w:sz w:val="32"/>
          <w:szCs w:val="32"/>
          <w:highlight w:val="none"/>
          <w:u w:val="none"/>
          <w:lang w:val="en-US" w:eastAsia="zh-CN" w:bidi="ar-SA"/>
        </w:rPr>
        <w:t>复活</w:t>
      </w:r>
      <w:r>
        <w:rPr>
          <w:rFonts w:hint="eastAsia" w:ascii="仿宋_GB2312" w:hAnsi="仿宋_GB2312" w:eastAsia="仿宋_GB2312" w:cs="仿宋_GB2312"/>
          <w:sz w:val="32"/>
          <w:szCs w:val="32"/>
          <w:lang w:val="en-US" w:eastAsia="zh-CN"/>
        </w:rPr>
        <w:t>中选的企业对应产品采购需求量的50%（如出现非整数则向上取整至个位）直接计入该中选企业的协议采购量。</w:t>
      </w:r>
    </w:p>
    <w:p>
      <w:pPr>
        <w:keepNext w:val="0"/>
        <w:keepLines w:val="0"/>
        <w:pageBreakBefore w:val="0"/>
        <w:widowControl/>
        <w:suppressLineNumbers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2.医疗机构报量但未中选企业产品采购需求量的100%以及</w:t>
      </w:r>
      <w:r>
        <w:rPr>
          <w:rFonts w:hint="eastAsia" w:ascii="仿宋_GB2312" w:hAnsi="仿宋_GB2312" w:eastAsia="仿宋_GB2312" w:cs="仿宋_GB2312"/>
          <w:b w:val="0"/>
          <w:bCs w:val="0"/>
          <w:snapToGrid/>
          <w:color w:val="auto"/>
          <w:kern w:val="2"/>
          <w:sz w:val="32"/>
          <w:szCs w:val="32"/>
          <w:highlight w:val="none"/>
          <w:u w:val="none"/>
          <w:lang w:val="en-US" w:eastAsia="zh-CN" w:bidi="ar-SA"/>
        </w:rPr>
        <w:t>复活</w:t>
      </w:r>
      <w:r>
        <w:rPr>
          <w:rFonts w:hint="eastAsia" w:ascii="仿宋_GB2312" w:hAnsi="仿宋_GB2312" w:eastAsia="仿宋_GB2312" w:cs="仿宋_GB2312"/>
          <w:color w:val="000000"/>
          <w:kern w:val="0"/>
          <w:sz w:val="32"/>
          <w:szCs w:val="32"/>
          <w:lang w:val="en-US" w:eastAsia="zh-CN" w:bidi="ar"/>
        </w:rPr>
        <w:t xml:space="preserve">中选企业中选产品采购需求量的50%（如出现非整数则向下取整至个位）共同组成剩余量，剩余量分配原则如下： </w:t>
      </w:r>
    </w:p>
    <w:p>
      <w:pPr>
        <w:keepNext w:val="0"/>
        <w:keepLines w:val="0"/>
        <w:pageBreakBefore w:val="0"/>
        <w:widowControl/>
        <w:suppressLineNumbers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（1）如某医疗机构报量中有同二级目录中选价格最低的中选</w:t>
      </w:r>
    </w:p>
    <w:p>
      <w:pPr>
        <w:keepNext w:val="0"/>
        <w:keepLines w:val="0"/>
        <w:pageBreakBefore w:val="0"/>
        <w:widowControl/>
        <w:suppressLineNumbers w:val="0"/>
        <w:kinsoku/>
        <w:wordWrap/>
        <w:overflowPunct/>
        <w:topLinePunct w:val="0"/>
        <w:bidi w:val="0"/>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企业（不包含</w:t>
      </w:r>
      <w:r>
        <w:rPr>
          <w:rFonts w:hint="eastAsia" w:ascii="仿宋_GB2312" w:hAnsi="仿宋_GB2312" w:eastAsia="仿宋_GB2312" w:cs="仿宋_GB2312"/>
          <w:b w:val="0"/>
          <w:bCs w:val="0"/>
          <w:snapToGrid/>
          <w:color w:val="auto"/>
          <w:kern w:val="2"/>
          <w:sz w:val="32"/>
          <w:szCs w:val="32"/>
          <w:highlight w:val="none"/>
          <w:u w:val="none"/>
          <w:lang w:val="en-US" w:eastAsia="zh-CN" w:bidi="ar-SA"/>
        </w:rPr>
        <w:t>复活</w:t>
      </w:r>
      <w:r>
        <w:rPr>
          <w:rFonts w:hint="eastAsia" w:ascii="仿宋_GB2312" w:hAnsi="仿宋_GB2312" w:eastAsia="仿宋_GB2312" w:cs="仿宋_GB2312"/>
          <w:color w:val="000000"/>
          <w:kern w:val="0"/>
          <w:sz w:val="32"/>
          <w:szCs w:val="32"/>
          <w:lang w:val="en-US" w:eastAsia="zh-CN" w:bidi="ar"/>
        </w:rPr>
        <w:t>中选企业），则此医疗机构该二级目录剩余量</w:t>
      </w:r>
      <w:r>
        <w:rPr>
          <w:rFonts w:hint="eastAsia" w:ascii="仿宋_GB2312" w:hAnsi="仿宋_GB2312" w:eastAsia="仿宋_GB2312" w:cs="仿宋_GB2312"/>
          <w:color w:val="000000"/>
          <w:kern w:val="0"/>
          <w:sz w:val="32"/>
          <w:szCs w:val="32"/>
          <w:highlight w:val="none"/>
          <w:lang w:val="en-US" w:eastAsia="zh-CN" w:bidi="ar"/>
        </w:rPr>
        <w:t>的</w:t>
      </w:r>
      <w:r>
        <w:rPr>
          <w:rFonts w:hint="eastAsia" w:cs="仿宋_GB2312"/>
          <w:color w:val="000000"/>
          <w:kern w:val="0"/>
          <w:sz w:val="32"/>
          <w:szCs w:val="32"/>
          <w:highlight w:val="none"/>
          <w:lang w:val="en-US" w:eastAsia="zh-CN" w:bidi="ar"/>
        </w:rPr>
        <w:t>3</w:t>
      </w:r>
      <w:r>
        <w:rPr>
          <w:rFonts w:hint="eastAsia" w:ascii="仿宋_GB2312" w:hAnsi="仿宋_GB2312" w:eastAsia="仿宋_GB2312" w:cs="仿宋_GB2312"/>
          <w:color w:val="000000"/>
          <w:kern w:val="0"/>
          <w:sz w:val="32"/>
          <w:szCs w:val="32"/>
          <w:highlight w:val="none"/>
          <w:lang w:val="en-US" w:eastAsia="zh-CN" w:bidi="ar"/>
        </w:rPr>
        <w:t>0%（</w:t>
      </w:r>
      <w:r>
        <w:rPr>
          <w:rFonts w:hint="eastAsia" w:ascii="仿宋_GB2312" w:hAnsi="仿宋_GB2312" w:eastAsia="仿宋_GB2312" w:cs="仿宋_GB2312"/>
          <w:color w:val="000000"/>
          <w:kern w:val="0"/>
          <w:sz w:val="32"/>
          <w:szCs w:val="32"/>
          <w:lang w:val="en-US" w:eastAsia="zh-CN" w:bidi="ar"/>
        </w:rPr>
        <w:t xml:space="preserve">如出现非整数则向上取整至个位）分配给中选价格最低的中选企业。其余量，可优先使用中选价格最低的中选企业产品，也可从所有中选企业产品中自主选择使用。 </w:t>
      </w:r>
    </w:p>
    <w:p>
      <w:pPr>
        <w:keepNext w:val="0"/>
        <w:keepLines w:val="0"/>
        <w:pageBreakBefore w:val="0"/>
        <w:widowControl/>
        <w:suppressLineNumbers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（2）如某医疗机构报量中没有同二级目录中选价格最低的中</w:t>
      </w:r>
    </w:p>
    <w:p>
      <w:pPr>
        <w:keepNext w:val="0"/>
        <w:keepLines w:val="0"/>
        <w:pageBreakBefore w:val="0"/>
        <w:widowControl/>
        <w:suppressLineNumbers w:val="0"/>
        <w:kinsoku/>
        <w:wordWrap/>
        <w:overflowPunct/>
        <w:topLinePunct w:val="0"/>
        <w:bidi w:val="0"/>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选企业，则此医疗机构该二级目录剩余量，可优先使用中选价格最低的中选企业产品，也可从所有中选企业产品中自主选择使用。</w:t>
      </w:r>
    </w:p>
    <w:bookmarkEnd w:id="37"/>
    <w:bookmarkEnd w:id="38"/>
    <w:p>
      <w:pPr>
        <w:pStyle w:val="4"/>
        <w:pageBreakBefore w:val="0"/>
        <w:widowControl w:val="0"/>
        <w:kinsoku/>
        <w:wordWrap/>
        <w:overflowPunct/>
        <w:topLinePunct w:val="0"/>
        <w:bidi w:val="0"/>
        <w:snapToGrid/>
        <w:spacing w:beforeLines="0" w:afterLines="0" w:line="600" w:lineRule="exact"/>
        <w:textAlignment w:val="auto"/>
        <w:rPr>
          <w:rFonts w:hint="eastAsia" w:ascii="黑体" w:hAnsi="黑体" w:eastAsia="黑体" w:cs="黑体"/>
          <w:color w:val="auto"/>
          <w:highlight w:val="none"/>
          <w:u w:val="none"/>
          <w:lang w:val="en-US" w:eastAsia="zh-CN"/>
        </w:rPr>
      </w:pPr>
      <w:bookmarkStart w:id="39" w:name="_Toc28639"/>
      <w:bookmarkStart w:id="40" w:name="_Toc25811"/>
      <w:bookmarkStart w:id="41" w:name="_Toc32238"/>
      <w:r>
        <w:rPr>
          <w:rFonts w:hint="eastAsia" w:cs="黑体"/>
          <w:color w:val="auto"/>
          <w:highlight w:val="none"/>
          <w:u w:val="none"/>
          <w:lang w:val="en-US" w:eastAsia="zh-CN"/>
        </w:rPr>
        <w:t>八</w:t>
      </w:r>
      <w:r>
        <w:rPr>
          <w:rFonts w:hint="eastAsia" w:ascii="黑体" w:hAnsi="黑体" w:eastAsia="黑体" w:cs="黑体"/>
          <w:color w:val="auto"/>
          <w:highlight w:val="none"/>
          <w:u w:val="none"/>
          <w:lang w:val="en-US" w:eastAsia="zh-CN"/>
        </w:rPr>
        <w:t>、采购协议签订</w:t>
      </w:r>
      <w:bookmarkEnd w:id="39"/>
      <w:bookmarkEnd w:id="40"/>
    </w:p>
    <w:p>
      <w:pPr>
        <w:pageBreakBefore w:val="0"/>
        <w:widowControl w:val="0"/>
        <w:tabs>
          <w:tab w:val="left" w:pos="2013"/>
        </w:tabs>
        <w:kinsoku/>
        <w:wordWrap/>
        <w:overflowPunct/>
        <w:topLinePunct w:val="0"/>
        <w:bidi w:val="0"/>
        <w:snapToGrid/>
        <w:spacing w:line="600" w:lineRule="exact"/>
        <w:ind w:firstLine="640" w:firstLineChars="200"/>
        <w:jc w:val="both"/>
        <w:textAlignment w:val="auto"/>
        <w:rPr>
          <w:rFonts w:hint="eastAsia"/>
          <w:spacing w:val="4"/>
          <w:w w:val="95"/>
          <w:sz w:val="32"/>
          <w:highlight w:val="none"/>
          <w:u w:val="none"/>
        </w:rPr>
      </w:pPr>
      <w:r>
        <w:rPr>
          <w:rFonts w:hint="eastAsia"/>
          <w:color w:val="auto"/>
          <w:highlight w:val="none"/>
          <w:u w:val="none"/>
          <w:lang w:val="en-US" w:eastAsia="zh-CN"/>
        </w:rPr>
        <w:t>1.联盟</w:t>
      </w:r>
      <w:r>
        <w:rPr>
          <w:color w:val="auto"/>
          <w:highlight w:val="none"/>
          <w:u w:val="none"/>
          <w:lang w:val="en-US" w:eastAsia="zh-CN"/>
        </w:rPr>
        <w:t>采购办公室公布中选结果后，</w:t>
      </w:r>
      <w:r>
        <w:rPr>
          <w:rFonts w:hint="eastAsia"/>
          <w:spacing w:val="4"/>
          <w:w w:val="95"/>
          <w:sz w:val="32"/>
          <w:highlight w:val="none"/>
          <w:u w:val="none"/>
        </w:rPr>
        <w:t>各中选企业应按照中选供应产品清单及中选价格与配送企业、医疗机构签订带量采购协议，并严格履行购销协议，切实保障医用耗材质量和供应。</w:t>
      </w:r>
    </w:p>
    <w:p>
      <w:pPr>
        <w:pageBreakBefore w:val="0"/>
        <w:widowControl w:val="0"/>
        <w:tabs>
          <w:tab w:val="left" w:pos="2013"/>
        </w:tabs>
        <w:kinsoku/>
        <w:wordWrap/>
        <w:overflowPunct/>
        <w:topLinePunct w:val="0"/>
        <w:bidi w:val="0"/>
        <w:snapToGrid/>
        <w:spacing w:line="600" w:lineRule="exact"/>
        <w:ind w:firstLine="640" w:firstLineChars="200"/>
        <w:jc w:val="both"/>
        <w:textAlignment w:val="auto"/>
        <w:rPr>
          <w:rFonts w:hint="eastAsia" w:eastAsia="仿宋_GB2312"/>
          <w:color w:val="auto"/>
          <w:highlight w:val="none"/>
          <w:u w:val="none"/>
          <w:lang w:val="en-US" w:eastAsia="zh-CN"/>
        </w:rPr>
      </w:pPr>
      <w:r>
        <w:rPr>
          <w:rFonts w:hint="eastAsia"/>
          <w:color w:val="auto"/>
          <w:highlight w:val="none"/>
          <w:u w:val="none"/>
          <w:lang w:val="en-US" w:eastAsia="zh-CN"/>
        </w:rPr>
        <w:t>2.采购协议必须如实反映实际供应价格和采购量，</w:t>
      </w:r>
      <w:r>
        <w:rPr>
          <w:rFonts w:hint="eastAsia"/>
          <w:spacing w:val="6"/>
          <w:w w:val="95"/>
          <w:sz w:val="32"/>
          <w:highlight w:val="none"/>
          <w:u w:val="none"/>
        </w:rPr>
        <w:t>采购方应当根据协议的约定及时回款，不得拖欠。</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3.采购协议签订后，医疗机构与中选企业不得再订立背离协议实质性内容的其他协议，或提出除协议之外的任何利益性要求。</w:t>
      </w:r>
    </w:p>
    <w:p>
      <w:pPr>
        <w:pageBreakBefore w:val="0"/>
        <w:widowControl w:val="0"/>
        <w:tabs>
          <w:tab w:val="left" w:pos="2013"/>
        </w:tabs>
        <w:kinsoku/>
        <w:wordWrap/>
        <w:overflowPunct/>
        <w:topLinePunct w:val="0"/>
        <w:bidi w:val="0"/>
        <w:snapToGrid/>
        <w:spacing w:line="600" w:lineRule="exact"/>
        <w:ind w:firstLine="640" w:firstLineChars="200"/>
        <w:jc w:val="both"/>
        <w:textAlignment w:val="auto"/>
        <w:rPr>
          <w:rFonts w:hint="eastAsia" w:eastAsia="仿宋_GB2312"/>
          <w:color w:val="auto"/>
          <w:highlight w:val="none"/>
          <w:u w:val="none"/>
          <w:lang w:eastAsia="zh-CN"/>
        </w:rPr>
      </w:pPr>
      <w:r>
        <w:rPr>
          <w:rFonts w:hint="eastAsia"/>
          <w:color w:val="auto"/>
          <w:highlight w:val="none"/>
          <w:u w:val="none"/>
          <w:lang w:val="en-US" w:eastAsia="zh-CN"/>
        </w:rPr>
        <w:t>4.自联盟地区</w:t>
      </w:r>
      <w:r>
        <w:rPr>
          <w:rFonts w:hint="eastAsia"/>
          <w:spacing w:val="4"/>
          <w:w w:val="95"/>
          <w:sz w:val="32"/>
          <w:highlight w:val="none"/>
          <w:u w:val="none"/>
          <w:lang w:eastAsia="zh-CN"/>
        </w:rPr>
        <w:t>采购周期执行日起，超过三个月未按照要求与医疗机构签订采购协议且不供应、不配送等不能按时满足医疗机构采购需求的中选企业，由联盟地区结合实际情况，按照程序中止其中选资格，并按照信用评价相关规定处理。</w:t>
      </w:r>
    </w:p>
    <w:bookmarkEnd w:id="41"/>
    <w:p>
      <w:pPr>
        <w:pStyle w:val="4"/>
        <w:pageBreakBefore w:val="0"/>
        <w:widowControl w:val="0"/>
        <w:kinsoku/>
        <w:wordWrap/>
        <w:overflowPunct/>
        <w:topLinePunct w:val="0"/>
        <w:bidi w:val="0"/>
        <w:snapToGrid/>
        <w:spacing w:beforeLines="0" w:afterLines="0" w:line="600" w:lineRule="exact"/>
        <w:textAlignment w:val="auto"/>
        <w:rPr>
          <w:rFonts w:hint="eastAsia" w:ascii="黑体" w:hAnsi="黑体" w:eastAsia="黑体" w:cs="黑体"/>
          <w:color w:val="auto"/>
          <w:highlight w:val="none"/>
          <w:u w:val="none"/>
          <w:lang w:val="en-US" w:eastAsia="zh-CN"/>
        </w:rPr>
      </w:pPr>
      <w:bookmarkStart w:id="42" w:name="_Toc5783"/>
      <w:bookmarkStart w:id="43" w:name="_Toc26233"/>
      <w:r>
        <w:rPr>
          <w:rFonts w:hint="eastAsia" w:cs="黑体"/>
          <w:color w:val="auto"/>
          <w:highlight w:val="none"/>
          <w:u w:val="none"/>
          <w:lang w:val="en-US" w:eastAsia="zh-CN"/>
        </w:rPr>
        <w:t>九</w:t>
      </w:r>
      <w:r>
        <w:rPr>
          <w:rFonts w:hint="eastAsia" w:ascii="黑体" w:hAnsi="黑体" w:eastAsia="黑体" w:cs="黑体"/>
          <w:color w:val="auto"/>
          <w:highlight w:val="none"/>
          <w:u w:val="none"/>
          <w:lang w:val="en-US" w:eastAsia="zh-CN"/>
        </w:rPr>
        <w:t>、采购协议履行及有关问题处理</w:t>
      </w:r>
      <w:bookmarkEnd w:id="42"/>
      <w:bookmarkEnd w:id="43"/>
    </w:p>
    <w:p>
      <w:pPr>
        <w:pageBreakBefore w:val="0"/>
        <w:widowControl w:val="0"/>
        <w:kinsoku/>
        <w:wordWrap/>
        <w:overflowPunct/>
        <w:topLinePunct w:val="0"/>
        <w:bidi w:val="0"/>
        <w:snapToGrid/>
        <w:spacing w:line="600" w:lineRule="exact"/>
        <w:textAlignment w:val="auto"/>
        <w:rPr>
          <w:rFonts w:hint="eastAsia" w:ascii="楷体_GB2312" w:hAnsi="楷体_GB2312" w:eastAsia="楷体_GB2312" w:cs="楷体_GB2312"/>
          <w:color w:val="auto"/>
          <w:highlight w:val="none"/>
          <w:u w:val="none"/>
          <w:lang w:val="en-US" w:eastAsia="zh-CN"/>
        </w:rPr>
      </w:pPr>
      <w:r>
        <w:rPr>
          <w:rFonts w:hint="eastAsia" w:ascii="楷体_GB2312" w:hAnsi="楷体_GB2312" w:eastAsia="楷体_GB2312" w:cs="楷体_GB2312"/>
          <w:color w:val="auto"/>
          <w:highlight w:val="none"/>
          <w:u w:val="none"/>
          <w:lang w:val="en-US" w:eastAsia="zh-CN"/>
        </w:rPr>
        <w:t>（一）中选企业应严格履行协议，依法参与集中采购，合理选择配送企业，保障供应</w:t>
      </w:r>
    </w:p>
    <w:p>
      <w:pPr>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color w:val="auto"/>
          <w:spacing w:val="0"/>
          <w:sz w:val="32"/>
          <w:szCs w:val="32"/>
          <w:highlight w:val="none"/>
          <w:u w:val="none"/>
          <w:lang w:eastAsia="zh-CN"/>
        </w:rPr>
      </w:pPr>
      <w:r>
        <w:rPr>
          <w:rFonts w:hint="eastAsia" w:ascii="仿宋_GB2312" w:hAnsi="仿宋_GB2312" w:eastAsia="仿宋_GB2312" w:cs="仿宋_GB2312"/>
          <w:color w:val="auto"/>
          <w:spacing w:val="0"/>
          <w:sz w:val="32"/>
          <w:szCs w:val="32"/>
          <w:highlight w:val="none"/>
          <w:u w:val="none"/>
          <w:lang w:val="en-US" w:eastAsia="zh-CN"/>
        </w:rPr>
        <w:t>1.</w:t>
      </w:r>
      <w:r>
        <w:rPr>
          <w:rFonts w:hint="eastAsia" w:ascii="仿宋_GB2312" w:hAnsi="仿宋_GB2312" w:eastAsia="仿宋_GB2312" w:cs="仿宋_GB2312"/>
          <w:color w:val="auto"/>
          <w:spacing w:val="0"/>
          <w:sz w:val="32"/>
          <w:szCs w:val="32"/>
          <w:highlight w:val="none"/>
          <w:u w:val="none"/>
          <w:lang w:eastAsia="zh-CN"/>
        </w:rPr>
        <w:t>申报企业按要求</w:t>
      </w:r>
      <w:r>
        <w:rPr>
          <w:rFonts w:hint="eastAsia" w:cs="仿宋_GB2312"/>
          <w:color w:val="auto"/>
          <w:spacing w:val="0"/>
          <w:sz w:val="32"/>
          <w:szCs w:val="32"/>
          <w:highlight w:val="none"/>
          <w:u w:val="none"/>
          <w:lang w:eastAsia="zh-CN"/>
        </w:rPr>
        <w:t>足量供应联盟地区医疗机构</w:t>
      </w:r>
      <w:r>
        <w:rPr>
          <w:rFonts w:hint="eastAsia" w:ascii="仿宋_GB2312" w:hAnsi="仿宋_GB2312" w:eastAsia="仿宋_GB2312" w:cs="仿宋_GB2312"/>
          <w:color w:val="auto"/>
          <w:spacing w:val="0"/>
          <w:sz w:val="32"/>
          <w:szCs w:val="32"/>
          <w:highlight w:val="none"/>
          <w:u w:val="none"/>
          <w:lang w:eastAsia="zh-CN"/>
        </w:rPr>
        <w:t>，并确保质量。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sz w:val="32"/>
          <w:szCs w:val="32"/>
          <w:highlight w:val="none"/>
          <w:u w:val="none"/>
          <w:lang w:eastAsia="zh-CN"/>
        </w:rPr>
      </w:pPr>
      <w:r>
        <w:rPr>
          <w:rFonts w:hint="eastAsia" w:ascii="仿宋_GB2312" w:hAnsi="仿宋_GB2312" w:eastAsia="仿宋_GB2312" w:cs="仿宋_GB2312"/>
          <w:color w:val="auto"/>
          <w:spacing w:val="0"/>
          <w:sz w:val="32"/>
          <w:szCs w:val="32"/>
          <w:highlight w:val="none"/>
          <w:u w:val="none"/>
          <w:lang w:eastAsia="zh-CN"/>
        </w:rPr>
        <w:t>2.保证供应配送，并按照采购协议提供伴随服务。</w:t>
      </w:r>
    </w:p>
    <w:p>
      <w:pPr>
        <w:pageBreakBefore w:val="0"/>
        <w:widowControl w:val="0"/>
        <w:kinsoku/>
        <w:wordWrap/>
        <w:overflowPunct/>
        <w:topLinePunct w:val="0"/>
        <w:bidi w:val="0"/>
        <w:snapToGrid/>
        <w:spacing w:line="600" w:lineRule="exact"/>
        <w:textAlignment w:val="auto"/>
        <w:rPr>
          <w:rFonts w:hint="eastAsia" w:ascii="楷体_GB2312" w:hAnsi="楷体_GB2312" w:eastAsia="楷体_GB2312" w:cs="楷体_GB2312"/>
          <w:b w:val="0"/>
          <w:bCs w:val="0"/>
          <w:color w:val="auto"/>
          <w:highlight w:val="none"/>
          <w:u w:val="none"/>
          <w:lang w:val="en-US" w:eastAsia="zh-CN"/>
        </w:rPr>
      </w:pPr>
      <w:r>
        <w:rPr>
          <w:rFonts w:hint="eastAsia" w:ascii="楷体_GB2312" w:hAnsi="楷体_GB2312" w:eastAsia="楷体_GB2312" w:cs="楷体_GB2312"/>
          <w:color w:val="auto"/>
          <w:highlight w:val="none"/>
          <w:u w:val="none"/>
          <w:lang w:val="en-US" w:eastAsia="zh-CN"/>
        </w:rPr>
        <w:t>（二）申报企业、中选企业、配送企业如有以下行为，经有</w:t>
      </w:r>
      <w:r>
        <w:rPr>
          <w:rFonts w:hint="eastAsia" w:ascii="楷体_GB2312" w:hAnsi="楷体_GB2312" w:eastAsia="楷体_GB2312" w:cs="楷体_GB2312"/>
          <w:b w:val="0"/>
          <w:bCs w:val="0"/>
          <w:color w:val="auto"/>
          <w:highlight w:val="none"/>
          <w:u w:val="none"/>
          <w:lang w:val="en-US" w:eastAsia="zh-CN"/>
        </w:rPr>
        <w:t>关</w:t>
      </w:r>
      <w:r>
        <w:rPr>
          <w:rFonts w:hint="eastAsia" w:ascii="楷体_GB2312" w:hAnsi="楷体_GB2312" w:eastAsia="楷体_GB2312" w:cs="楷体_GB2312"/>
          <w:color w:val="auto"/>
          <w:highlight w:val="none"/>
          <w:u w:val="none"/>
          <w:lang w:val="en-US" w:eastAsia="zh-CN"/>
        </w:rPr>
        <w:t>部</w:t>
      </w:r>
      <w:r>
        <w:rPr>
          <w:rFonts w:hint="eastAsia" w:ascii="楷体_GB2312" w:hAnsi="楷体_GB2312" w:eastAsia="楷体_GB2312" w:cs="楷体_GB2312"/>
          <w:b w:val="0"/>
          <w:bCs w:val="0"/>
          <w:color w:val="auto"/>
          <w:highlight w:val="none"/>
          <w:u w:val="none"/>
          <w:lang w:val="en-US" w:eastAsia="zh-CN"/>
        </w:rPr>
        <w:t>门认定情节严重的将被列入“违规名单”</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color w:val="auto"/>
          <w:highlight w:val="none"/>
          <w:u w:val="none"/>
          <w:lang w:val="en-US" w:eastAsia="zh-CN"/>
        </w:rPr>
        <w:t>1.申报产品不符合“申报产品资格”</w:t>
      </w:r>
      <w:r>
        <w:rPr>
          <w:rFonts w:hint="eastAsia" w:ascii="仿宋_GB2312" w:hAnsi="仿宋_GB2312" w:eastAsia="仿宋_GB2312" w:cs="仿宋_GB2312"/>
          <w:color w:val="auto"/>
          <w:spacing w:val="0"/>
          <w:sz w:val="32"/>
          <w:szCs w:val="32"/>
          <w:highlight w:val="none"/>
          <w:u w:val="none"/>
          <w:lang w:eastAsia="zh-CN"/>
        </w:rPr>
        <w:t>或</w:t>
      </w:r>
      <w:r>
        <w:rPr>
          <w:color w:val="auto"/>
          <w:highlight w:val="none"/>
          <w:u w:val="none"/>
          <w:lang w:val="en-US" w:eastAsia="zh-CN"/>
        </w:rPr>
        <w:t>涉嫌不如实提供材</w:t>
      </w:r>
      <w:r>
        <w:rPr>
          <w:rFonts w:hint="eastAsia"/>
          <w:color w:val="auto"/>
          <w:highlight w:val="none"/>
          <w:u w:val="none"/>
          <w:lang w:val="en-US" w:eastAsia="zh-CN"/>
        </w:rPr>
        <w:t>料。</w:t>
      </w:r>
    </w:p>
    <w:p>
      <w:pPr>
        <w:pageBreakBefore w:val="0"/>
        <w:widowControl w:val="0"/>
        <w:kinsoku/>
        <w:wordWrap/>
        <w:overflowPunct/>
        <w:topLinePunct w:val="0"/>
        <w:autoSpaceDE/>
        <w:autoSpaceDN/>
        <w:bidi w:val="0"/>
        <w:adjustRightInd/>
        <w:snapToGrid/>
        <w:spacing w:line="600" w:lineRule="exact"/>
        <w:textAlignment w:val="auto"/>
        <w:rPr>
          <w:rFonts w:hint="default"/>
          <w:color w:val="auto"/>
          <w:highlight w:val="none"/>
          <w:u w:val="none"/>
          <w:lang w:val="en-US" w:eastAsia="zh-CN"/>
        </w:rPr>
      </w:pPr>
      <w:r>
        <w:rPr>
          <w:rFonts w:hint="eastAsia"/>
          <w:color w:val="auto"/>
          <w:highlight w:val="none"/>
          <w:u w:val="none"/>
          <w:lang w:val="en-US" w:eastAsia="zh-CN"/>
        </w:rPr>
        <w:t>2.提供商业贿赂，进行非法促销活动。</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3.以低于成本的价格恶意申报，扰乱市场秩序。</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4.相互串通申报、协商报价，排斥其他申报企业的公平竞争，损害医疗机构或者其他申报企业的合法利益。</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5.以向医疗机构、联盟采购办公室行贿等手段牟取中选。</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6.提供虚假证明文件及文献资料，或者以其他方式弄虚作假，骗取中选。</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7.在规定期限内不签订采购协议。</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8.中选企业、配送企业未按采购协议及法律法规要求实行配送。</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9.拟中选或中选后放弃中选资格。</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10.中选产品或配套工具不履行供货承诺，影响到临床使用。</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11.中选产品或配套使用的工具发生严重质量问题。</w:t>
      </w:r>
    </w:p>
    <w:p>
      <w:pPr>
        <w:pageBreakBefore w:val="0"/>
        <w:widowControl w:val="0"/>
        <w:kinsoku/>
        <w:wordWrap/>
        <w:overflowPunct/>
        <w:topLinePunct w:val="0"/>
        <w:autoSpaceDE/>
        <w:autoSpaceDN/>
        <w:bidi w:val="0"/>
        <w:adjustRightInd/>
        <w:snapToGrid/>
        <w:spacing w:line="600" w:lineRule="exact"/>
        <w:textAlignment w:val="auto"/>
        <w:rPr>
          <w:rFonts w:hint="default"/>
          <w:color w:val="auto"/>
          <w:highlight w:val="none"/>
          <w:u w:val="none"/>
          <w:lang w:val="en-US" w:eastAsia="zh-CN"/>
        </w:rPr>
      </w:pPr>
      <w:r>
        <w:rPr>
          <w:rFonts w:hint="eastAsia"/>
          <w:color w:val="auto"/>
          <w:highlight w:val="none"/>
          <w:u w:val="none"/>
          <w:lang w:val="en-US" w:eastAsia="zh-CN"/>
        </w:rPr>
        <w:t>12.中选产品因不符合耗材生产质量管理规范被药品监督管理部门处以暂停生产、销售、使用、进口等控制措施。</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13.在抽检或飞行检查中发现中选企业严重违背在申报材料中作出的承诺。</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14.通过恶意投诉等不正当手段竞争。</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15.蓄意干扰集中带量采购相关工作秩序。</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16.其他违反法律法规的行为。</w:t>
      </w:r>
    </w:p>
    <w:p>
      <w:pPr>
        <w:pageBreakBefore w:val="0"/>
        <w:widowControl w:val="0"/>
        <w:kinsoku/>
        <w:wordWrap/>
        <w:overflowPunct/>
        <w:topLinePunct w:val="0"/>
        <w:bidi w:val="0"/>
        <w:snapToGrid/>
        <w:spacing w:line="600" w:lineRule="exact"/>
        <w:textAlignment w:val="auto"/>
        <w:rPr>
          <w:rFonts w:hint="eastAsia" w:ascii="楷体_GB2312" w:hAnsi="楷体_GB2312" w:eastAsia="楷体_GB2312" w:cs="楷体_GB2312"/>
          <w:color w:val="auto"/>
          <w:highlight w:val="none"/>
          <w:u w:val="none"/>
        </w:rPr>
      </w:pPr>
      <w:r>
        <w:rPr>
          <w:rFonts w:hint="eastAsia" w:ascii="楷体_GB2312" w:hAnsi="楷体_GB2312" w:eastAsia="楷体_GB2312" w:cs="楷体_GB2312"/>
          <w:color w:val="auto"/>
          <w:highlight w:val="none"/>
          <w:u w:val="none"/>
          <w:lang w:val="en-US" w:eastAsia="zh-CN"/>
        </w:rPr>
        <w:t>（三）列入“违规名单”的相关企业，按以下方式处理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sz w:val="32"/>
          <w:szCs w:val="32"/>
          <w:highlight w:val="none"/>
          <w:u w:val="none"/>
          <w:lang w:eastAsia="zh-CN"/>
        </w:rPr>
      </w:pPr>
      <w:r>
        <w:rPr>
          <w:rFonts w:hint="eastAsia"/>
          <w:color w:val="auto"/>
          <w:highlight w:val="none"/>
          <w:u w:val="none"/>
          <w:lang w:val="en-US" w:eastAsia="zh-CN"/>
        </w:rPr>
        <w:t>1.申报企业列入联盟</w:t>
      </w:r>
      <w:r>
        <w:rPr>
          <w:rFonts w:hint="eastAsia" w:ascii="仿宋_GB2312" w:hAnsi="仿宋_GB2312" w:eastAsia="仿宋_GB2312" w:cs="仿宋_GB2312"/>
          <w:color w:val="auto"/>
          <w:spacing w:val="0"/>
          <w:sz w:val="32"/>
          <w:szCs w:val="32"/>
          <w:highlight w:val="none"/>
          <w:u w:val="none"/>
          <w:lang w:eastAsia="zh-CN"/>
        </w:rPr>
        <w:t>采购办公室</w:t>
      </w:r>
      <w:r>
        <w:rPr>
          <w:rFonts w:hint="eastAsia"/>
          <w:color w:val="auto"/>
          <w:highlight w:val="none"/>
          <w:u w:val="none"/>
          <w:lang w:val="en-US" w:eastAsia="zh-CN"/>
        </w:rPr>
        <w:t>“违规名单”的，取消该企业的申报资格；中选企业列入联盟</w:t>
      </w:r>
      <w:r>
        <w:rPr>
          <w:rFonts w:hint="eastAsia" w:ascii="仿宋_GB2312" w:hAnsi="仿宋_GB2312" w:eastAsia="仿宋_GB2312" w:cs="仿宋_GB2312"/>
          <w:color w:val="auto"/>
          <w:spacing w:val="0"/>
          <w:sz w:val="32"/>
          <w:szCs w:val="32"/>
          <w:highlight w:val="none"/>
          <w:u w:val="none"/>
          <w:lang w:eastAsia="zh-CN"/>
        </w:rPr>
        <w:t>采购办公室</w:t>
      </w:r>
      <w:r>
        <w:rPr>
          <w:rFonts w:hint="eastAsia"/>
          <w:color w:val="auto"/>
          <w:highlight w:val="none"/>
          <w:u w:val="none"/>
          <w:lang w:val="en-US" w:eastAsia="zh-CN"/>
        </w:rPr>
        <w:t>“违规名单”的，取消该企业的中选资格。</w:t>
      </w:r>
      <w:r>
        <w:rPr>
          <w:rFonts w:hint="eastAsia" w:ascii="仿宋_GB2312" w:hAnsi="仿宋_GB2312" w:eastAsia="仿宋_GB2312" w:cs="仿宋_GB2312"/>
          <w:color w:val="auto"/>
          <w:spacing w:val="0"/>
          <w:sz w:val="32"/>
          <w:szCs w:val="32"/>
          <w:highlight w:val="none"/>
          <w:u w:val="none"/>
          <w:lang w:eastAsia="zh-CN"/>
        </w:rPr>
        <w:t>申报企业或中选企业列入</w:t>
      </w:r>
      <w:r>
        <w:rPr>
          <w:rFonts w:hint="eastAsia"/>
          <w:color w:val="auto"/>
          <w:highlight w:val="none"/>
          <w:u w:val="none"/>
          <w:lang w:val="en-US" w:eastAsia="zh-CN"/>
        </w:rPr>
        <w:t>联盟</w:t>
      </w:r>
      <w:r>
        <w:rPr>
          <w:rFonts w:hint="eastAsia" w:ascii="仿宋_GB2312" w:hAnsi="仿宋_GB2312" w:eastAsia="仿宋_GB2312" w:cs="仿宋_GB2312"/>
          <w:color w:val="auto"/>
          <w:spacing w:val="0"/>
          <w:sz w:val="32"/>
          <w:szCs w:val="32"/>
          <w:highlight w:val="none"/>
          <w:u w:val="none"/>
          <w:lang w:eastAsia="zh-CN"/>
        </w:rPr>
        <w:t>采购办公室或其成员单位“违规名单”的，视情节轻重及客观实际，可取消上述企业或品种在列入“违规名单”之日起 2 年及以内参与医用耗材采购活动的资格。</w:t>
      </w:r>
    </w:p>
    <w:p>
      <w:pPr>
        <w:pageBreakBefore w:val="0"/>
        <w:widowControl w:val="0"/>
        <w:kinsoku/>
        <w:wordWrap/>
        <w:overflowPunct/>
        <w:topLinePunct w:val="0"/>
        <w:autoSpaceDE/>
        <w:autoSpaceDN/>
        <w:bidi w:val="0"/>
        <w:adjustRightInd/>
        <w:snapToGrid/>
        <w:spacing w:line="600" w:lineRule="exact"/>
        <w:textAlignment w:val="auto"/>
        <w:rPr>
          <w:color w:val="auto"/>
          <w:highlight w:val="none"/>
          <w:u w:val="none"/>
        </w:rPr>
      </w:pPr>
      <w:r>
        <w:rPr>
          <w:rFonts w:hint="eastAsia"/>
          <w:color w:val="auto"/>
          <w:highlight w:val="none"/>
          <w:u w:val="none"/>
          <w:lang w:val="en-US" w:eastAsia="zh-CN"/>
        </w:rPr>
        <w:t>2.配送企业列入联盟采购办公室或其成员单位“违规名单”的，可取消该企业的配送资格及列入“违规名单”之日起2 年及以内参与医用耗材集中采购的配送资格。</w:t>
      </w:r>
    </w:p>
    <w:p>
      <w:pPr>
        <w:pageBreakBefore w:val="0"/>
        <w:widowControl w:val="0"/>
        <w:kinsoku/>
        <w:wordWrap/>
        <w:overflowPunct/>
        <w:topLinePunct w:val="0"/>
        <w:bidi w:val="0"/>
        <w:snapToGrid/>
        <w:spacing w:line="600" w:lineRule="exact"/>
        <w:textAlignment w:val="auto"/>
        <w:rPr>
          <w:rFonts w:hint="eastAsia" w:ascii="楷体_GB2312" w:hAnsi="楷体_GB2312" w:eastAsia="楷体_GB2312" w:cs="楷体_GB2312"/>
          <w:color w:val="auto"/>
          <w:highlight w:val="none"/>
          <w:u w:val="none"/>
        </w:rPr>
      </w:pPr>
      <w:r>
        <w:rPr>
          <w:rFonts w:hint="eastAsia" w:ascii="楷体_GB2312" w:hAnsi="楷体_GB2312" w:eastAsia="楷体_GB2312" w:cs="楷体_GB2312"/>
          <w:color w:val="auto"/>
          <w:highlight w:val="none"/>
          <w:u w:val="none"/>
          <w:lang w:val="en-US" w:eastAsia="zh-CN"/>
        </w:rPr>
        <w:t>（四）其他事项</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1.采购周期内，中选企业出现无法保证供应等情况，致使采购协议无法继续履行时，</w:t>
      </w:r>
      <w:r>
        <w:rPr>
          <w:rFonts w:hint="eastAsia" w:ascii="仿宋_GB2312" w:hAnsi="仿宋_GB2312" w:eastAsia="仿宋_GB2312" w:cs="仿宋_GB2312"/>
          <w:color w:val="auto"/>
          <w:spacing w:val="0"/>
          <w:sz w:val="32"/>
          <w:szCs w:val="32"/>
          <w:highlight w:val="none"/>
          <w:u w:val="none"/>
          <w:lang w:eastAsia="zh-CN"/>
        </w:rPr>
        <w:t>相关地区与该企业协商后</w:t>
      </w:r>
      <w:r>
        <w:rPr>
          <w:rFonts w:hint="eastAsia"/>
          <w:color w:val="auto"/>
          <w:highlight w:val="none"/>
          <w:u w:val="none"/>
          <w:lang w:val="en-US" w:eastAsia="zh-CN"/>
        </w:rPr>
        <w:t>，由医疗机构在同一产品目录下从中选产品中自主选择价格适宜的产品。因保障供应产生的额外支出由无法履行采购协议的原中选企业承担。</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2.采购需求量完成后，医疗机构仍应优先使用中选产品。</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3.采购周期内，若中选产品的配送企业被列入“违规名单”，相应地区应及时处理，组织中选企业选择其他配送企业，确保中选产品及时配送。</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4.严格落实中选企业自主选择配送企业。</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5.执行中选结果前，中选企业应配备足够的配套工具，应结合临床实际，对需求量大、医疗机构数量多的地区，适当增加配套工具投放比例。</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6.伴随服务包括协助组装工具、进行必要的工具使用指导、对医疗机构进行工具操作培训等。</w:t>
      </w:r>
    </w:p>
    <w:p>
      <w:pPr>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highlight w:val="none"/>
          <w:u w:val="none"/>
          <w:lang w:val="en-US" w:eastAsia="zh-CN"/>
        </w:rPr>
      </w:pPr>
      <w:r>
        <w:rPr>
          <w:rFonts w:hint="eastAsia" w:cs="仿宋_GB2312"/>
          <w:color w:val="auto"/>
          <w:highlight w:val="none"/>
          <w:u w:val="none"/>
          <w:lang w:val="en-US" w:eastAsia="zh-CN"/>
        </w:rPr>
        <w:t>7.</w:t>
      </w:r>
      <w:r>
        <w:rPr>
          <w:rFonts w:hint="eastAsia" w:ascii="仿宋_GB2312" w:hAnsi="仿宋_GB2312" w:eastAsia="仿宋_GB2312" w:cs="仿宋_GB2312"/>
          <w:color w:val="auto"/>
          <w:highlight w:val="none"/>
          <w:u w:val="none"/>
          <w:lang w:val="en-US" w:eastAsia="zh-CN"/>
        </w:rPr>
        <w:t>厂家不能降低服务质量，中选后须根据医疗机构需要提供相应的配套服务。</w:t>
      </w:r>
    </w:p>
    <w:p>
      <w:pPr>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u w:val="none"/>
          <w:lang w:val="en-US" w:eastAsia="zh-CN"/>
        </w:rPr>
      </w:pPr>
      <w:r>
        <w:rPr>
          <w:rFonts w:hint="eastAsia"/>
          <w:color w:val="auto"/>
          <w:highlight w:val="none"/>
          <w:u w:val="none"/>
          <w:lang w:val="en-US" w:eastAsia="zh-CN"/>
        </w:rPr>
        <w:t>8.因中选产品存在生产质量问题，给患者造成的损失，按照相关规定，由中选企业承担全部赔偿责任。</w:t>
      </w:r>
    </w:p>
    <w:p>
      <w:pPr>
        <w:pageBreakBefore w:val="0"/>
        <w:widowControl w:val="0"/>
        <w:kinsoku/>
        <w:wordWrap/>
        <w:overflowPunct/>
        <w:topLinePunct w:val="0"/>
        <w:bidi w:val="0"/>
        <w:snapToGrid/>
        <w:spacing w:line="600" w:lineRule="exact"/>
        <w:textAlignment w:val="auto"/>
        <w:rPr>
          <w:rFonts w:hint="eastAsia" w:ascii="黑体" w:hAnsi="黑体" w:eastAsia="黑体" w:cs="黑体"/>
          <w:color w:val="auto"/>
          <w:kern w:val="0"/>
          <w:sz w:val="32"/>
          <w:szCs w:val="32"/>
          <w:lang w:val="en-US" w:eastAsia="zh-CN" w:bidi="ar"/>
        </w:rPr>
      </w:pPr>
      <w:r>
        <w:rPr>
          <w:rFonts w:hint="eastAsia" w:ascii="楷体_GB2312" w:hAnsi="楷体_GB2312" w:eastAsia="楷体_GB2312" w:cs="楷体_GB2312"/>
          <w:color w:val="auto"/>
          <w:highlight w:val="none"/>
          <w:u w:val="none"/>
          <w:lang w:val="en-US" w:eastAsia="zh-CN"/>
        </w:rPr>
        <w:t>（五）本采购文件仅适用于本次医用耗材集中带量采购所述项目的医用耗材及相关服务，最终解释权归联盟采购办公室。</w:t>
      </w:r>
    </w:p>
    <w:p>
      <w:pPr>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br w:type="page"/>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4680" w:beforeLines="1500" w:line="600" w:lineRule="exact"/>
        <w:ind w:firstLine="0" w:firstLineChars="0"/>
        <w:jc w:val="center"/>
        <w:textAlignment w:val="auto"/>
        <w:outlineLvl w:val="0"/>
        <w:rPr>
          <w:rFonts w:hint="default" w:ascii="方正小标宋简体" w:hAnsi="方正小标宋简体" w:eastAsia="方正小标宋简体" w:cs="方正小标宋简体"/>
          <w:bCs/>
          <w:color w:val="auto"/>
          <w:sz w:val="56"/>
          <w:szCs w:val="56"/>
          <w:lang w:val="en-US" w:eastAsia="zh-CN"/>
        </w:rPr>
      </w:pPr>
      <w:bookmarkStart w:id="44" w:name="_Toc19405"/>
      <w:bookmarkStart w:id="45" w:name="_Toc2012"/>
      <w:r>
        <w:rPr>
          <w:rFonts w:hint="eastAsia" w:ascii="方正小标宋简体" w:hAnsi="方正小标宋简体" w:eastAsia="方正小标宋简体" w:cs="方正小标宋简体"/>
          <w:bCs/>
          <w:color w:val="auto"/>
          <w:sz w:val="56"/>
          <w:szCs w:val="56"/>
          <w:lang w:val="en-US" w:eastAsia="zh-CN"/>
        </w:rPr>
        <w:t>第三部分 附件</w:t>
      </w:r>
      <w:bookmarkEnd w:id="44"/>
      <w:bookmarkEnd w:id="45"/>
    </w:p>
    <w:p>
      <w:pPr>
        <w:rPr>
          <w:rFonts w:hint="default"/>
          <w:color w:val="auto"/>
          <w:lang w:val="en-US" w:eastAsia="zh-CN"/>
        </w:rPr>
      </w:pPr>
      <w:r>
        <w:rPr>
          <w:rFonts w:hint="default"/>
          <w:color w:val="auto"/>
          <w:lang w:val="en-US" w:eastAsia="zh-CN"/>
        </w:rPr>
        <w:br w:type="page"/>
      </w:r>
    </w:p>
    <w:p>
      <w:pPr>
        <w:pStyle w:val="3"/>
        <w:bidi w:val="0"/>
        <w:jc w:val="both"/>
        <w:rPr>
          <w:rFonts w:hint="eastAsia" w:ascii="仿宋_GB2312" w:hAnsi="仿宋_GB2312" w:eastAsia="仿宋_GB2312" w:cstheme="minorBidi"/>
          <w:color w:val="auto"/>
          <w:kern w:val="2"/>
          <w:sz w:val="32"/>
          <w:szCs w:val="32"/>
          <w:lang w:val="en-US" w:eastAsia="zh-CN" w:bidi="ar-SA"/>
        </w:rPr>
      </w:pPr>
      <w:bookmarkStart w:id="46" w:name="_Toc12599"/>
      <w:bookmarkStart w:id="47" w:name="_Toc19772"/>
      <w:r>
        <w:rPr>
          <w:rFonts w:hint="eastAsia" w:ascii="仿宋_GB2312" w:hAnsi="仿宋_GB2312" w:eastAsia="仿宋_GB2312" w:cstheme="minorBidi"/>
          <w:color w:val="auto"/>
          <w:kern w:val="2"/>
          <w:sz w:val="32"/>
          <w:szCs w:val="32"/>
          <w:lang w:val="en-US" w:eastAsia="zh-CN" w:bidi="ar-SA"/>
        </w:rPr>
        <w:t>附件1</w:t>
      </w:r>
      <w:bookmarkEnd w:id="46"/>
      <w:bookmarkEnd w:id="47"/>
      <w:bookmarkStart w:id="48" w:name="_Toc2913"/>
      <w:bookmarkStart w:id="49" w:name="_Toc12577"/>
    </w:p>
    <w:p>
      <w:pPr>
        <w:pStyle w:val="3"/>
        <w:keepNext/>
        <w:keepLines/>
        <w:pageBreakBefore w:val="0"/>
        <w:widowControl w:val="0"/>
        <w:kinsoku/>
        <w:wordWrap/>
        <w:overflowPunct/>
        <w:topLinePunct w:val="0"/>
        <w:autoSpaceDE/>
        <w:autoSpaceDN/>
        <w:bidi w:val="0"/>
        <w:adjustRightInd/>
        <w:snapToGrid/>
        <w:spacing w:after="313" w:afterLines="100"/>
        <w:textAlignment w:val="auto"/>
        <w:rPr>
          <w:rFonts w:hint="eastAsia" w:ascii="方正小标宋_GBK" w:hAnsi="方正小标宋_GBK" w:eastAsia="方正小标宋_GBK" w:cs="方正小标宋_GBK"/>
        </w:rPr>
      </w:pPr>
      <w:bookmarkStart w:id="50" w:name="_Toc30039"/>
      <w:bookmarkStart w:id="51" w:name="_Toc18891"/>
      <w:r>
        <w:rPr>
          <w:rFonts w:hint="eastAsia" w:ascii="方正小标宋_GBK" w:hAnsi="方正小标宋_GBK" w:eastAsia="方正小标宋_GBK" w:cs="方正小标宋_GBK"/>
          <w:lang w:val="en-US" w:eastAsia="zh-CN"/>
        </w:rPr>
        <w:t>豫南片区联盟第二批医用耗材集中带量采购申报函</w:t>
      </w:r>
      <w:bookmarkEnd w:id="48"/>
      <w:bookmarkEnd w:id="49"/>
      <w:bookmarkEnd w:id="50"/>
      <w:bookmarkEnd w:id="51"/>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color w:val="auto"/>
          <w:spacing w:val="0"/>
          <w:kern w:val="0"/>
          <w:sz w:val="28"/>
          <w:szCs w:val="28"/>
          <w:highlight w:val="none"/>
          <w:u w:val="none"/>
          <w:lang w:val="en-US" w:eastAsia="zh-CN" w:bidi="ar-SA"/>
        </w:rPr>
      </w:pPr>
      <w:r>
        <w:rPr>
          <w:rFonts w:hint="eastAsia" w:ascii="仿宋_GB2312" w:hAnsi="仿宋_GB2312" w:eastAsia="仿宋_GB2312" w:cs="仿宋_GB2312"/>
          <w:color w:val="auto"/>
          <w:spacing w:val="0"/>
          <w:kern w:val="0"/>
          <w:sz w:val="28"/>
          <w:szCs w:val="28"/>
          <w:highlight w:val="none"/>
          <w:u w:val="none"/>
          <w:lang w:val="en-US" w:eastAsia="zh-CN" w:bidi="ar-SA"/>
        </w:rPr>
        <w:t>联盟采购办公室：</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仿宋_GB2312" w:hAnsi="仿宋_GB2312" w:eastAsia="仿宋_GB2312" w:cs="仿宋_GB2312"/>
          <w:color w:val="auto"/>
          <w:spacing w:val="0"/>
          <w:kern w:val="0"/>
          <w:sz w:val="28"/>
          <w:szCs w:val="28"/>
          <w:highlight w:val="none"/>
          <w:u w:val="none"/>
          <w:lang w:val="en-US" w:eastAsia="zh-CN" w:bidi="ar-SA"/>
        </w:rPr>
      </w:pPr>
      <w:r>
        <w:rPr>
          <w:rFonts w:hint="eastAsia" w:ascii="仿宋_GB2312" w:hAnsi="仿宋_GB2312" w:eastAsia="仿宋_GB2312" w:cs="仿宋_GB2312"/>
          <w:color w:val="auto"/>
          <w:spacing w:val="0"/>
          <w:kern w:val="0"/>
          <w:sz w:val="28"/>
          <w:szCs w:val="28"/>
          <w:highlight w:val="none"/>
          <w:u w:val="none"/>
          <w:lang w:val="en-US" w:eastAsia="zh-CN" w:bidi="ar-SA"/>
        </w:rPr>
        <w:t>在充分理解《豫南片区联盟第二批医用耗材集中带量采购文件》（采购文件编号：HN-YNLM-2023-1）后，我方决定按照采购文件的规定申报参与，并保证申报的价格及其他证明材料的真实性、合法性、有效性。</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仿宋_GB2312" w:hAnsi="仿宋_GB2312" w:eastAsia="仿宋_GB2312" w:cs="仿宋_GB2312"/>
          <w:color w:val="auto"/>
          <w:spacing w:val="0"/>
          <w:kern w:val="0"/>
          <w:sz w:val="28"/>
          <w:szCs w:val="28"/>
          <w:highlight w:val="none"/>
          <w:u w:val="none"/>
          <w:lang w:val="en-US" w:eastAsia="zh-CN" w:bidi="ar-SA"/>
        </w:rPr>
      </w:pPr>
      <w:r>
        <w:rPr>
          <w:rFonts w:hint="eastAsia" w:ascii="仿宋_GB2312" w:hAnsi="仿宋_GB2312" w:eastAsia="仿宋_GB2312" w:cs="仿宋_GB2312"/>
          <w:color w:val="auto"/>
          <w:spacing w:val="0"/>
          <w:kern w:val="0"/>
          <w:sz w:val="28"/>
          <w:szCs w:val="28"/>
          <w:highlight w:val="none"/>
          <w:u w:val="none"/>
          <w:lang w:val="en-US" w:eastAsia="zh-CN" w:bidi="ar-SA"/>
        </w:rPr>
        <w:t>我方已充分考虑原材料价格、配送、税费、服务等因素，并以此申报。我方承诺申报价格不低于本企业该产品成本价与伴随服务成本价之和。我方完全理解及遵守采购文件中的中选产品确认准则，理解贵方不一定要接受最低申报价格的申报。</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仿宋_GB2312" w:hAnsi="仿宋_GB2312" w:eastAsia="仿宋_GB2312" w:cs="仿宋_GB2312"/>
          <w:color w:val="auto"/>
          <w:spacing w:val="0"/>
          <w:sz w:val="28"/>
          <w:szCs w:val="28"/>
          <w:highlight w:val="none"/>
          <w:u w:val="none"/>
          <w:lang w:val="en-US" w:eastAsia="zh-CN"/>
        </w:rPr>
      </w:pPr>
      <w:r>
        <w:rPr>
          <w:rFonts w:hint="eastAsia" w:ascii="仿宋_GB2312" w:hAnsi="仿宋_GB2312" w:eastAsia="仿宋_GB2312" w:cs="仿宋_GB2312"/>
          <w:color w:val="auto"/>
          <w:spacing w:val="0"/>
          <w:sz w:val="28"/>
          <w:szCs w:val="28"/>
          <w:highlight w:val="none"/>
          <w:u w:val="none"/>
          <w:lang w:val="en-US" w:eastAsia="zh-CN"/>
        </w:rPr>
        <w:t>我方承诺确保在采购周期内满足联盟各地区对所有规格型号的采购需求，具有履行采购协议必须具备的中选产品供应能力，对产品的质量和供应负责。如我方产品中选，将按要求及时足量组织生产，及时向配送企业发送中选产品，按协议要求向医疗机构提供伴随服务，满足医疗机构临床使用需要，确保中选产品的价格、质量及数量等一切要素按照采购协议履行。如有违约行为，按照采购文件有关规定接受处置。</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仿宋_GB2312" w:hAnsi="仿宋_GB2312" w:eastAsia="仿宋_GB2312" w:cs="仿宋_GB2312"/>
          <w:color w:val="auto"/>
          <w:spacing w:val="0"/>
          <w:sz w:val="28"/>
          <w:szCs w:val="28"/>
          <w:highlight w:val="none"/>
          <w:u w:val="none"/>
          <w:lang w:val="en-US" w:eastAsia="zh-CN"/>
        </w:rPr>
      </w:pPr>
      <w:r>
        <w:rPr>
          <w:rFonts w:hint="eastAsia" w:ascii="仿宋_GB2312" w:hAnsi="仿宋_GB2312" w:eastAsia="仿宋_GB2312" w:cs="仿宋_GB2312"/>
          <w:color w:val="auto"/>
          <w:spacing w:val="0"/>
          <w:sz w:val="28"/>
          <w:szCs w:val="28"/>
          <w:highlight w:val="none"/>
          <w:u w:val="none"/>
          <w:lang w:val="en-US" w:eastAsia="zh-CN"/>
        </w:rPr>
        <w:t>我方承诺申报产品不存在违反《中华人民共和国专利法》《中华人民共和国反不正当竞争法》等相关法律法规的情形，该承诺在采购周期内持续有效，若产生相关纠纷，给医疗机构造成的损失由我方承担。</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仿宋_GB2312" w:hAnsi="仿宋_GB2312" w:eastAsia="仿宋_GB2312" w:cs="仿宋_GB2312"/>
          <w:color w:val="auto"/>
          <w:spacing w:val="0"/>
          <w:sz w:val="28"/>
          <w:szCs w:val="28"/>
          <w:highlight w:val="none"/>
          <w:u w:val="none"/>
          <w:lang w:val="en-US" w:eastAsia="zh-CN"/>
        </w:rPr>
      </w:pPr>
      <w:r>
        <w:rPr>
          <w:rFonts w:hint="eastAsia" w:ascii="仿宋_GB2312" w:hAnsi="仿宋_GB2312" w:eastAsia="仿宋_GB2312" w:cs="仿宋_GB2312"/>
          <w:color w:val="auto"/>
          <w:spacing w:val="0"/>
          <w:sz w:val="28"/>
          <w:szCs w:val="28"/>
          <w:highlight w:val="none"/>
          <w:u w:val="none"/>
          <w:lang w:val="en-US" w:eastAsia="zh-CN"/>
        </w:rPr>
        <w:t>我方承诺同联合采购办公室无利益关系，不会为达成此项目与医疗机构进行任何不正当联系，不会在申报过程中有任何违法违规行为。在正式采购协议签订前，本申报函和中选结果通知将构成约束双方的协议。</w:t>
      </w:r>
    </w:p>
    <w:p>
      <w:pPr>
        <w:keepNext w:val="0"/>
        <w:keepLines w:val="0"/>
        <w:pageBreakBefore w:val="0"/>
        <w:widowControl w:val="0"/>
        <w:kinsoku/>
        <w:wordWrap/>
        <w:overflowPunct/>
        <w:topLinePunct w:val="0"/>
        <w:autoSpaceDE/>
        <w:autoSpaceDN/>
        <w:bidi w:val="0"/>
        <w:adjustRightInd/>
        <w:snapToGrid/>
        <w:spacing w:line="480" w:lineRule="exact"/>
        <w:ind w:right="2240" w:rightChars="700" w:firstLine="0" w:firstLineChars="0"/>
        <w:jc w:val="right"/>
        <w:textAlignment w:val="auto"/>
        <w:rPr>
          <w:rFonts w:hint="eastAsia"/>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2240" w:rightChars="700" w:firstLine="0" w:firstLineChars="0"/>
        <w:jc w:val="right"/>
        <w:textAlignment w:val="auto"/>
        <w:rPr>
          <w:rFonts w:hint="eastAsia" w:ascii="仿宋_GB2312" w:hAnsi="仿宋_GB2312" w:eastAsia="仿宋_GB2312" w:cs="仿宋_GB2312"/>
          <w:color w:val="auto"/>
          <w:spacing w:val="0"/>
          <w:kern w:val="0"/>
          <w:sz w:val="28"/>
          <w:szCs w:val="28"/>
          <w:highlight w:val="none"/>
          <w:u w:val="none"/>
          <w:lang w:val="en-US" w:eastAsia="zh-CN" w:bidi="ar-SA"/>
        </w:rPr>
      </w:pPr>
      <w:r>
        <w:rPr>
          <w:rFonts w:hint="eastAsia" w:ascii="仿宋_GB2312" w:hAnsi="仿宋_GB2312" w:eastAsia="仿宋_GB2312" w:cs="仿宋_GB2312"/>
          <w:color w:val="auto"/>
          <w:spacing w:val="0"/>
          <w:kern w:val="0"/>
          <w:sz w:val="28"/>
          <w:szCs w:val="28"/>
          <w:highlight w:val="none"/>
          <w:u w:val="none"/>
          <w:lang w:val="en-US" w:eastAsia="zh-CN" w:bidi="ar-SA"/>
        </w:rPr>
        <w:t>申报企业（盖章）：</w:t>
      </w:r>
    </w:p>
    <w:p>
      <w:pPr>
        <w:keepNext w:val="0"/>
        <w:keepLines w:val="0"/>
        <w:pageBreakBefore w:val="0"/>
        <w:widowControl w:val="0"/>
        <w:kinsoku/>
        <w:wordWrap/>
        <w:overflowPunct/>
        <w:topLinePunct w:val="0"/>
        <w:autoSpaceDE/>
        <w:autoSpaceDN/>
        <w:bidi w:val="0"/>
        <w:adjustRightInd/>
        <w:snapToGrid/>
        <w:spacing w:line="480" w:lineRule="exact"/>
        <w:ind w:right="1280" w:rightChars="400" w:firstLine="0" w:firstLineChars="0"/>
        <w:jc w:val="right"/>
        <w:textAlignment w:val="auto"/>
        <w:rPr>
          <w:rFonts w:hint="eastAsia" w:ascii="仿宋_GB2312" w:hAnsi="仿宋_GB2312" w:eastAsia="仿宋_GB2312" w:cs="仿宋_GB2312"/>
          <w:color w:val="auto"/>
          <w:spacing w:val="0"/>
          <w:kern w:val="0"/>
          <w:sz w:val="28"/>
          <w:szCs w:val="28"/>
          <w:highlight w:val="none"/>
          <w:u w:val="none"/>
          <w:lang w:val="en-US" w:eastAsia="zh-CN" w:bidi="ar-SA"/>
        </w:rPr>
      </w:pPr>
      <w:r>
        <w:rPr>
          <w:rFonts w:hint="eastAsia" w:ascii="仿宋_GB2312" w:hAnsi="仿宋_GB2312" w:eastAsia="仿宋_GB2312" w:cs="仿宋_GB2312"/>
          <w:color w:val="auto"/>
          <w:spacing w:val="0"/>
          <w:kern w:val="0"/>
          <w:sz w:val="28"/>
          <w:szCs w:val="28"/>
          <w:highlight w:val="none"/>
          <w:u w:val="none"/>
          <w:lang w:val="en-US" w:eastAsia="zh-CN" w:bidi="ar-SA"/>
        </w:rPr>
        <w:t>日期：    年    月    日</w:t>
      </w:r>
    </w:p>
    <w:p>
      <w:pPr>
        <w:rPr>
          <w:rFonts w:hint="eastAsia"/>
          <w:color w:val="auto"/>
          <w:sz w:val="30"/>
          <w:szCs w:val="30"/>
          <w:lang w:val="en-US" w:eastAsia="zh-CN"/>
        </w:rPr>
      </w:pPr>
      <w:r>
        <w:rPr>
          <w:rFonts w:hint="eastAsia"/>
          <w:color w:val="auto"/>
          <w:sz w:val="30"/>
          <w:szCs w:val="30"/>
          <w:lang w:val="en-US" w:eastAsia="zh-CN"/>
        </w:rPr>
        <w:br w:type="page"/>
      </w:r>
    </w:p>
    <w:p>
      <w:pPr>
        <w:pStyle w:val="3"/>
        <w:bidi w:val="0"/>
        <w:jc w:val="both"/>
        <w:rPr>
          <w:rFonts w:hint="eastAsia" w:ascii="仿宋_GB2312" w:hAnsi="仿宋_GB2312" w:eastAsia="仿宋_GB2312" w:cstheme="minorBidi"/>
          <w:color w:val="auto"/>
          <w:kern w:val="2"/>
          <w:sz w:val="32"/>
          <w:szCs w:val="32"/>
          <w:lang w:val="en-US" w:eastAsia="zh-CN" w:bidi="ar-SA"/>
        </w:rPr>
      </w:pPr>
      <w:bookmarkStart w:id="52" w:name="_Toc10804"/>
      <w:bookmarkStart w:id="53" w:name="_Toc337"/>
      <w:r>
        <w:rPr>
          <w:rFonts w:hint="eastAsia" w:ascii="仿宋_GB2312" w:hAnsi="仿宋_GB2312" w:eastAsia="仿宋_GB2312" w:cstheme="minorBidi"/>
          <w:color w:val="auto"/>
          <w:kern w:val="2"/>
          <w:sz w:val="32"/>
          <w:szCs w:val="32"/>
          <w:lang w:val="en-US" w:eastAsia="zh-CN" w:bidi="ar-SA"/>
        </w:rPr>
        <w:t>附件2</w:t>
      </w:r>
      <w:bookmarkEnd w:id="52"/>
      <w:bookmarkEnd w:id="53"/>
      <w:bookmarkStart w:id="54" w:name="_Toc8160"/>
      <w:bookmarkStart w:id="55" w:name="_Toc21063"/>
    </w:p>
    <w:p>
      <w:pPr>
        <w:pStyle w:val="3"/>
        <w:keepNext/>
        <w:keepLines/>
        <w:pageBreakBefore w:val="0"/>
        <w:widowControl w:val="0"/>
        <w:kinsoku/>
        <w:wordWrap/>
        <w:overflowPunct/>
        <w:topLinePunct w:val="0"/>
        <w:autoSpaceDE/>
        <w:autoSpaceDN/>
        <w:bidi w:val="0"/>
        <w:adjustRightInd/>
        <w:snapToGrid/>
        <w:spacing w:after="313" w:afterLines="100" w:line="520" w:lineRule="exact"/>
        <w:jc w:val="center"/>
        <w:textAlignment w:val="auto"/>
        <w:rPr>
          <w:rFonts w:hint="eastAsia" w:ascii="方正小标宋_GBK" w:hAnsi="方正小标宋_GBK" w:eastAsia="方正小标宋_GBK" w:cs="方正小标宋_GBK"/>
          <w:lang w:val="en-US" w:eastAsia="zh-CN"/>
        </w:rPr>
      </w:pPr>
      <w:bookmarkStart w:id="56" w:name="_Toc15531"/>
      <w:bookmarkStart w:id="57" w:name="_Toc18816"/>
      <w:r>
        <w:rPr>
          <w:rFonts w:hint="eastAsia" w:ascii="方正小标宋_GBK" w:hAnsi="方正小标宋_GBK" w:eastAsia="方正小标宋_GBK" w:cs="方正小标宋_GBK"/>
          <w:lang w:val="en-US" w:eastAsia="zh-CN"/>
        </w:rPr>
        <w:t>法定代表人授权书</w:t>
      </w:r>
      <w:bookmarkEnd w:id="54"/>
      <w:bookmarkEnd w:id="55"/>
      <w:bookmarkEnd w:id="56"/>
      <w:bookmarkEnd w:id="57"/>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color w:val="auto"/>
          <w:sz w:val="28"/>
          <w:szCs w:val="22"/>
          <w:highlight w:val="none"/>
          <w:u w:val="none"/>
        </w:rPr>
      </w:pPr>
      <w:r>
        <w:rPr>
          <w:rFonts w:hint="eastAsia"/>
          <w:color w:val="auto"/>
          <w:sz w:val="28"/>
          <w:szCs w:val="22"/>
          <w:highlight w:val="none"/>
          <w:u w:val="none"/>
          <w:lang w:val="en-US" w:eastAsia="zh-CN"/>
        </w:rPr>
        <w:t>本授权书声明：注册于</w:t>
      </w:r>
      <w:r>
        <w:rPr>
          <w:rFonts w:hint="eastAsia"/>
          <w:color w:val="auto"/>
          <w:sz w:val="28"/>
          <w:szCs w:val="22"/>
          <w:highlight w:val="none"/>
          <w:u w:val="single"/>
          <w:lang w:val="en-US" w:eastAsia="zh-CN"/>
        </w:rPr>
        <w:t xml:space="preserve">                                </w:t>
      </w:r>
      <w:r>
        <w:rPr>
          <w:rFonts w:hint="eastAsia"/>
          <w:color w:val="auto"/>
          <w:sz w:val="28"/>
          <w:szCs w:val="22"/>
          <w:highlight w:val="none"/>
          <w:u w:val="none"/>
          <w:lang w:val="en-US" w:eastAsia="zh-CN"/>
        </w:rPr>
        <w:t>（地址）的</w:t>
      </w:r>
      <w:r>
        <w:rPr>
          <w:rFonts w:hint="eastAsia"/>
          <w:color w:val="auto"/>
          <w:sz w:val="28"/>
          <w:szCs w:val="22"/>
          <w:highlight w:val="none"/>
          <w:u w:val="single"/>
          <w:lang w:val="en-US" w:eastAsia="zh-CN"/>
        </w:rPr>
        <w:t xml:space="preserve">                           </w:t>
      </w:r>
      <w:r>
        <w:rPr>
          <w:rFonts w:hint="eastAsia"/>
          <w:color w:val="auto"/>
          <w:sz w:val="28"/>
          <w:szCs w:val="22"/>
          <w:highlight w:val="none"/>
          <w:u w:val="none"/>
          <w:lang w:val="en-US" w:eastAsia="zh-CN"/>
        </w:rPr>
        <w:t>（公司）的</w:t>
      </w:r>
      <w:r>
        <w:rPr>
          <w:rFonts w:hint="eastAsia"/>
          <w:color w:val="auto"/>
          <w:sz w:val="28"/>
          <w:szCs w:val="22"/>
          <w:highlight w:val="none"/>
          <w:u w:val="single"/>
          <w:lang w:val="en-US" w:eastAsia="zh-CN"/>
        </w:rPr>
        <w:t xml:space="preserve">             </w:t>
      </w:r>
      <w:r>
        <w:rPr>
          <w:rFonts w:hint="eastAsia"/>
          <w:color w:val="auto"/>
          <w:sz w:val="28"/>
          <w:szCs w:val="22"/>
          <w:highlight w:val="none"/>
          <w:u w:val="none"/>
          <w:lang w:val="en-US" w:eastAsia="zh-CN"/>
        </w:rPr>
        <w:t>（法定代表人姓名）授权</w:t>
      </w:r>
      <w:r>
        <w:rPr>
          <w:rFonts w:hint="eastAsia"/>
          <w:color w:val="auto"/>
          <w:sz w:val="28"/>
          <w:szCs w:val="22"/>
          <w:highlight w:val="none"/>
          <w:u w:val="single"/>
          <w:lang w:val="en-US" w:eastAsia="zh-CN"/>
        </w:rPr>
        <w:t xml:space="preserve">                              </w:t>
      </w:r>
      <w:r>
        <w:rPr>
          <w:rFonts w:hint="eastAsia"/>
          <w:color w:val="auto"/>
          <w:sz w:val="28"/>
          <w:szCs w:val="22"/>
          <w:highlight w:val="none"/>
          <w:u w:val="none"/>
          <w:lang w:val="en-US" w:eastAsia="zh-CN"/>
        </w:rPr>
        <w:t>（被授权人的姓名、职务）为公司的合法代理人，就</w:t>
      </w:r>
      <w:r>
        <w:rPr>
          <w:rFonts w:hint="eastAsia" w:ascii="仿宋_GB2312" w:hAnsi="仿宋_GB2312" w:eastAsia="仿宋_GB2312" w:cs="仿宋_GB2312"/>
          <w:color w:val="auto"/>
          <w:spacing w:val="0"/>
          <w:kern w:val="0"/>
          <w:sz w:val="28"/>
          <w:szCs w:val="28"/>
          <w:highlight w:val="none"/>
          <w:u w:val="none"/>
          <w:lang w:val="en-US" w:eastAsia="zh-CN" w:bidi="ar-SA"/>
        </w:rPr>
        <w:t>豫南片区联盟第二批医用耗材集中带量</w:t>
      </w:r>
      <w:r>
        <w:rPr>
          <w:rFonts w:hint="eastAsia"/>
          <w:color w:val="auto"/>
          <w:sz w:val="28"/>
          <w:szCs w:val="22"/>
          <w:highlight w:val="none"/>
          <w:u w:val="none"/>
          <w:lang w:val="en-US" w:eastAsia="zh-CN"/>
        </w:rPr>
        <w:t>项目，以本公司名义处理递交申报材料等一切与之相关的事务，本公司认可被授权人在《豫南片区联盟第二批医用耗材集中带量采购文件》（采购文件编号：HN-YNLM-2023-1）项目中签署的相关说明、采购协议等法律文书的效力以及其作出的相关行为。本公司与被授权人共同承诺本次申报的真实性、合法性、有效性。</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color w:val="auto"/>
          <w:sz w:val="28"/>
          <w:szCs w:val="22"/>
          <w:highlight w:val="none"/>
          <w:u w:val="none"/>
          <w:lang w:val="en-US" w:eastAsia="zh-CN"/>
        </w:rPr>
      </w:pPr>
      <w:r>
        <w:rPr>
          <w:rFonts w:hint="eastAsia"/>
          <w:color w:val="auto"/>
          <w:sz w:val="28"/>
          <w:szCs w:val="22"/>
          <w:highlight w:val="none"/>
          <w:u w:val="none"/>
          <w:lang w:val="en-US" w:eastAsia="zh-CN"/>
        </w:rPr>
        <w:t>本授权书于</w:t>
      </w:r>
      <w:r>
        <w:rPr>
          <w:rFonts w:hint="eastAsia"/>
          <w:color w:val="auto"/>
          <w:sz w:val="28"/>
          <w:szCs w:val="28"/>
          <w:highlight w:val="none"/>
          <w:u w:val="single"/>
          <w:lang w:val="en-US" w:eastAsia="zh-CN"/>
        </w:rPr>
        <w:t xml:space="preserve">    </w:t>
      </w:r>
      <w:r>
        <w:rPr>
          <w:rFonts w:hint="eastAsia"/>
          <w:color w:val="auto"/>
          <w:sz w:val="28"/>
          <w:szCs w:val="28"/>
          <w:highlight w:val="none"/>
          <w:u w:val="none"/>
          <w:lang w:val="en-US" w:eastAsia="zh-CN"/>
        </w:rPr>
        <w:t>年</w:t>
      </w:r>
      <w:r>
        <w:rPr>
          <w:rFonts w:hint="eastAsia"/>
          <w:color w:val="auto"/>
          <w:sz w:val="28"/>
          <w:szCs w:val="28"/>
          <w:highlight w:val="none"/>
          <w:u w:val="single"/>
          <w:lang w:val="en-US" w:eastAsia="zh-CN"/>
        </w:rPr>
        <w:t xml:space="preserve">    </w:t>
      </w:r>
      <w:r>
        <w:rPr>
          <w:rFonts w:hint="eastAsia"/>
          <w:color w:val="auto"/>
          <w:sz w:val="28"/>
          <w:szCs w:val="28"/>
          <w:highlight w:val="none"/>
          <w:u w:val="none"/>
          <w:lang w:val="en-US" w:eastAsia="zh-CN"/>
        </w:rPr>
        <w:t>月</w:t>
      </w:r>
      <w:r>
        <w:rPr>
          <w:rFonts w:hint="eastAsia"/>
          <w:color w:val="auto"/>
          <w:sz w:val="28"/>
          <w:szCs w:val="28"/>
          <w:highlight w:val="none"/>
          <w:u w:val="single"/>
          <w:lang w:val="en-US" w:eastAsia="zh-CN"/>
        </w:rPr>
        <w:t xml:space="preserve">    </w:t>
      </w:r>
      <w:r>
        <w:rPr>
          <w:rFonts w:hint="eastAsia"/>
          <w:color w:val="auto"/>
          <w:sz w:val="28"/>
          <w:szCs w:val="28"/>
          <w:highlight w:val="none"/>
          <w:u w:val="none"/>
          <w:lang w:val="en-US" w:eastAsia="zh-CN"/>
        </w:rPr>
        <w:t>日</w:t>
      </w:r>
      <w:r>
        <w:rPr>
          <w:rFonts w:hint="eastAsia"/>
          <w:color w:val="auto"/>
          <w:sz w:val="28"/>
          <w:szCs w:val="22"/>
          <w:highlight w:val="none"/>
          <w:u w:val="none"/>
          <w:lang w:val="en-US" w:eastAsia="zh-CN"/>
        </w:rPr>
        <w:t>签字生效，有效期至本次</w:t>
      </w:r>
      <w:r>
        <w:rPr>
          <w:rFonts w:hint="eastAsia"/>
          <w:color w:val="auto"/>
          <w:sz w:val="28"/>
          <w:szCs w:val="28"/>
          <w:highlight w:val="none"/>
          <w:u w:val="none"/>
          <w:lang w:val="en-US" w:eastAsia="zh-CN"/>
        </w:rPr>
        <w:t>医用耗材</w:t>
      </w:r>
      <w:r>
        <w:rPr>
          <w:rFonts w:hint="eastAsia" w:ascii="仿宋_GB2312" w:hAnsi="仿宋_GB2312" w:eastAsia="仿宋_GB2312" w:cs="仿宋_GB2312"/>
          <w:color w:val="auto"/>
          <w:spacing w:val="0"/>
          <w:kern w:val="0"/>
          <w:sz w:val="28"/>
          <w:szCs w:val="28"/>
          <w:highlight w:val="none"/>
          <w:u w:val="none"/>
          <w:lang w:val="en-US" w:eastAsia="zh-CN" w:bidi="ar-SA"/>
        </w:rPr>
        <w:t>省际联盟</w:t>
      </w:r>
      <w:r>
        <w:rPr>
          <w:rFonts w:hint="eastAsia"/>
          <w:color w:val="auto"/>
          <w:sz w:val="28"/>
          <w:szCs w:val="28"/>
          <w:highlight w:val="none"/>
          <w:u w:val="none"/>
          <w:lang w:val="en-US" w:eastAsia="zh-CN"/>
        </w:rPr>
        <w:t>带量采购</w:t>
      </w:r>
      <w:r>
        <w:rPr>
          <w:rFonts w:hint="eastAsia" w:cs="仿宋_GB2312"/>
          <w:color w:val="auto"/>
          <w:kern w:val="0"/>
          <w:sz w:val="28"/>
          <w:szCs w:val="28"/>
          <w:highlight w:val="none"/>
          <w:u w:val="none"/>
          <w:lang w:val="en-US" w:eastAsia="zh-CN" w:bidi="ar"/>
        </w:rPr>
        <w:t>工作</w:t>
      </w:r>
      <w:r>
        <w:rPr>
          <w:rFonts w:hint="eastAsia"/>
          <w:color w:val="auto"/>
          <w:sz w:val="28"/>
          <w:szCs w:val="22"/>
          <w:highlight w:val="none"/>
          <w:u w:val="none"/>
          <w:lang w:val="en-US" w:eastAsia="zh-CN"/>
        </w:rPr>
        <w:t>截止日止。</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color w:val="auto"/>
          <w:sz w:val="28"/>
          <w:szCs w:val="22"/>
          <w:highlight w:val="none"/>
          <w:u w:val="none"/>
        </w:rPr>
      </w:pPr>
      <w:r>
        <w:rPr>
          <w:rFonts w:hint="eastAsia"/>
          <w:color w:val="auto"/>
          <w:sz w:val="28"/>
          <w:szCs w:val="22"/>
          <w:highlight w:val="none"/>
          <w:u w:val="none"/>
          <w:lang w:val="en-US" w:eastAsia="zh-CN"/>
        </w:rPr>
        <w:t>特此声明。</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color w:val="auto"/>
          <w:sz w:val="28"/>
          <w:szCs w:val="22"/>
          <w:highlight w:val="none"/>
          <w:u w:val="none"/>
        </w:rPr>
      </w:pPr>
      <w:r>
        <w:rPr>
          <w:rFonts w:hint="eastAsia"/>
          <w:color w:val="auto"/>
          <w:sz w:val="28"/>
          <w:szCs w:val="22"/>
          <w:highlight w:val="none"/>
          <w:u w:val="none"/>
          <w:lang w:val="en-US" w:eastAsia="zh-CN"/>
        </w:rPr>
        <w:t>授权企业法定代表人签字或盖章：</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color w:val="auto"/>
          <w:sz w:val="28"/>
          <w:szCs w:val="22"/>
          <w:highlight w:val="none"/>
          <w:u w:val="none"/>
        </w:rPr>
      </w:pPr>
      <w:r>
        <w:rPr>
          <w:rFonts w:hint="eastAsia"/>
          <w:color w:val="auto"/>
          <w:sz w:val="28"/>
          <w:szCs w:val="22"/>
          <w:highlight w:val="none"/>
          <w:u w:val="none"/>
          <w:lang w:val="en-US" w:eastAsia="zh-CN"/>
        </w:rPr>
        <w:t>被授权人签字或盖章：</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color w:val="auto"/>
          <w:sz w:val="28"/>
          <w:szCs w:val="22"/>
          <w:highlight w:val="none"/>
          <w:u w:val="none"/>
          <w:lang w:val="en-US" w:eastAsia="zh-CN"/>
        </w:rPr>
      </w:pPr>
      <w:r>
        <w:rPr>
          <w:rFonts w:hint="eastAsia"/>
          <w:color w:val="auto"/>
          <w:sz w:val="28"/>
          <w:szCs w:val="22"/>
          <w:highlight w:val="none"/>
          <w:u w:val="none"/>
          <w:lang w:val="en-US" w:eastAsia="zh-CN"/>
        </w:rPr>
        <w:t>被授权人联系方式（手机）：</w:t>
      </w:r>
    </w:p>
    <w:p>
      <w:pPr>
        <w:bidi w:val="0"/>
        <w:rPr>
          <w:rFonts w:hint="eastAsia"/>
          <w:color w:val="auto"/>
          <w:lang w:val="en-US" w:eastAsia="zh-CN"/>
        </w:rPr>
      </w:pPr>
      <w:r>
        <w:rPr>
          <w:color w:val="auto"/>
          <w:sz w:val="32"/>
        </w:rPr>
        <mc:AlternateContent>
          <mc:Choice Requires="wpg">
            <w:drawing>
              <wp:anchor distT="0" distB="0" distL="114300" distR="114300" simplePos="0" relativeHeight="251659264" behindDoc="0" locked="0" layoutInCell="1" allowOverlap="1">
                <wp:simplePos x="0" y="0"/>
                <wp:positionH relativeFrom="column">
                  <wp:posOffset>-455930</wp:posOffset>
                </wp:positionH>
                <wp:positionV relativeFrom="paragraph">
                  <wp:posOffset>19685</wp:posOffset>
                </wp:positionV>
                <wp:extent cx="6537960" cy="1775460"/>
                <wp:effectExtent l="4445" t="4445" r="10795" b="18415"/>
                <wp:wrapNone/>
                <wp:docPr id="3" name="组合 3"/>
                <wp:cNvGraphicFramePr/>
                <a:graphic xmlns:a="http://schemas.openxmlformats.org/drawingml/2006/main">
                  <a:graphicData uri="http://schemas.microsoft.com/office/word/2010/wordprocessingGroup">
                    <wpg:wgp>
                      <wpg:cNvGrpSpPr/>
                      <wpg:grpSpPr>
                        <a:xfrm>
                          <a:off x="0" y="0"/>
                          <a:ext cx="6537960" cy="1775460"/>
                          <a:chOff x="6168" y="422836"/>
                          <a:chExt cx="10296" cy="2796"/>
                        </a:xfrm>
                      </wpg:grpSpPr>
                      <wps:wsp>
                        <wps:cNvPr id="1" name="文本框 1"/>
                        <wps:cNvSpPr txBox="1"/>
                        <wps:spPr>
                          <a:xfrm>
                            <a:off x="6168" y="422836"/>
                            <a:ext cx="5101" cy="279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被授权人</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lang w:val="en-US" w:eastAsia="zh-CN"/>
                                </w:rPr>
                                <w:t>居民身份证正面复印件粘贴</w:t>
                              </w:r>
                            </w:p>
                            <w:p>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2"/>
                        <wps:cNvSpPr txBox="1"/>
                        <wps:spPr>
                          <a:xfrm>
                            <a:off x="11364" y="422836"/>
                            <a:ext cx="5101" cy="279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被授权人</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lang w:val="en-US" w:eastAsia="zh-CN"/>
                                </w:rPr>
                                <w:t>居民身份证反面复印件粘贴</w:t>
                              </w:r>
                            </w:p>
                            <w:p>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5.9pt;margin-top:1.55pt;height:139.8pt;width:514.8pt;z-index:251659264;mso-width-relative:page;mso-height-relative:page;" coordorigin="6168,422836" coordsize="10296,2796" o:gfxdata="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ECpJrXZAAAACQEAAA8AAAAAAAAAAQAgAAAAIgAA&#10;AGRycy9kb3ducmV2LnhtbFBLAQIUABQAAAAIAIdO4kDDzp8b6wIAAMsIAAAOAAAAAAAAAAEAIAAA&#10;ACgBAABkcnMvZTJvRG9jLnhtbFBLBQYAAAAABgAGAFkBAACFBgAAAAA=&#10;">
                <o:lock v:ext="edit" aspectratio="f"/>
                <v:shape id="_x0000_s1026" o:spid="_x0000_s1026" o:spt="202" type="#_x0000_t202" style="position:absolute;left:6168;top:422836;height:2796;width:5101;" fillcolor="#FFFFFF [3201]" filled="t" stroked="t" coordsize="21600,21600" o:gfxdata="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IqhotAAAANo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被授权人</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lang w:val="en-US" w:eastAsia="zh-CN"/>
                          </w:rPr>
                          <w:t>居民身份证正面复印件粘贴</w:t>
                        </w:r>
                      </w:p>
                      <w:p>
                        <w:pPr>
                          <w:jc w:val="center"/>
                        </w:pPr>
                      </w:p>
                    </w:txbxContent>
                  </v:textbox>
                </v:shape>
                <v:shape id="_x0000_s1026" o:spid="_x0000_s1026" o:spt="202" type="#_x0000_t202" style="position:absolute;left:11364;top:422836;height:2796;width:5101;" fillcolor="#FFFFFF [3201]" filled="t" stroked="t" coordsize="21600,21600" o:gfxdata="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bwNh+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被授权人</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lang w:val="en-US" w:eastAsia="zh-CN"/>
                          </w:rPr>
                          <w:t>居民身份证反面复印件粘贴</w:t>
                        </w:r>
                      </w:p>
                      <w:p>
                        <w:pPr>
                          <w:jc w:val="center"/>
                        </w:pPr>
                      </w:p>
                    </w:txbxContent>
                  </v:textbox>
                </v:shape>
              </v:group>
            </w:pict>
          </mc:Fallback>
        </mc:AlternateContent>
      </w: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9"/>
        <w:rPr>
          <w:rFonts w:ascii="微软雅黑" w:hAnsi="微软雅黑" w:eastAsia="微软雅黑" w:cs="微软雅黑"/>
          <w:b/>
          <w:bCs/>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rFonts w:hint="default"/>
          <w:color w:val="auto"/>
          <w:sz w:val="28"/>
          <w:szCs w:val="28"/>
          <w:lang w:val="en-US" w:eastAsia="zh-CN"/>
        </w:rPr>
      </w:pPr>
      <w:r>
        <w:rPr>
          <w:rFonts w:ascii="微软雅黑" w:hAnsi="微软雅黑" w:eastAsia="微软雅黑" w:cs="微软雅黑"/>
          <w:b/>
          <w:bCs/>
          <w:color w:val="auto"/>
          <w:kern w:val="0"/>
          <w:sz w:val="28"/>
          <w:szCs w:val="28"/>
          <w:lang w:val="en-US" w:eastAsia="zh-CN" w:bidi="ar"/>
        </w:rPr>
        <w:t>注：身份证粘贴处要加盖企业</w:t>
      </w:r>
      <w:r>
        <w:rPr>
          <w:rFonts w:hint="eastAsia" w:ascii="微软雅黑" w:hAnsi="微软雅黑" w:eastAsia="微软雅黑" w:cs="微软雅黑"/>
          <w:b/>
          <w:bCs/>
          <w:color w:val="auto"/>
          <w:kern w:val="0"/>
          <w:sz w:val="28"/>
          <w:szCs w:val="28"/>
          <w:lang w:val="en-US" w:eastAsia="zh-CN" w:bidi="ar"/>
        </w:rPr>
        <w:t>鲜</w:t>
      </w:r>
      <w:r>
        <w:rPr>
          <w:rFonts w:ascii="微软雅黑" w:hAnsi="微软雅黑" w:eastAsia="微软雅黑" w:cs="微软雅黑"/>
          <w:b/>
          <w:bCs/>
          <w:color w:val="auto"/>
          <w:kern w:val="0"/>
          <w:sz w:val="28"/>
          <w:szCs w:val="28"/>
          <w:lang w:val="en-US" w:eastAsia="zh-CN" w:bidi="ar"/>
        </w:rPr>
        <w:t>章</w:t>
      </w:r>
    </w:p>
    <w:sectPr>
      <w:footerReference r:id="rId6" w:type="default"/>
      <w:pgSz w:w="11906" w:h="16838"/>
      <w:pgMar w:top="2098" w:right="1474" w:bottom="1984" w:left="1361"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C3AD21-B8AA-418A-9AF1-7F84BE5551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3BF0F014-275B-4BCF-9B76-8DB597BE504D}"/>
  </w:font>
  <w:font w:name="方正小标宋简体">
    <w:panose1 w:val="03000509000000000000"/>
    <w:charset w:val="86"/>
    <w:family w:val="auto"/>
    <w:pitch w:val="default"/>
    <w:sig w:usb0="00000001" w:usb1="080E0000" w:usb2="00000000" w:usb3="00000000" w:csb0="00040000" w:csb1="00000000"/>
    <w:embedRegular r:id="rId3" w:fontKey="{EA72EDBB-0F0B-4CCC-892E-4F92CEB881CA}"/>
  </w:font>
  <w:font w:name="楷体_GB2312">
    <w:panose1 w:val="02010609030101010101"/>
    <w:charset w:val="86"/>
    <w:family w:val="auto"/>
    <w:pitch w:val="default"/>
    <w:sig w:usb0="00000001" w:usb1="080E0000" w:usb2="00000000" w:usb3="00000000" w:csb0="00040000" w:csb1="00000000"/>
    <w:embedRegular r:id="rId4" w:fontKey="{0EB3DB45-D045-4403-82D9-6212130F7AF3}"/>
  </w:font>
  <w:font w:name="方正仿宋简体">
    <w:altName w:val="微软雅黑"/>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embedRegular r:id="rId5" w:fontKey="{9AF6D068-E705-48F5-813C-7CCB7877F4D2}"/>
  </w:font>
  <w:font w:name="微软雅黑">
    <w:panose1 w:val="020B0503020204020204"/>
    <w:charset w:val="86"/>
    <w:family w:val="auto"/>
    <w:pitch w:val="default"/>
    <w:sig w:usb0="80000287" w:usb1="2ACF3C50" w:usb2="00000016" w:usb3="00000000" w:csb0="0004001F" w:csb1="00000000"/>
    <w:embedRegular r:id="rId6" w:fontKey="{5F5989BD-5B2F-4787-AAF7-73A41CCFAAB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64372"/>
    <w:multiLevelType w:val="singleLevel"/>
    <w:tmpl w:val="9F964372"/>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ODc2MDA3MTRjNjc3OWUxNzY1NTdkNDYyYjViMTEifQ=="/>
  </w:docVars>
  <w:rsids>
    <w:rsidRoot w:val="014A79C6"/>
    <w:rsid w:val="014A79C6"/>
    <w:rsid w:val="01891B53"/>
    <w:rsid w:val="01ED1965"/>
    <w:rsid w:val="023A4BFB"/>
    <w:rsid w:val="02EF5A6B"/>
    <w:rsid w:val="03211BE5"/>
    <w:rsid w:val="03E5328D"/>
    <w:rsid w:val="04335DA6"/>
    <w:rsid w:val="04725CDC"/>
    <w:rsid w:val="051B669A"/>
    <w:rsid w:val="07756B75"/>
    <w:rsid w:val="0862288B"/>
    <w:rsid w:val="09550CA7"/>
    <w:rsid w:val="0B4C208D"/>
    <w:rsid w:val="0B9B677F"/>
    <w:rsid w:val="0C3845FF"/>
    <w:rsid w:val="0CFE0AA2"/>
    <w:rsid w:val="0EA63A8B"/>
    <w:rsid w:val="0FB21526"/>
    <w:rsid w:val="0FDA2977"/>
    <w:rsid w:val="0FDC5644"/>
    <w:rsid w:val="107F303D"/>
    <w:rsid w:val="119C54A6"/>
    <w:rsid w:val="12E93C7A"/>
    <w:rsid w:val="13BF12F1"/>
    <w:rsid w:val="141B23B3"/>
    <w:rsid w:val="14654341"/>
    <w:rsid w:val="162375A8"/>
    <w:rsid w:val="16297009"/>
    <w:rsid w:val="1660395F"/>
    <w:rsid w:val="16646BA8"/>
    <w:rsid w:val="1B1F45F2"/>
    <w:rsid w:val="1B9D5207"/>
    <w:rsid w:val="1CD80505"/>
    <w:rsid w:val="1D8707A4"/>
    <w:rsid w:val="1DCF7FE9"/>
    <w:rsid w:val="1DEE1708"/>
    <w:rsid w:val="1E023EB7"/>
    <w:rsid w:val="1ED13779"/>
    <w:rsid w:val="1F4B7FF0"/>
    <w:rsid w:val="207D72B8"/>
    <w:rsid w:val="213E5E53"/>
    <w:rsid w:val="21F07270"/>
    <w:rsid w:val="220152DE"/>
    <w:rsid w:val="22456AE2"/>
    <w:rsid w:val="225A5BE2"/>
    <w:rsid w:val="22B653F8"/>
    <w:rsid w:val="22E76282"/>
    <w:rsid w:val="241F6E55"/>
    <w:rsid w:val="24F74CFC"/>
    <w:rsid w:val="251A43F6"/>
    <w:rsid w:val="26221165"/>
    <w:rsid w:val="26974903"/>
    <w:rsid w:val="26CC0155"/>
    <w:rsid w:val="276F248D"/>
    <w:rsid w:val="286562F4"/>
    <w:rsid w:val="296054E5"/>
    <w:rsid w:val="2A491EDD"/>
    <w:rsid w:val="2B852ADC"/>
    <w:rsid w:val="2C60596D"/>
    <w:rsid w:val="2D0B56FC"/>
    <w:rsid w:val="2E1E6C73"/>
    <w:rsid w:val="2E223F2D"/>
    <w:rsid w:val="304024C7"/>
    <w:rsid w:val="3159363F"/>
    <w:rsid w:val="32E4633A"/>
    <w:rsid w:val="34653B68"/>
    <w:rsid w:val="35913516"/>
    <w:rsid w:val="382F51CB"/>
    <w:rsid w:val="392A6116"/>
    <w:rsid w:val="396D6718"/>
    <w:rsid w:val="39EA52F7"/>
    <w:rsid w:val="3ABE667C"/>
    <w:rsid w:val="3AD958AB"/>
    <w:rsid w:val="3C3D7D79"/>
    <w:rsid w:val="3DB733CF"/>
    <w:rsid w:val="3E097734"/>
    <w:rsid w:val="3F456A81"/>
    <w:rsid w:val="3F4C5259"/>
    <w:rsid w:val="40BD36D6"/>
    <w:rsid w:val="40D8128C"/>
    <w:rsid w:val="415D5FB2"/>
    <w:rsid w:val="41F45172"/>
    <w:rsid w:val="42163A8B"/>
    <w:rsid w:val="42856988"/>
    <w:rsid w:val="4359067E"/>
    <w:rsid w:val="44410DDE"/>
    <w:rsid w:val="450F0AE1"/>
    <w:rsid w:val="456019DA"/>
    <w:rsid w:val="45615FFE"/>
    <w:rsid w:val="4585717E"/>
    <w:rsid w:val="47DF2741"/>
    <w:rsid w:val="487815A6"/>
    <w:rsid w:val="48AC79AB"/>
    <w:rsid w:val="49B04D70"/>
    <w:rsid w:val="4A2E0468"/>
    <w:rsid w:val="4AAA0669"/>
    <w:rsid w:val="4B0A1232"/>
    <w:rsid w:val="4BFA1DFB"/>
    <w:rsid w:val="4C4E0342"/>
    <w:rsid w:val="4C966D72"/>
    <w:rsid w:val="4CCF62EB"/>
    <w:rsid w:val="4DDC7587"/>
    <w:rsid w:val="4E04726B"/>
    <w:rsid w:val="50577CF3"/>
    <w:rsid w:val="512D5E25"/>
    <w:rsid w:val="51C61F51"/>
    <w:rsid w:val="526379C4"/>
    <w:rsid w:val="54F10054"/>
    <w:rsid w:val="55767B73"/>
    <w:rsid w:val="56A02F94"/>
    <w:rsid w:val="588418A2"/>
    <w:rsid w:val="59FC0BDD"/>
    <w:rsid w:val="5BE02091"/>
    <w:rsid w:val="5C48194A"/>
    <w:rsid w:val="5D600B2F"/>
    <w:rsid w:val="5DF96AF4"/>
    <w:rsid w:val="60694283"/>
    <w:rsid w:val="620E0910"/>
    <w:rsid w:val="62FD6D39"/>
    <w:rsid w:val="63221E3B"/>
    <w:rsid w:val="64BC6DCC"/>
    <w:rsid w:val="69A53724"/>
    <w:rsid w:val="6A7E6AA7"/>
    <w:rsid w:val="6B335805"/>
    <w:rsid w:val="6C221A20"/>
    <w:rsid w:val="6C4F1CB6"/>
    <w:rsid w:val="6C6F03A1"/>
    <w:rsid w:val="6C9963C4"/>
    <w:rsid w:val="6DC54E9D"/>
    <w:rsid w:val="6E7A1325"/>
    <w:rsid w:val="6F011A46"/>
    <w:rsid w:val="6F0F5AD5"/>
    <w:rsid w:val="6F9A2A13"/>
    <w:rsid w:val="7100051B"/>
    <w:rsid w:val="7328642F"/>
    <w:rsid w:val="75DD6935"/>
    <w:rsid w:val="76312CC7"/>
    <w:rsid w:val="76984A3E"/>
    <w:rsid w:val="76D85A51"/>
    <w:rsid w:val="77DC13E8"/>
    <w:rsid w:val="7A2F4AB9"/>
    <w:rsid w:val="7A610971"/>
    <w:rsid w:val="7AA43575"/>
    <w:rsid w:val="7AEC4040"/>
    <w:rsid w:val="7AF25D60"/>
    <w:rsid w:val="7C376AA7"/>
    <w:rsid w:val="7CBB3234"/>
    <w:rsid w:val="7CE5345F"/>
    <w:rsid w:val="7D063034"/>
    <w:rsid w:val="7D3E3E65"/>
    <w:rsid w:val="7DDA0452"/>
    <w:rsid w:val="7E323854"/>
    <w:rsid w:val="7F520652"/>
    <w:rsid w:val="FF7F9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both"/>
    </w:pPr>
    <w:rPr>
      <w:rFonts w:ascii="仿宋_GB2312" w:hAnsi="仿宋_GB2312" w:eastAsia="仿宋_GB2312" w:cstheme="minorBidi"/>
      <w:kern w:val="2"/>
      <w:sz w:val="32"/>
      <w:szCs w:val="24"/>
      <w:lang w:val="en-US" w:eastAsia="zh-CN" w:bidi="ar-SA"/>
    </w:rPr>
  </w:style>
  <w:style w:type="paragraph" w:styleId="3">
    <w:name w:val="heading 1"/>
    <w:basedOn w:val="1"/>
    <w:next w:val="1"/>
    <w:link w:val="19"/>
    <w:qFormat/>
    <w:uiPriority w:val="0"/>
    <w:pPr>
      <w:keepNext/>
      <w:keepLines/>
      <w:spacing w:beforeLines="0" w:beforeAutospacing="0" w:afterLines="0" w:afterAutospacing="0" w:line="560" w:lineRule="exact"/>
      <w:ind w:firstLine="0" w:firstLineChars="0"/>
      <w:jc w:val="center"/>
      <w:outlineLvl w:val="0"/>
    </w:pPr>
    <w:rPr>
      <w:rFonts w:ascii="方正小标宋简体" w:hAnsi="方正小标宋简体" w:eastAsia="方正小标宋简体"/>
      <w:kern w:val="44"/>
      <w:sz w:val="36"/>
    </w:rPr>
  </w:style>
  <w:style w:type="paragraph" w:styleId="4">
    <w:name w:val="heading 2"/>
    <w:basedOn w:val="1"/>
    <w:next w:val="1"/>
    <w:link w:val="16"/>
    <w:unhideWhenUsed/>
    <w:qFormat/>
    <w:uiPriority w:val="0"/>
    <w:pPr>
      <w:keepNext/>
      <w:keepLines/>
      <w:spacing w:beforeLines="0" w:beforeAutospacing="0" w:afterLines="0" w:afterAutospacing="0" w:line="560" w:lineRule="exact"/>
      <w:ind w:firstLine="720" w:firstLineChars="200"/>
      <w:outlineLvl w:val="1"/>
    </w:pPr>
    <w:rPr>
      <w:rFonts w:ascii="黑体" w:hAnsi="黑体" w:eastAsia="黑体"/>
    </w:rPr>
  </w:style>
  <w:style w:type="paragraph" w:styleId="5">
    <w:name w:val="heading 3"/>
    <w:basedOn w:val="1"/>
    <w:next w:val="1"/>
    <w:unhideWhenUsed/>
    <w:qFormat/>
    <w:uiPriority w:val="0"/>
    <w:pPr>
      <w:keepNext/>
      <w:keepLines/>
      <w:spacing w:beforeLines="0" w:beforeAutospacing="0" w:afterLines="0" w:afterAutospacing="0" w:line="560" w:lineRule="exact"/>
      <w:outlineLvl w:val="2"/>
    </w:pPr>
    <w:rPr>
      <w:rFonts w:eastAsia="楷体_GB231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 w:type="paragraph" w:styleId="6">
    <w:name w:val="toa heading"/>
    <w:basedOn w:val="1"/>
    <w:next w:val="1"/>
    <w:qFormat/>
    <w:uiPriority w:val="0"/>
    <w:pPr>
      <w:spacing w:before="120" w:beforeLines="0" w:beforeAutospacing="0"/>
    </w:pPr>
    <w:rPr>
      <w:rFonts w:ascii="Arial" w:hAnsi="Arial"/>
      <w:sz w:val="24"/>
    </w:rPr>
  </w:style>
  <w:style w:type="paragraph" w:styleId="7">
    <w:name w:val="Body Text"/>
    <w:basedOn w:val="1"/>
    <w:qFormat/>
    <w:uiPriority w:val="1"/>
    <w:pPr>
      <w:ind w:left="880"/>
    </w:pPr>
    <w:rPr>
      <w:sz w:val="32"/>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character" w:customStyle="1" w:styleId="16">
    <w:name w:val="标题 2 Char"/>
    <w:link w:val="4"/>
    <w:qFormat/>
    <w:uiPriority w:val="0"/>
    <w:rPr>
      <w:rFonts w:ascii="黑体" w:hAnsi="黑体" w:eastAsia="黑体"/>
      <w:sz w:val="32"/>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 w:type="character" w:customStyle="1" w:styleId="19">
    <w:name w:val="标题 1 Char"/>
    <w:link w:val="3"/>
    <w:qFormat/>
    <w:uiPriority w:val="0"/>
    <w:rPr>
      <w:rFonts w:ascii="方正小标宋简体" w:hAnsi="方正小标宋简体" w:eastAsia="方正小标宋简体"/>
      <w:kern w:val="44"/>
      <w:sz w:val="36"/>
    </w:rPr>
  </w:style>
  <w:style w:type="paragraph" w:customStyle="1" w:styleId="20">
    <w:name w:val="Table Paragraph"/>
    <w:basedOn w:val="1"/>
    <w:qFormat/>
    <w:uiPriority w:val="1"/>
    <w:pPr>
      <w:spacing w:before="15"/>
      <w:ind w:left="526"/>
      <w:jc w:val="center"/>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8752</Words>
  <Characters>9100</Characters>
  <Lines>0</Lines>
  <Paragraphs>0</Paragraphs>
  <TotalTime>0</TotalTime>
  <ScaleCrop>false</ScaleCrop>
  <LinksUpToDate>false</LinksUpToDate>
  <CharactersWithSpaces>9351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2022-11-11T15:19:00Z</dcterms:created>
  <dc:creator>ELIAN-JSJ-889</dc:creator>
  <cp:lastModifiedBy>Thinkpad</cp:lastModifiedBy>
  <cp:lastPrinted>2023-11-02T00:48:00Z</cp:lastPrinted>
  <dcterms:modified xsi:type="dcterms:W3CDTF">2023-11-17T04:51:12Z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5D215617CED34540BD1E0658710A7839_13</vt:lpwstr>
  </property>
</Properties>
</file>