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outlineLvl w:val="9"/>
        <w:rPr>
          <w:rFonts w:hint="eastAsia"/>
          <w:color w:val="auto"/>
          <w:sz w:val="32"/>
          <w:szCs w:val="32"/>
        </w:rPr>
      </w:pPr>
    </w:p>
    <w:p>
      <w:pPr>
        <w:pStyle w:val="4"/>
        <w:bidi w:val="0"/>
        <w:jc w:val="center"/>
        <w:outlineLvl w:val="9"/>
        <w:rPr>
          <w:rFonts w:hint="eastAsia"/>
          <w:color w:val="auto"/>
          <w:sz w:val="32"/>
          <w:szCs w:val="32"/>
        </w:rPr>
      </w:pPr>
    </w:p>
    <w:p>
      <w:pPr>
        <w:pStyle w:val="4"/>
        <w:bidi w:val="0"/>
        <w:jc w:val="center"/>
        <w:outlineLvl w:val="9"/>
        <w:rPr>
          <w:rFonts w:hint="eastAsia"/>
          <w:color w:val="auto"/>
          <w:sz w:val="32"/>
          <w:szCs w:val="32"/>
        </w:rPr>
      </w:pPr>
    </w:p>
    <w:p>
      <w:pPr>
        <w:pStyle w:val="4"/>
        <w:pageBreakBefore w:val="0"/>
        <w:widowControl w:val="0"/>
        <w:kinsoku/>
        <w:wordWrap/>
        <w:overflowPunct/>
        <w:topLinePunct w:val="0"/>
        <w:bidi w:val="0"/>
        <w:snapToGrid/>
        <w:ind w:firstLine="0" w:firstLineChars="0"/>
        <w:jc w:val="center"/>
        <w:textAlignment w:val="auto"/>
        <w:outlineLvl w:val="9"/>
        <w:rPr>
          <w:rFonts w:hint="eastAsia"/>
          <w:color w:val="auto"/>
          <w:sz w:val="32"/>
          <w:szCs w:val="32"/>
        </w:rPr>
      </w:pPr>
    </w:p>
    <w:p>
      <w:pPr>
        <w:keepNext/>
        <w:keepLines/>
        <w:pageBreakBefore w:val="0"/>
        <w:widowControl w:val="0"/>
        <w:kinsoku/>
        <w:wordWrap/>
        <w:overflowPunct/>
        <w:topLinePunct w:val="0"/>
        <w:autoSpaceDE/>
        <w:autoSpaceDN/>
        <w:bidi w:val="0"/>
        <w:adjustRightInd/>
        <w:snapToGrid/>
        <w:spacing w:line="800" w:lineRule="exact"/>
        <w:ind w:firstLine="0" w:firstLineChars="0"/>
        <w:jc w:val="center"/>
        <w:textAlignment w:val="auto"/>
        <w:outlineLvl w:val="9"/>
        <w:rPr>
          <w:rFonts w:hint="eastAsia" w:ascii="方正小标宋简体" w:hAnsi="方正小标宋简体" w:eastAsia="方正小标宋简体" w:cs="方正小标宋简体"/>
          <w:color w:val="auto"/>
          <w:sz w:val="56"/>
          <w:szCs w:val="56"/>
          <w:lang w:val="en-US" w:eastAsia="zh-CN"/>
        </w:rPr>
      </w:pPr>
      <w:r>
        <w:rPr>
          <w:rFonts w:hint="eastAsia" w:ascii="方正小标宋简体" w:hAnsi="方正小标宋简体" w:eastAsia="方正小标宋简体" w:cs="方正小标宋简体"/>
          <w:color w:val="auto"/>
          <w:sz w:val="56"/>
          <w:szCs w:val="56"/>
          <w:lang w:val="en-US" w:eastAsia="zh-CN"/>
        </w:rPr>
        <w:t>豫南片区联盟第二批医用耗材</w:t>
      </w:r>
    </w:p>
    <w:p>
      <w:pPr>
        <w:keepNext/>
        <w:keepLines/>
        <w:pageBreakBefore w:val="0"/>
        <w:widowControl w:val="0"/>
        <w:kinsoku/>
        <w:wordWrap/>
        <w:overflowPunct/>
        <w:topLinePunct w:val="0"/>
        <w:autoSpaceDE/>
        <w:autoSpaceDN/>
        <w:bidi w:val="0"/>
        <w:adjustRightInd/>
        <w:snapToGrid/>
        <w:spacing w:line="800" w:lineRule="exact"/>
        <w:ind w:firstLine="0" w:firstLineChars="0"/>
        <w:jc w:val="center"/>
        <w:textAlignment w:val="auto"/>
        <w:outlineLvl w:val="9"/>
        <w:rPr>
          <w:rFonts w:hint="eastAsia" w:ascii="方正小标宋简体" w:hAnsi="方正小标宋简体" w:eastAsia="方正小标宋简体" w:cs="方正小标宋简体"/>
          <w:color w:val="auto"/>
          <w:sz w:val="56"/>
          <w:szCs w:val="56"/>
        </w:rPr>
      </w:pPr>
      <w:r>
        <w:rPr>
          <w:rFonts w:hint="eastAsia" w:ascii="方正小标宋简体" w:hAnsi="方正小标宋简体" w:eastAsia="方正小标宋简体" w:cs="方正小标宋简体"/>
          <w:color w:val="auto"/>
          <w:sz w:val="56"/>
          <w:szCs w:val="56"/>
          <w:lang w:val="en-US" w:eastAsia="zh-CN"/>
        </w:rPr>
        <w:t>集中带量</w:t>
      </w:r>
      <w:r>
        <w:rPr>
          <w:rFonts w:hint="eastAsia" w:ascii="方正小标宋简体" w:hAnsi="方正小标宋简体" w:eastAsia="方正小标宋简体" w:cs="方正小标宋简体"/>
          <w:color w:val="auto"/>
          <w:sz w:val="56"/>
          <w:szCs w:val="56"/>
        </w:rPr>
        <w:t>采购文件</w:t>
      </w:r>
    </w:p>
    <w:p>
      <w:pPr>
        <w:pStyle w:val="2"/>
        <w:rPr>
          <w:rFonts w:hint="eastAsia"/>
        </w:rPr>
      </w:pPr>
    </w:p>
    <w:p>
      <w:pPr>
        <w:keepNext/>
        <w:keepLines/>
        <w:pageBreakBefore w:val="0"/>
        <w:widowControl w:val="0"/>
        <w:kinsoku/>
        <w:wordWrap/>
        <w:overflowPunct/>
        <w:topLinePunct w:val="0"/>
        <w:autoSpaceDE/>
        <w:autoSpaceDN/>
        <w:bidi w:val="0"/>
        <w:adjustRightInd/>
        <w:snapToGrid/>
        <w:spacing w:line="800" w:lineRule="exact"/>
        <w:ind w:firstLine="0" w:firstLineChars="0"/>
        <w:jc w:val="center"/>
        <w:textAlignment w:val="auto"/>
        <w:outlineLvl w:val="9"/>
        <w:rPr>
          <w:rFonts w:hint="eastAsia"/>
          <w:color w:val="auto"/>
          <w:lang w:val="en-US" w:eastAsia="zh-CN"/>
        </w:rPr>
      </w:pPr>
      <w:r>
        <w:rPr>
          <w:rFonts w:hint="eastAsia" w:cs="仿宋_GB2312"/>
          <w:b/>
          <w:bCs/>
          <w:color w:val="auto"/>
          <w:sz w:val="32"/>
          <w:szCs w:val="32"/>
          <w:lang w:val="en-US" w:eastAsia="zh-CN"/>
        </w:rPr>
        <w:t>透明帽、一次性乳头切开刀（</w:t>
      </w:r>
      <w:r>
        <w:rPr>
          <w:rFonts w:hint="eastAsia" w:ascii="仿宋_GB2312" w:hAnsi="仿宋_GB2312" w:eastAsia="仿宋_GB2312" w:cs="仿宋_GB2312"/>
          <w:b/>
          <w:bCs/>
          <w:color w:val="auto"/>
          <w:sz w:val="32"/>
          <w:szCs w:val="32"/>
        </w:rPr>
        <w:t>征求意见稿</w:t>
      </w:r>
      <w:r>
        <w:rPr>
          <w:rFonts w:hint="eastAsia" w:cs="仿宋_GB2312"/>
          <w:b/>
          <w:bCs/>
          <w:color w:val="auto"/>
          <w:sz w:val="32"/>
          <w:szCs w:val="32"/>
          <w:lang w:val="en-US" w:eastAsia="zh-CN"/>
        </w:rPr>
        <w:t>）</w:t>
      </w:r>
    </w:p>
    <w:p>
      <w:pPr>
        <w:pageBreakBefore w:val="0"/>
        <w:widowControl w:val="0"/>
        <w:kinsoku/>
        <w:wordWrap/>
        <w:overflowPunct/>
        <w:topLinePunct w:val="0"/>
        <w:bidi w:val="0"/>
        <w:snapToGrid/>
        <w:ind w:firstLine="0" w:firstLineChars="0"/>
        <w:textAlignment w:val="auto"/>
        <w:rPr>
          <w:rFonts w:hint="eastAsia"/>
          <w:color w:val="auto"/>
          <w:lang w:val="en-US" w:eastAsia="zh-CN"/>
        </w:rPr>
      </w:pPr>
    </w:p>
    <w:p>
      <w:pPr>
        <w:pageBreakBefore w:val="0"/>
        <w:widowControl w:val="0"/>
        <w:kinsoku/>
        <w:wordWrap/>
        <w:overflowPunct/>
        <w:topLinePunct w:val="0"/>
        <w:bidi w:val="0"/>
        <w:snapToGrid/>
        <w:ind w:firstLine="0" w:firstLineChars="0"/>
        <w:jc w:val="center"/>
        <w:textAlignment w:val="auto"/>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采购文件编号：</w:t>
      </w:r>
    </w:p>
    <w:p>
      <w:pPr>
        <w:pageBreakBefore w:val="0"/>
        <w:widowControl w:val="0"/>
        <w:kinsoku/>
        <w:wordWrap/>
        <w:overflowPunct/>
        <w:topLinePunct w:val="0"/>
        <w:bidi w:val="0"/>
        <w:snapToGrid/>
        <w:ind w:firstLine="0" w:firstLineChars="0"/>
        <w:jc w:val="center"/>
        <w:textAlignment w:val="auto"/>
        <w:rPr>
          <w:rFonts w:hint="eastAsia"/>
          <w:color w:val="auto"/>
          <w:lang w:val="en-US" w:eastAsia="zh-CN"/>
        </w:rPr>
      </w:pPr>
    </w:p>
    <w:p>
      <w:pPr>
        <w:pageBreakBefore w:val="0"/>
        <w:widowControl w:val="0"/>
        <w:kinsoku/>
        <w:wordWrap/>
        <w:overflowPunct/>
        <w:topLinePunct w:val="0"/>
        <w:bidi w:val="0"/>
        <w:snapToGrid/>
        <w:ind w:firstLine="0" w:firstLineChars="0"/>
        <w:jc w:val="both"/>
        <w:textAlignment w:val="auto"/>
        <w:rPr>
          <w:rFonts w:hint="eastAsia"/>
          <w:color w:val="auto"/>
          <w:lang w:val="en-US" w:eastAsia="zh-CN"/>
        </w:rPr>
      </w:pPr>
    </w:p>
    <w:p>
      <w:pPr>
        <w:pageBreakBefore w:val="0"/>
        <w:widowControl w:val="0"/>
        <w:kinsoku/>
        <w:wordWrap/>
        <w:overflowPunct/>
        <w:topLinePunct w:val="0"/>
        <w:bidi w:val="0"/>
        <w:snapToGrid/>
        <w:ind w:firstLine="0" w:firstLineChars="0"/>
        <w:jc w:val="center"/>
        <w:textAlignment w:val="auto"/>
        <w:rPr>
          <w:rFonts w:hint="eastAsia"/>
          <w:color w:val="auto"/>
          <w:lang w:val="en-US" w:eastAsia="zh-CN"/>
        </w:rPr>
      </w:pPr>
    </w:p>
    <w:p>
      <w:pPr>
        <w:pageBreakBefore w:val="0"/>
        <w:widowControl w:val="0"/>
        <w:kinsoku/>
        <w:wordWrap/>
        <w:overflowPunct/>
        <w:topLinePunct w:val="0"/>
        <w:bidi w:val="0"/>
        <w:snapToGrid/>
        <w:ind w:firstLine="0" w:firstLineChars="0"/>
        <w:jc w:val="center"/>
        <w:textAlignment w:val="auto"/>
        <w:rPr>
          <w:rFonts w:hint="eastAsia"/>
          <w:color w:val="auto"/>
          <w:lang w:val="en-US" w:eastAsia="zh-CN"/>
        </w:rPr>
      </w:pPr>
    </w:p>
    <w:p>
      <w:pPr>
        <w:pageBreakBefore w:val="0"/>
        <w:widowControl w:val="0"/>
        <w:kinsoku/>
        <w:wordWrap/>
        <w:overflowPunct/>
        <w:topLinePunct w:val="0"/>
        <w:bidi w:val="0"/>
        <w:snapToGrid/>
        <w:ind w:firstLine="0" w:firstLineChars="0"/>
        <w:jc w:val="center"/>
        <w:textAlignment w:val="auto"/>
        <w:rPr>
          <w:rFonts w:hint="eastAsia"/>
          <w:color w:val="auto"/>
          <w:lang w:val="en-US" w:eastAsia="zh-CN"/>
        </w:rPr>
      </w:pPr>
    </w:p>
    <w:p>
      <w:pPr>
        <w:pageBreakBefore w:val="0"/>
        <w:widowControl w:val="0"/>
        <w:kinsoku/>
        <w:wordWrap/>
        <w:overflowPunct/>
        <w:topLinePunct w:val="0"/>
        <w:bidi w:val="0"/>
        <w:snapToGrid/>
        <w:ind w:firstLine="0" w:firstLineChars="0"/>
        <w:jc w:val="both"/>
        <w:textAlignment w:val="auto"/>
        <w:rPr>
          <w:rFonts w:hint="eastAsia"/>
          <w:color w:val="auto"/>
          <w:lang w:val="en-US" w:eastAsia="zh-CN"/>
        </w:rPr>
      </w:pPr>
    </w:p>
    <w:p>
      <w:pPr>
        <w:pageBreakBefore w:val="0"/>
        <w:widowControl w:val="0"/>
        <w:kinsoku/>
        <w:wordWrap/>
        <w:overflowPunct/>
        <w:topLinePunct w:val="0"/>
        <w:bidi w:val="0"/>
        <w:snapToGrid/>
        <w:ind w:firstLine="420" w:firstLineChars="0"/>
        <w:jc w:val="center"/>
        <w:textAlignment w:val="auto"/>
        <w:rPr>
          <w:rFonts w:hint="eastAsia"/>
          <w:color w:val="auto"/>
          <w:lang w:val="en-US" w:eastAsia="zh-CN"/>
        </w:rPr>
      </w:pPr>
    </w:p>
    <w:p>
      <w:pPr>
        <w:pageBreakBefore w:val="0"/>
        <w:widowControl w:val="0"/>
        <w:kinsoku/>
        <w:wordWrap/>
        <w:overflowPunct/>
        <w:topLinePunct w:val="0"/>
        <w:bidi w:val="0"/>
        <w:snapToGrid/>
        <w:ind w:firstLine="0" w:firstLineChars="0"/>
        <w:jc w:val="center"/>
        <w:textAlignment w:val="auto"/>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豫南片区联盟采购办公室</w:t>
      </w:r>
    </w:p>
    <w:p>
      <w:pPr>
        <w:pageBreakBefore w:val="0"/>
        <w:widowControl w:val="0"/>
        <w:kinsoku/>
        <w:wordWrap/>
        <w:overflowPunct/>
        <w:topLinePunct w:val="0"/>
        <w:bidi w:val="0"/>
        <w:snapToGrid/>
        <w:ind w:firstLine="0" w:firstLineChars="0"/>
        <w:jc w:val="center"/>
        <w:textAlignment w:val="auto"/>
        <w:rPr>
          <w:rFonts w:hint="eastAsia" w:ascii="方正小标宋简体" w:hAnsi="方正小标宋简体" w:eastAsia="方正小标宋简体" w:cs="方正小标宋简体"/>
          <w:color w:val="auto"/>
          <w:sz w:val="32"/>
          <w:szCs w:val="32"/>
          <w:lang w:val="en-US" w:eastAsia="zh-CN"/>
        </w:rPr>
        <w:sectPr>
          <w:pgSz w:w="11906" w:h="16838"/>
          <w:pgMar w:top="2098" w:right="1474" w:bottom="1984" w:left="1361"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方正小标宋简体" w:hAnsi="方正小标宋简体" w:eastAsia="方正小标宋简体" w:cs="方正小标宋简体"/>
          <w:color w:val="auto"/>
          <w:sz w:val="32"/>
          <w:szCs w:val="32"/>
          <w:lang w:val="en-US" w:eastAsia="zh-CN"/>
        </w:rPr>
        <w:t>2023年11月</w:t>
      </w:r>
    </w:p>
    <w:sdt>
      <w:sdtPr>
        <w:rPr>
          <w:rFonts w:ascii="宋体" w:hAnsi="宋体" w:eastAsia="宋体" w:cstheme="minorBidi"/>
          <w:color w:val="auto"/>
          <w:kern w:val="2"/>
          <w:sz w:val="21"/>
          <w:szCs w:val="24"/>
          <w:lang w:val="en-US" w:eastAsia="zh-CN" w:bidi="ar-SA"/>
        </w:rPr>
        <w:id w:val="147459178"/>
        <w15:color w:val="DBDBDB"/>
        <w:docPartObj>
          <w:docPartGallery w:val="Table of Contents"/>
          <w:docPartUnique/>
        </w:docPartObj>
      </w:sdtPr>
      <w:sdtEndPr>
        <w:rPr>
          <w:rFonts w:hint="eastAsia" w:ascii="方正小标宋简体" w:hAnsi="方正小标宋简体" w:eastAsia="方正小标宋简体" w:cs="方正小标宋简体"/>
          <w:color w:val="auto"/>
          <w:kern w:val="2"/>
          <w:sz w:val="18"/>
          <w:szCs w:val="18"/>
          <w:lang w:val="en-US" w:eastAsia="zh-CN" w:bidi="ar-SA"/>
        </w:rPr>
      </w:sdtEndPr>
      <w:sdtContent>
        <w:p>
          <w:pPr>
            <w:spacing w:before="0" w:beforeLines="0" w:after="0" w:afterLines="0" w:line="240" w:lineRule="auto"/>
            <w:ind w:left="0" w:leftChars="0" w:right="0" w:rightChars="0" w:firstLine="0" w:firstLineChars="0"/>
            <w:jc w:val="center"/>
            <w:rPr>
              <w:color w:val="auto"/>
            </w:rPr>
          </w:pPr>
          <w:r>
            <w:rPr>
              <w:rStyle w:val="19"/>
              <w:color w:val="auto"/>
              <w:sz w:val="52"/>
              <w:szCs w:val="52"/>
            </w:rPr>
            <w:t>目</w:t>
          </w:r>
          <w:r>
            <w:rPr>
              <w:rStyle w:val="19"/>
              <w:rFonts w:hint="eastAsia" w:eastAsia="方正小标宋简体"/>
              <w:color w:val="auto"/>
              <w:sz w:val="52"/>
              <w:szCs w:val="52"/>
              <w:lang w:val="en-US" w:eastAsia="zh-CN"/>
            </w:rPr>
            <w:t xml:space="preserve">  </w:t>
          </w:r>
          <w:r>
            <w:rPr>
              <w:rStyle w:val="19"/>
              <w:color w:val="auto"/>
              <w:sz w:val="52"/>
              <w:szCs w:val="52"/>
            </w:rPr>
            <w:t>录</w:t>
          </w:r>
        </w:p>
        <w:p>
          <w:pPr>
            <w:pStyle w:val="10"/>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jc w:val="left"/>
            <w:textAlignment w:val="auto"/>
            <w:rPr>
              <w:rFonts w:hint="eastAsia" w:ascii="仿宋_GB2312" w:hAnsi="仿宋_GB2312" w:eastAsia="仿宋_GB2312" w:cs="仿宋_GB2312"/>
              <w:sz w:val="32"/>
              <w:szCs w:val="24"/>
            </w:rPr>
          </w:pPr>
          <w:r>
            <w:rPr>
              <w:rFonts w:hint="eastAsia" w:ascii="黑体" w:hAnsi="黑体" w:eastAsia="黑体" w:cs="黑体"/>
              <w:bCs/>
              <w:sz w:val="32"/>
              <w:szCs w:val="56"/>
              <w:lang w:val="en-US" w:eastAsia="zh-CN"/>
            </w:rPr>
            <w:fldChar w:fldCharType="begin"/>
          </w:r>
          <w:r>
            <w:rPr>
              <w:rFonts w:hint="eastAsia" w:ascii="黑体" w:hAnsi="黑体" w:eastAsia="黑体" w:cs="黑体"/>
              <w:bCs/>
              <w:sz w:val="32"/>
              <w:szCs w:val="56"/>
              <w:lang w:val="en-US" w:eastAsia="zh-CN"/>
            </w:rPr>
            <w:instrText xml:space="preserve">TOC \o "1-2" \h \u </w:instrText>
          </w:r>
          <w:r>
            <w:rPr>
              <w:rFonts w:hint="eastAsia" w:ascii="黑体" w:hAnsi="黑体" w:eastAsia="黑体" w:cs="黑体"/>
              <w:bCs/>
              <w:sz w:val="32"/>
              <w:szCs w:val="56"/>
              <w:lang w:val="en-US" w:eastAsia="zh-CN"/>
            </w:rPr>
            <w:fldChar w:fldCharType="separate"/>
          </w:r>
          <w:r>
            <w:rPr>
              <w:rFonts w:hint="eastAsia" w:ascii="黑体" w:hAnsi="黑体" w:eastAsia="黑体" w:cs="黑体"/>
              <w:bCs/>
              <w:sz w:val="32"/>
              <w:szCs w:val="56"/>
              <w:lang w:val="en-US" w:eastAsia="zh-CN"/>
            </w:rPr>
            <w:fldChar w:fldCharType="begin"/>
          </w:r>
          <w:r>
            <w:rPr>
              <w:rFonts w:hint="eastAsia" w:ascii="黑体" w:hAnsi="黑体" w:eastAsia="黑体" w:cs="黑体"/>
              <w:bCs/>
              <w:sz w:val="32"/>
              <w:szCs w:val="56"/>
              <w:lang w:val="en-US" w:eastAsia="zh-CN"/>
            </w:rPr>
            <w:instrText xml:space="preserve"> HYPERLINK \l _Toc5261 </w:instrText>
          </w:r>
          <w:r>
            <w:rPr>
              <w:rFonts w:hint="eastAsia" w:ascii="黑体" w:hAnsi="黑体" w:eastAsia="黑体" w:cs="黑体"/>
              <w:bCs/>
              <w:sz w:val="32"/>
              <w:szCs w:val="56"/>
              <w:lang w:val="en-US" w:eastAsia="zh-CN"/>
            </w:rPr>
            <w:fldChar w:fldCharType="separate"/>
          </w:r>
          <w:r>
            <w:rPr>
              <w:rFonts w:hint="eastAsia" w:ascii="黑体" w:hAnsi="黑体" w:eastAsia="黑体" w:cs="黑体"/>
              <w:bCs/>
              <w:sz w:val="32"/>
              <w:szCs w:val="56"/>
            </w:rPr>
            <w:t>第一部分</w:t>
          </w:r>
          <w:r>
            <w:rPr>
              <w:rFonts w:hint="eastAsia" w:ascii="黑体" w:hAnsi="黑体" w:eastAsia="黑体" w:cs="黑体"/>
              <w:bCs/>
              <w:sz w:val="32"/>
              <w:szCs w:val="56"/>
              <w:lang w:val="en-US" w:eastAsia="zh-CN"/>
            </w:rPr>
            <w:t xml:space="preserve"> </w:t>
          </w:r>
          <w:r>
            <w:rPr>
              <w:rFonts w:hint="eastAsia" w:ascii="黑体" w:hAnsi="黑体" w:eastAsia="黑体" w:cs="黑体"/>
              <w:bCs/>
              <w:sz w:val="32"/>
              <w:szCs w:val="56"/>
            </w:rPr>
            <w:t>采购邀请</w:t>
          </w:r>
          <w:r>
            <w:rPr>
              <w:rFonts w:hint="eastAsia" w:ascii="仿宋_GB2312" w:hAnsi="仿宋_GB2312" w:eastAsia="仿宋_GB2312" w:cs="仿宋_GB2312"/>
              <w:sz w:val="32"/>
              <w:szCs w:val="24"/>
            </w:rPr>
            <w:tab/>
          </w:r>
          <w:r>
            <w:rPr>
              <w:rFonts w:hint="eastAsia" w:ascii="仿宋_GB2312" w:hAnsi="仿宋_GB2312" w:eastAsia="仿宋_GB2312" w:cs="仿宋_GB2312"/>
              <w:sz w:val="32"/>
              <w:szCs w:val="24"/>
            </w:rPr>
            <w:fldChar w:fldCharType="begin"/>
          </w:r>
          <w:r>
            <w:rPr>
              <w:rFonts w:hint="eastAsia" w:ascii="仿宋_GB2312" w:hAnsi="仿宋_GB2312" w:eastAsia="仿宋_GB2312" w:cs="仿宋_GB2312"/>
              <w:sz w:val="32"/>
              <w:szCs w:val="24"/>
            </w:rPr>
            <w:instrText xml:space="preserve"> PAGEREF _Toc5261 \h </w:instrText>
          </w:r>
          <w:r>
            <w:rPr>
              <w:rFonts w:hint="eastAsia" w:ascii="仿宋_GB2312" w:hAnsi="仿宋_GB2312" w:eastAsia="仿宋_GB2312" w:cs="仿宋_GB2312"/>
              <w:sz w:val="32"/>
              <w:szCs w:val="24"/>
            </w:rPr>
            <w:fldChar w:fldCharType="separate"/>
          </w:r>
          <w:r>
            <w:rPr>
              <w:rFonts w:hint="eastAsia" w:ascii="仿宋_GB2312" w:hAnsi="仿宋_GB2312" w:eastAsia="仿宋_GB2312" w:cs="仿宋_GB2312"/>
              <w:sz w:val="32"/>
              <w:szCs w:val="24"/>
            </w:rPr>
            <w:t>- 1 -</w:t>
          </w:r>
          <w:r>
            <w:rPr>
              <w:rFonts w:hint="eastAsia" w:ascii="仿宋_GB2312" w:hAnsi="仿宋_GB2312" w:eastAsia="仿宋_GB2312" w:cs="仿宋_GB2312"/>
              <w:sz w:val="32"/>
              <w:szCs w:val="24"/>
            </w:rPr>
            <w:fldChar w:fldCharType="end"/>
          </w:r>
          <w:r>
            <w:rPr>
              <w:rFonts w:hint="eastAsia" w:ascii="仿宋_GB2312" w:hAnsi="仿宋_GB2312" w:eastAsia="仿宋_GB2312" w:cs="仿宋_GB2312"/>
              <w:color w:val="auto"/>
              <w:kern w:val="2"/>
              <w:sz w:val="32"/>
              <w:szCs w:val="28"/>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jc w:val="left"/>
            <w:textAlignment w:val="auto"/>
            <w:rPr>
              <w:rFonts w:hint="eastAsia" w:ascii="仿宋_GB2312" w:hAnsi="仿宋_GB2312" w:eastAsia="仿宋_GB2312" w:cs="仿宋_GB2312"/>
              <w:sz w:val="32"/>
              <w:szCs w:val="24"/>
            </w:rPr>
          </w:pPr>
          <w:r>
            <w:rPr>
              <w:rFonts w:hint="eastAsia" w:ascii="仿宋_GB2312" w:hAnsi="仿宋_GB2312" w:eastAsia="仿宋_GB2312" w:cs="仿宋_GB2312"/>
              <w:color w:val="auto"/>
              <w:kern w:val="2"/>
              <w:sz w:val="32"/>
              <w:szCs w:val="28"/>
              <w:lang w:val="en-US" w:eastAsia="zh-CN" w:bidi="ar-SA"/>
            </w:rPr>
            <w:fldChar w:fldCharType="begin"/>
          </w:r>
          <w:r>
            <w:rPr>
              <w:rFonts w:hint="eastAsia" w:ascii="仿宋_GB2312" w:hAnsi="仿宋_GB2312" w:eastAsia="仿宋_GB2312" w:cs="仿宋_GB2312"/>
              <w:kern w:val="2"/>
              <w:sz w:val="32"/>
              <w:szCs w:val="28"/>
              <w:lang w:val="en-US" w:eastAsia="zh-CN" w:bidi="ar-SA"/>
            </w:rPr>
            <w:instrText xml:space="preserve"> HYPERLINK \l _Toc29506 </w:instrText>
          </w:r>
          <w:r>
            <w:rPr>
              <w:rFonts w:hint="eastAsia" w:ascii="仿宋_GB2312" w:hAnsi="仿宋_GB2312" w:eastAsia="仿宋_GB2312" w:cs="仿宋_GB2312"/>
              <w:kern w:val="2"/>
              <w:sz w:val="32"/>
              <w:szCs w:val="28"/>
              <w:lang w:val="en-US" w:eastAsia="zh-CN" w:bidi="ar-SA"/>
            </w:rPr>
            <w:fldChar w:fldCharType="separate"/>
          </w:r>
          <w:r>
            <w:rPr>
              <w:rFonts w:hint="eastAsia" w:ascii="仿宋_GB2312" w:hAnsi="仿宋_GB2312" w:eastAsia="仿宋_GB2312" w:cs="仿宋_GB2312"/>
              <w:sz w:val="32"/>
              <w:szCs w:val="24"/>
            </w:rPr>
            <w:t>一、采购</w:t>
          </w:r>
          <w:r>
            <w:rPr>
              <w:rFonts w:hint="eastAsia"/>
              <w:color w:val="auto"/>
              <w:lang w:val="en-US" w:eastAsia="zh-CN"/>
            </w:rPr>
            <w:t>品种</w:t>
          </w:r>
          <w:r>
            <w:rPr>
              <w:rFonts w:hint="eastAsia" w:ascii="仿宋_GB2312" w:hAnsi="仿宋_GB2312" w:eastAsia="仿宋_GB2312" w:cs="仿宋_GB2312"/>
              <w:sz w:val="32"/>
              <w:szCs w:val="24"/>
            </w:rPr>
            <w:t>、</w:t>
          </w:r>
          <w:r>
            <w:rPr>
              <w:rFonts w:hint="eastAsia" w:ascii="仿宋_GB2312" w:hAnsi="仿宋_GB2312" w:eastAsia="仿宋_GB2312" w:cs="仿宋_GB2312"/>
              <w:sz w:val="32"/>
              <w:szCs w:val="24"/>
              <w:lang w:val="en-US" w:eastAsia="zh-CN"/>
            </w:rPr>
            <w:t>采购需求量</w:t>
          </w:r>
          <w:r>
            <w:rPr>
              <w:rFonts w:hint="eastAsia" w:ascii="仿宋_GB2312" w:hAnsi="仿宋_GB2312" w:eastAsia="仿宋_GB2312" w:cs="仿宋_GB2312"/>
              <w:sz w:val="32"/>
              <w:szCs w:val="24"/>
            </w:rPr>
            <w:t>及最高有效申报价</w:t>
          </w:r>
          <w:r>
            <w:rPr>
              <w:rFonts w:hint="eastAsia" w:ascii="仿宋_GB2312" w:hAnsi="仿宋_GB2312" w:eastAsia="仿宋_GB2312" w:cs="仿宋_GB2312"/>
              <w:sz w:val="32"/>
              <w:szCs w:val="24"/>
            </w:rPr>
            <w:tab/>
          </w:r>
          <w:r>
            <w:rPr>
              <w:rFonts w:hint="eastAsia" w:ascii="仿宋_GB2312" w:hAnsi="仿宋_GB2312" w:eastAsia="仿宋_GB2312" w:cs="仿宋_GB2312"/>
              <w:sz w:val="32"/>
              <w:szCs w:val="24"/>
            </w:rPr>
            <w:fldChar w:fldCharType="begin"/>
          </w:r>
          <w:r>
            <w:rPr>
              <w:rFonts w:hint="eastAsia" w:ascii="仿宋_GB2312" w:hAnsi="仿宋_GB2312" w:eastAsia="仿宋_GB2312" w:cs="仿宋_GB2312"/>
              <w:sz w:val="32"/>
              <w:szCs w:val="24"/>
            </w:rPr>
            <w:instrText xml:space="preserve"> PAGEREF _Toc29506 \h </w:instrText>
          </w:r>
          <w:r>
            <w:rPr>
              <w:rFonts w:hint="eastAsia" w:ascii="仿宋_GB2312" w:hAnsi="仿宋_GB2312" w:eastAsia="仿宋_GB2312" w:cs="仿宋_GB2312"/>
              <w:sz w:val="32"/>
              <w:szCs w:val="24"/>
            </w:rPr>
            <w:fldChar w:fldCharType="separate"/>
          </w:r>
          <w:r>
            <w:rPr>
              <w:rFonts w:hint="eastAsia" w:ascii="仿宋_GB2312" w:hAnsi="仿宋_GB2312" w:eastAsia="仿宋_GB2312" w:cs="仿宋_GB2312"/>
              <w:sz w:val="32"/>
              <w:szCs w:val="24"/>
            </w:rPr>
            <w:t>- 3 -</w:t>
          </w:r>
          <w:r>
            <w:rPr>
              <w:rFonts w:hint="eastAsia" w:ascii="仿宋_GB2312" w:hAnsi="仿宋_GB2312" w:eastAsia="仿宋_GB2312" w:cs="仿宋_GB2312"/>
              <w:sz w:val="32"/>
              <w:szCs w:val="24"/>
            </w:rPr>
            <w:fldChar w:fldCharType="end"/>
          </w:r>
          <w:r>
            <w:rPr>
              <w:rFonts w:hint="eastAsia" w:ascii="仿宋_GB2312" w:hAnsi="仿宋_GB2312" w:eastAsia="仿宋_GB2312" w:cs="仿宋_GB2312"/>
              <w:color w:val="auto"/>
              <w:kern w:val="2"/>
              <w:sz w:val="32"/>
              <w:szCs w:val="28"/>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jc w:val="left"/>
            <w:textAlignment w:val="auto"/>
            <w:rPr>
              <w:rFonts w:hint="eastAsia" w:ascii="仿宋_GB2312" w:hAnsi="仿宋_GB2312" w:eastAsia="仿宋_GB2312" w:cs="仿宋_GB2312"/>
              <w:sz w:val="32"/>
              <w:szCs w:val="24"/>
            </w:rPr>
          </w:pPr>
          <w:r>
            <w:rPr>
              <w:rFonts w:hint="eastAsia" w:ascii="仿宋_GB2312" w:hAnsi="仿宋_GB2312" w:eastAsia="仿宋_GB2312" w:cs="仿宋_GB2312"/>
              <w:color w:val="auto"/>
              <w:kern w:val="2"/>
              <w:sz w:val="32"/>
              <w:szCs w:val="28"/>
              <w:lang w:val="en-US" w:eastAsia="zh-CN" w:bidi="ar-SA"/>
            </w:rPr>
            <w:fldChar w:fldCharType="begin"/>
          </w:r>
          <w:r>
            <w:rPr>
              <w:rFonts w:hint="eastAsia" w:ascii="仿宋_GB2312" w:hAnsi="仿宋_GB2312" w:eastAsia="仿宋_GB2312" w:cs="仿宋_GB2312"/>
              <w:kern w:val="2"/>
              <w:sz w:val="32"/>
              <w:szCs w:val="28"/>
              <w:lang w:val="en-US" w:eastAsia="zh-CN" w:bidi="ar-SA"/>
            </w:rPr>
            <w:instrText xml:space="preserve"> HYPERLINK \l _Toc17031 </w:instrText>
          </w:r>
          <w:r>
            <w:rPr>
              <w:rFonts w:hint="eastAsia" w:ascii="仿宋_GB2312" w:hAnsi="仿宋_GB2312" w:eastAsia="仿宋_GB2312" w:cs="仿宋_GB2312"/>
              <w:kern w:val="2"/>
              <w:sz w:val="32"/>
              <w:szCs w:val="28"/>
              <w:lang w:val="en-US" w:eastAsia="zh-CN" w:bidi="ar-SA"/>
            </w:rPr>
            <w:fldChar w:fldCharType="separate"/>
          </w:r>
          <w:r>
            <w:rPr>
              <w:rFonts w:hint="eastAsia" w:ascii="仿宋_GB2312" w:hAnsi="仿宋_GB2312" w:eastAsia="仿宋_GB2312" w:cs="仿宋_GB2312"/>
              <w:sz w:val="32"/>
              <w:szCs w:val="24"/>
              <w:lang w:val="en-US" w:eastAsia="zh-CN"/>
            </w:rPr>
            <w:t>二、申报要求</w:t>
          </w:r>
          <w:r>
            <w:rPr>
              <w:rFonts w:hint="eastAsia" w:ascii="仿宋_GB2312" w:hAnsi="仿宋_GB2312" w:eastAsia="仿宋_GB2312" w:cs="仿宋_GB2312"/>
              <w:sz w:val="32"/>
              <w:szCs w:val="24"/>
            </w:rPr>
            <w:tab/>
          </w:r>
          <w:r>
            <w:rPr>
              <w:rFonts w:hint="eastAsia" w:ascii="仿宋_GB2312" w:hAnsi="仿宋_GB2312" w:eastAsia="仿宋_GB2312" w:cs="仿宋_GB2312"/>
              <w:sz w:val="32"/>
              <w:szCs w:val="24"/>
            </w:rPr>
            <w:fldChar w:fldCharType="begin"/>
          </w:r>
          <w:r>
            <w:rPr>
              <w:rFonts w:hint="eastAsia" w:ascii="仿宋_GB2312" w:hAnsi="仿宋_GB2312" w:eastAsia="仿宋_GB2312" w:cs="仿宋_GB2312"/>
              <w:sz w:val="32"/>
              <w:szCs w:val="24"/>
            </w:rPr>
            <w:instrText xml:space="preserve"> PAGEREF _Toc17031 \h </w:instrText>
          </w:r>
          <w:r>
            <w:rPr>
              <w:rFonts w:hint="eastAsia" w:ascii="仿宋_GB2312" w:hAnsi="仿宋_GB2312" w:eastAsia="仿宋_GB2312" w:cs="仿宋_GB2312"/>
              <w:sz w:val="32"/>
              <w:szCs w:val="24"/>
            </w:rPr>
            <w:fldChar w:fldCharType="separate"/>
          </w:r>
          <w:r>
            <w:rPr>
              <w:rFonts w:hint="eastAsia" w:ascii="仿宋_GB2312" w:hAnsi="仿宋_GB2312" w:eastAsia="仿宋_GB2312" w:cs="仿宋_GB2312"/>
              <w:sz w:val="32"/>
              <w:szCs w:val="24"/>
            </w:rPr>
            <w:t>- 4 -</w:t>
          </w:r>
          <w:r>
            <w:rPr>
              <w:rFonts w:hint="eastAsia" w:ascii="仿宋_GB2312" w:hAnsi="仿宋_GB2312" w:eastAsia="仿宋_GB2312" w:cs="仿宋_GB2312"/>
              <w:sz w:val="32"/>
              <w:szCs w:val="24"/>
            </w:rPr>
            <w:fldChar w:fldCharType="end"/>
          </w:r>
          <w:r>
            <w:rPr>
              <w:rFonts w:hint="eastAsia" w:ascii="仿宋_GB2312" w:hAnsi="仿宋_GB2312" w:eastAsia="仿宋_GB2312" w:cs="仿宋_GB2312"/>
              <w:color w:val="auto"/>
              <w:kern w:val="2"/>
              <w:sz w:val="32"/>
              <w:szCs w:val="28"/>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jc w:val="left"/>
            <w:textAlignment w:val="auto"/>
            <w:rPr>
              <w:rFonts w:hint="eastAsia" w:ascii="仿宋_GB2312" w:hAnsi="仿宋_GB2312" w:eastAsia="仿宋_GB2312" w:cs="仿宋_GB2312"/>
              <w:sz w:val="32"/>
              <w:szCs w:val="24"/>
            </w:rPr>
          </w:pPr>
          <w:r>
            <w:rPr>
              <w:rFonts w:hint="eastAsia" w:ascii="仿宋_GB2312" w:hAnsi="仿宋_GB2312" w:eastAsia="仿宋_GB2312" w:cs="仿宋_GB2312"/>
              <w:color w:val="auto"/>
              <w:kern w:val="2"/>
              <w:sz w:val="32"/>
              <w:szCs w:val="28"/>
              <w:lang w:val="en-US" w:eastAsia="zh-CN" w:bidi="ar-SA"/>
            </w:rPr>
            <w:fldChar w:fldCharType="begin"/>
          </w:r>
          <w:r>
            <w:rPr>
              <w:rFonts w:hint="eastAsia" w:ascii="仿宋_GB2312" w:hAnsi="仿宋_GB2312" w:eastAsia="仿宋_GB2312" w:cs="仿宋_GB2312"/>
              <w:kern w:val="2"/>
              <w:sz w:val="32"/>
              <w:szCs w:val="28"/>
              <w:lang w:val="en-US" w:eastAsia="zh-CN" w:bidi="ar-SA"/>
            </w:rPr>
            <w:instrText xml:space="preserve"> HYPERLINK \l _Toc15545 </w:instrText>
          </w:r>
          <w:r>
            <w:rPr>
              <w:rFonts w:hint="eastAsia" w:ascii="仿宋_GB2312" w:hAnsi="仿宋_GB2312" w:eastAsia="仿宋_GB2312" w:cs="仿宋_GB2312"/>
              <w:kern w:val="2"/>
              <w:sz w:val="32"/>
              <w:szCs w:val="28"/>
              <w:lang w:val="en-US" w:eastAsia="zh-CN" w:bidi="ar-SA"/>
            </w:rPr>
            <w:fldChar w:fldCharType="separate"/>
          </w:r>
          <w:r>
            <w:rPr>
              <w:rFonts w:hint="eastAsia" w:ascii="仿宋_GB2312" w:hAnsi="仿宋_GB2312" w:eastAsia="仿宋_GB2312" w:cs="仿宋_GB2312"/>
              <w:sz w:val="32"/>
              <w:szCs w:val="24"/>
              <w:lang w:val="en-US" w:eastAsia="zh-CN"/>
            </w:rPr>
            <w:t>三</w:t>
          </w:r>
          <w:r>
            <w:rPr>
              <w:rFonts w:hint="eastAsia" w:ascii="仿宋_GB2312" w:hAnsi="仿宋_GB2312" w:eastAsia="仿宋_GB2312" w:cs="仿宋_GB2312"/>
              <w:sz w:val="32"/>
              <w:szCs w:val="24"/>
            </w:rPr>
            <w:t>、</w:t>
          </w:r>
          <w:r>
            <w:rPr>
              <w:rFonts w:hint="eastAsia" w:ascii="仿宋_GB2312" w:hAnsi="仿宋_GB2312" w:eastAsia="仿宋_GB2312" w:cs="仿宋_GB2312"/>
              <w:sz w:val="32"/>
              <w:szCs w:val="24"/>
              <w:lang w:val="en-US" w:eastAsia="zh-CN"/>
            </w:rPr>
            <w:t>采购周期与采购协议</w:t>
          </w:r>
          <w:r>
            <w:rPr>
              <w:rFonts w:hint="eastAsia" w:ascii="仿宋_GB2312" w:hAnsi="仿宋_GB2312" w:eastAsia="仿宋_GB2312" w:cs="仿宋_GB2312"/>
              <w:sz w:val="32"/>
              <w:szCs w:val="24"/>
            </w:rPr>
            <w:tab/>
          </w:r>
          <w:r>
            <w:rPr>
              <w:rFonts w:hint="eastAsia" w:ascii="仿宋_GB2312" w:hAnsi="仿宋_GB2312" w:eastAsia="仿宋_GB2312" w:cs="仿宋_GB2312"/>
              <w:sz w:val="32"/>
              <w:szCs w:val="24"/>
            </w:rPr>
            <w:fldChar w:fldCharType="begin"/>
          </w:r>
          <w:r>
            <w:rPr>
              <w:rFonts w:hint="eastAsia" w:ascii="仿宋_GB2312" w:hAnsi="仿宋_GB2312" w:eastAsia="仿宋_GB2312" w:cs="仿宋_GB2312"/>
              <w:sz w:val="32"/>
              <w:szCs w:val="24"/>
            </w:rPr>
            <w:instrText xml:space="preserve"> PAGEREF _Toc15545 \h </w:instrText>
          </w:r>
          <w:r>
            <w:rPr>
              <w:rFonts w:hint="eastAsia" w:ascii="仿宋_GB2312" w:hAnsi="仿宋_GB2312" w:eastAsia="仿宋_GB2312" w:cs="仿宋_GB2312"/>
              <w:sz w:val="32"/>
              <w:szCs w:val="24"/>
            </w:rPr>
            <w:fldChar w:fldCharType="separate"/>
          </w:r>
          <w:r>
            <w:rPr>
              <w:rFonts w:hint="eastAsia" w:ascii="仿宋_GB2312" w:hAnsi="仿宋_GB2312" w:eastAsia="仿宋_GB2312" w:cs="仿宋_GB2312"/>
              <w:sz w:val="32"/>
              <w:szCs w:val="24"/>
            </w:rPr>
            <w:t>- 5 -</w:t>
          </w:r>
          <w:r>
            <w:rPr>
              <w:rFonts w:hint="eastAsia" w:ascii="仿宋_GB2312" w:hAnsi="仿宋_GB2312" w:eastAsia="仿宋_GB2312" w:cs="仿宋_GB2312"/>
              <w:sz w:val="32"/>
              <w:szCs w:val="24"/>
            </w:rPr>
            <w:fldChar w:fldCharType="end"/>
          </w:r>
          <w:r>
            <w:rPr>
              <w:rFonts w:hint="eastAsia" w:ascii="仿宋_GB2312" w:hAnsi="仿宋_GB2312" w:eastAsia="仿宋_GB2312" w:cs="仿宋_GB2312"/>
              <w:color w:val="auto"/>
              <w:kern w:val="2"/>
              <w:sz w:val="32"/>
              <w:szCs w:val="28"/>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jc w:val="left"/>
            <w:textAlignment w:val="auto"/>
            <w:rPr>
              <w:rFonts w:hint="eastAsia" w:ascii="仿宋_GB2312" w:hAnsi="仿宋_GB2312" w:eastAsia="仿宋_GB2312" w:cs="仿宋_GB2312"/>
              <w:sz w:val="32"/>
              <w:szCs w:val="24"/>
            </w:rPr>
          </w:pPr>
          <w:r>
            <w:rPr>
              <w:rFonts w:hint="eastAsia" w:ascii="仿宋_GB2312" w:hAnsi="仿宋_GB2312" w:eastAsia="仿宋_GB2312" w:cs="仿宋_GB2312"/>
              <w:color w:val="auto"/>
              <w:kern w:val="2"/>
              <w:sz w:val="32"/>
              <w:szCs w:val="28"/>
              <w:lang w:val="en-US" w:eastAsia="zh-CN" w:bidi="ar-SA"/>
            </w:rPr>
            <w:fldChar w:fldCharType="begin"/>
          </w:r>
          <w:r>
            <w:rPr>
              <w:rFonts w:hint="eastAsia" w:ascii="仿宋_GB2312" w:hAnsi="仿宋_GB2312" w:eastAsia="仿宋_GB2312" w:cs="仿宋_GB2312"/>
              <w:kern w:val="2"/>
              <w:sz w:val="32"/>
              <w:szCs w:val="28"/>
              <w:lang w:val="en-US" w:eastAsia="zh-CN" w:bidi="ar-SA"/>
            </w:rPr>
            <w:instrText xml:space="preserve"> HYPERLINK \l _Toc22416 </w:instrText>
          </w:r>
          <w:r>
            <w:rPr>
              <w:rFonts w:hint="eastAsia" w:ascii="仿宋_GB2312" w:hAnsi="仿宋_GB2312" w:eastAsia="仿宋_GB2312" w:cs="仿宋_GB2312"/>
              <w:kern w:val="2"/>
              <w:sz w:val="32"/>
              <w:szCs w:val="28"/>
              <w:lang w:val="en-US" w:eastAsia="zh-CN" w:bidi="ar-SA"/>
            </w:rPr>
            <w:fldChar w:fldCharType="separate"/>
          </w:r>
          <w:r>
            <w:rPr>
              <w:rFonts w:hint="eastAsia" w:ascii="仿宋_GB2312" w:hAnsi="仿宋_GB2312" w:eastAsia="仿宋_GB2312" w:cs="仿宋_GB2312"/>
              <w:sz w:val="32"/>
              <w:szCs w:val="24"/>
              <w:lang w:val="en-US" w:eastAsia="zh-CN"/>
            </w:rPr>
            <w:t>四、采购执行说明</w:t>
          </w:r>
          <w:r>
            <w:rPr>
              <w:rFonts w:hint="eastAsia" w:ascii="仿宋_GB2312" w:hAnsi="仿宋_GB2312" w:eastAsia="仿宋_GB2312" w:cs="仿宋_GB2312"/>
              <w:sz w:val="32"/>
              <w:szCs w:val="24"/>
            </w:rPr>
            <w:tab/>
          </w:r>
          <w:r>
            <w:rPr>
              <w:rFonts w:hint="eastAsia" w:ascii="仿宋_GB2312" w:hAnsi="仿宋_GB2312" w:eastAsia="仿宋_GB2312" w:cs="仿宋_GB2312"/>
              <w:sz w:val="32"/>
              <w:szCs w:val="24"/>
            </w:rPr>
            <w:fldChar w:fldCharType="begin"/>
          </w:r>
          <w:r>
            <w:rPr>
              <w:rFonts w:hint="eastAsia" w:ascii="仿宋_GB2312" w:hAnsi="仿宋_GB2312" w:eastAsia="仿宋_GB2312" w:cs="仿宋_GB2312"/>
              <w:sz w:val="32"/>
              <w:szCs w:val="24"/>
            </w:rPr>
            <w:instrText xml:space="preserve"> PAGEREF _Toc22416 \h </w:instrText>
          </w:r>
          <w:r>
            <w:rPr>
              <w:rFonts w:hint="eastAsia" w:ascii="仿宋_GB2312" w:hAnsi="仿宋_GB2312" w:eastAsia="仿宋_GB2312" w:cs="仿宋_GB2312"/>
              <w:sz w:val="32"/>
              <w:szCs w:val="24"/>
            </w:rPr>
            <w:fldChar w:fldCharType="separate"/>
          </w:r>
          <w:r>
            <w:rPr>
              <w:rFonts w:hint="eastAsia" w:ascii="仿宋_GB2312" w:hAnsi="仿宋_GB2312" w:eastAsia="仿宋_GB2312" w:cs="仿宋_GB2312"/>
              <w:sz w:val="32"/>
              <w:szCs w:val="24"/>
            </w:rPr>
            <w:t>- 6 -</w:t>
          </w:r>
          <w:r>
            <w:rPr>
              <w:rFonts w:hint="eastAsia" w:ascii="仿宋_GB2312" w:hAnsi="仿宋_GB2312" w:eastAsia="仿宋_GB2312" w:cs="仿宋_GB2312"/>
              <w:sz w:val="32"/>
              <w:szCs w:val="24"/>
            </w:rPr>
            <w:fldChar w:fldCharType="end"/>
          </w:r>
          <w:r>
            <w:rPr>
              <w:rFonts w:hint="eastAsia" w:ascii="仿宋_GB2312" w:hAnsi="仿宋_GB2312" w:eastAsia="仿宋_GB2312" w:cs="仿宋_GB2312"/>
              <w:color w:val="auto"/>
              <w:kern w:val="2"/>
              <w:sz w:val="32"/>
              <w:szCs w:val="28"/>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jc w:val="left"/>
            <w:textAlignment w:val="auto"/>
            <w:rPr>
              <w:rFonts w:hint="eastAsia" w:ascii="仿宋_GB2312" w:hAnsi="仿宋_GB2312" w:eastAsia="仿宋_GB2312" w:cs="仿宋_GB2312"/>
              <w:sz w:val="32"/>
              <w:szCs w:val="24"/>
            </w:rPr>
          </w:pPr>
          <w:r>
            <w:rPr>
              <w:rFonts w:hint="eastAsia" w:ascii="仿宋_GB2312" w:hAnsi="仿宋_GB2312" w:eastAsia="仿宋_GB2312" w:cs="仿宋_GB2312"/>
              <w:color w:val="auto"/>
              <w:kern w:val="2"/>
              <w:sz w:val="32"/>
              <w:szCs w:val="28"/>
              <w:lang w:val="en-US" w:eastAsia="zh-CN" w:bidi="ar-SA"/>
            </w:rPr>
            <w:fldChar w:fldCharType="begin"/>
          </w:r>
          <w:r>
            <w:rPr>
              <w:rFonts w:hint="eastAsia" w:ascii="仿宋_GB2312" w:hAnsi="仿宋_GB2312" w:eastAsia="仿宋_GB2312" w:cs="仿宋_GB2312"/>
              <w:kern w:val="2"/>
              <w:sz w:val="32"/>
              <w:szCs w:val="28"/>
              <w:lang w:val="en-US" w:eastAsia="zh-CN" w:bidi="ar-SA"/>
            </w:rPr>
            <w:instrText xml:space="preserve"> HYPERLINK \l _Toc26232 </w:instrText>
          </w:r>
          <w:r>
            <w:rPr>
              <w:rFonts w:hint="eastAsia" w:ascii="仿宋_GB2312" w:hAnsi="仿宋_GB2312" w:eastAsia="仿宋_GB2312" w:cs="仿宋_GB2312"/>
              <w:kern w:val="2"/>
              <w:sz w:val="32"/>
              <w:szCs w:val="28"/>
              <w:lang w:val="en-US" w:eastAsia="zh-CN" w:bidi="ar-SA"/>
            </w:rPr>
            <w:fldChar w:fldCharType="separate"/>
          </w:r>
          <w:r>
            <w:rPr>
              <w:rFonts w:hint="eastAsia" w:ascii="仿宋_GB2312" w:hAnsi="仿宋_GB2312" w:eastAsia="仿宋_GB2312" w:cs="仿宋_GB2312"/>
              <w:sz w:val="32"/>
              <w:szCs w:val="24"/>
              <w:lang w:val="en-US" w:eastAsia="zh-CN"/>
            </w:rPr>
            <w:t>五、采购文件获取</w:t>
          </w:r>
          <w:r>
            <w:rPr>
              <w:rFonts w:hint="eastAsia" w:ascii="仿宋_GB2312" w:hAnsi="仿宋_GB2312" w:eastAsia="仿宋_GB2312" w:cs="仿宋_GB2312"/>
              <w:sz w:val="32"/>
              <w:szCs w:val="24"/>
            </w:rPr>
            <w:tab/>
          </w:r>
          <w:r>
            <w:rPr>
              <w:rFonts w:hint="eastAsia" w:ascii="仿宋_GB2312" w:hAnsi="仿宋_GB2312" w:eastAsia="仿宋_GB2312" w:cs="仿宋_GB2312"/>
              <w:sz w:val="32"/>
              <w:szCs w:val="24"/>
            </w:rPr>
            <w:fldChar w:fldCharType="begin"/>
          </w:r>
          <w:r>
            <w:rPr>
              <w:rFonts w:hint="eastAsia" w:ascii="仿宋_GB2312" w:hAnsi="仿宋_GB2312" w:eastAsia="仿宋_GB2312" w:cs="仿宋_GB2312"/>
              <w:sz w:val="32"/>
              <w:szCs w:val="24"/>
            </w:rPr>
            <w:instrText xml:space="preserve"> PAGEREF _Toc26232 \h </w:instrText>
          </w:r>
          <w:r>
            <w:rPr>
              <w:rFonts w:hint="eastAsia" w:ascii="仿宋_GB2312" w:hAnsi="仿宋_GB2312" w:eastAsia="仿宋_GB2312" w:cs="仿宋_GB2312"/>
              <w:sz w:val="32"/>
              <w:szCs w:val="24"/>
            </w:rPr>
            <w:fldChar w:fldCharType="separate"/>
          </w:r>
          <w:r>
            <w:rPr>
              <w:rFonts w:hint="eastAsia" w:ascii="仿宋_GB2312" w:hAnsi="仿宋_GB2312" w:eastAsia="仿宋_GB2312" w:cs="仿宋_GB2312"/>
              <w:sz w:val="32"/>
              <w:szCs w:val="24"/>
            </w:rPr>
            <w:t>- 7 -</w:t>
          </w:r>
          <w:r>
            <w:rPr>
              <w:rFonts w:hint="eastAsia" w:ascii="仿宋_GB2312" w:hAnsi="仿宋_GB2312" w:eastAsia="仿宋_GB2312" w:cs="仿宋_GB2312"/>
              <w:sz w:val="32"/>
              <w:szCs w:val="24"/>
            </w:rPr>
            <w:fldChar w:fldCharType="end"/>
          </w:r>
          <w:r>
            <w:rPr>
              <w:rFonts w:hint="eastAsia" w:ascii="仿宋_GB2312" w:hAnsi="仿宋_GB2312" w:eastAsia="仿宋_GB2312" w:cs="仿宋_GB2312"/>
              <w:color w:val="auto"/>
              <w:kern w:val="2"/>
              <w:sz w:val="32"/>
              <w:szCs w:val="28"/>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jc w:val="left"/>
            <w:textAlignment w:val="auto"/>
            <w:rPr>
              <w:rFonts w:hint="eastAsia" w:ascii="仿宋_GB2312" w:hAnsi="仿宋_GB2312" w:eastAsia="仿宋_GB2312" w:cs="仿宋_GB2312"/>
              <w:sz w:val="32"/>
              <w:szCs w:val="24"/>
            </w:rPr>
          </w:pPr>
          <w:r>
            <w:rPr>
              <w:rFonts w:hint="eastAsia" w:ascii="仿宋_GB2312" w:hAnsi="仿宋_GB2312" w:eastAsia="仿宋_GB2312" w:cs="仿宋_GB2312"/>
              <w:color w:val="auto"/>
              <w:kern w:val="2"/>
              <w:sz w:val="32"/>
              <w:szCs w:val="28"/>
              <w:lang w:val="en-US" w:eastAsia="zh-CN" w:bidi="ar-SA"/>
            </w:rPr>
            <w:fldChar w:fldCharType="begin"/>
          </w:r>
          <w:r>
            <w:rPr>
              <w:rFonts w:hint="eastAsia" w:ascii="仿宋_GB2312" w:hAnsi="仿宋_GB2312" w:eastAsia="仿宋_GB2312" w:cs="仿宋_GB2312"/>
              <w:kern w:val="2"/>
              <w:sz w:val="32"/>
              <w:szCs w:val="28"/>
              <w:lang w:val="en-US" w:eastAsia="zh-CN" w:bidi="ar-SA"/>
            </w:rPr>
            <w:instrText xml:space="preserve"> HYPERLINK \l _Toc26726 </w:instrText>
          </w:r>
          <w:r>
            <w:rPr>
              <w:rFonts w:hint="eastAsia" w:ascii="仿宋_GB2312" w:hAnsi="仿宋_GB2312" w:eastAsia="仿宋_GB2312" w:cs="仿宋_GB2312"/>
              <w:kern w:val="2"/>
              <w:sz w:val="32"/>
              <w:szCs w:val="28"/>
              <w:lang w:val="en-US" w:eastAsia="zh-CN" w:bidi="ar-SA"/>
            </w:rPr>
            <w:fldChar w:fldCharType="separate"/>
          </w:r>
          <w:r>
            <w:rPr>
              <w:rFonts w:hint="eastAsia" w:ascii="仿宋_GB2312" w:hAnsi="仿宋_GB2312" w:eastAsia="仿宋_GB2312" w:cs="仿宋_GB2312"/>
              <w:sz w:val="32"/>
              <w:szCs w:val="24"/>
              <w:lang w:val="en-US" w:eastAsia="zh-CN"/>
            </w:rPr>
            <w:t>六、申报方式</w:t>
          </w:r>
          <w:r>
            <w:rPr>
              <w:rFonts w:hint="eastAsia" w:ascii="仿宋_GB2312" w:hAnsi="仿宋_GB2312" w:eastAsia="仿宋_GB2312" w:cs="仿宋_GB2312"/>
              <w:sz w:val="32"/>
              <w:szCs w:val="24"/>
            </w:rPr>
            <w:tab/>
          </w:r>
          <w:r>
            <w:rPr>
              <w:rFonts w:hint="eastAsia" w:ascii="仿宋_GB2312" w:hAnsi="仿宋_GB2312" w:eastAsia="仿宋_GB2312" w:cs="仿宋_GB2312"/>
              <w:sz w:val="32"/>
              <w:szCs w:val="24"/>
            </w:rPr>
            <w:fldChar w:fldCharType="begin"/>
          </w:r>
          <w:r>
            <w:rPr>
              <w:rFonts w:hint="eastAsia" w:ascii="仿宋_GB2312" w:hAnsi="仿宋_GB2312" w:eastAsia="仿宋_GB2312" w:cs="仿宋_GB2312"/>
              <w:sz w:val="32"/>
              <w:szCs w:val="24"/>
            </w:rPr>
            <w:instrText xml:space="preserve"> PAGEREF _Toc26726 \h </w:instrText>
          </w:r>
          <w:r>
            <w:rPr>
              <w:rFonts w:hint="eastAsia" w:ascii="仿宋_GB2312" w:hAnsi="仿宋_GB2312" w:eastAsia="仿宋_GB2312" w:cs="仿宋_GB2312"/>
              <w:sz w:val="32"/>
              <w:szCs w:val="24"/>
            </w:rPr>
            <w:fldChar w:fldCharType="separate"/>
          </w:r>
          <w:r>
            <w:rPr>
              <w:rFonts w:hint="eastAsia" w:ascii="仿宋_GB2312" w:hAnsi="仿宋_GB2312" w:eastAsia="仿宋_GB2312" w:cs="仿宋_GB2312"/>
              <w:sz w:val="32"/>
              <w:szCs w:val="24"/>
            </w:rPr>
            <w:t>- 7 -</w:t>
          </w:r>
          <w:r>
            <w:rPr>
              <w:rFonts w:hint="eastAsia" w:ascii="仿宋_GB2312" w:hAnsi="仿宋_GB2312" w:eastAsia="仿宋_GB2312" w:cs="仿宋_GB2312"/>
              <w:sz w:val="32"/>
              <w:szCs w:val="24"/>
            </w:rPr>
            <w:fldChar w:fldCharType="end"/>
          </w:r>
          <w:r>
            <w:rPr>
              <w:rFonts w:hint="eastAsia" w:ascii="仿宋_GB2312" w:hAnsi="仿宋_GB2312" w:eastAsia="仿宋_GB2312" w:cs="仿宋_GB2312"/>
              <w:color w:val="auto"/>
              <w:kern w:val="2"/>
              <w:sz w:val="32"/>
              <w:szCs w:val="28"/>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jc w:val="left"/>
            <w:textAlignment w:val="auto"/>
            <w:rPr>
              <w:rFonts w:hint="eastAsia" w:ascii="仿宋_GB2312" w:hAnsi="仿宋_GB2312" w:eastAsia="仿宋_GB2312" w:cs="仿宋_GB2312"/>
              <w:sz w:val="32"/>
              <w:szCs w:val="24"/>
            </w:rPr>
          </w:pPr>
          <w:r>
            <w:rPr>
              <w:rFonts w:hint="eastAsia" w:ascii="仿宋_GB2312" w:hAnsi="仿宋_GB2312" w:eastAsia="仿宋_GB2312" w:cs="仿宋_GB2312"/>
              <w:color w:val="auto"/>
              <w:kern w:val="2"/>
              <w:sz w:val="32"/>
              <w:szCs w:val="28"/>
              <w:lang w:val="en-US" w:eastAsia="zh-CN" w:bidi="ar-SA"/>
            </w:rPr>
            <w:fldChar w:fldCharType="begin"/>
          </w:r>
          <w:r>
            <w:rPr>
              <w:rFonts w:hint="eastAsia" w:ascii="仿宋_GB2312" w:hAnsi="仿宋_GB2312" w:eastAsia="仿宋_GB2312" w:cs="仿宋_GB2312"/>
              <w:kern w:val="2"/>
              <w:sz w:val="32"/>
              <w:szCs w:val="28"/>
              <w:lang w:val="en-US" w:eastAsia="zh-CN" w:bidi="ar-SA"/>
            </w:rPr>
            <w:instrText xml:space="preserve"> HYPERLINK \l _Toc12253 </w:instrText>
          </w:r>
          <w:r>
            <w:rPr>
              <w:rFonts w:hint="eastAsia" w:ascii="仿宋_GB2312" w:hAnsi="仿宋_GB2312" w:eastAsia="仿宋_GB2312" w:cs="仿宋_GB2312"/>
              <w:kern w:val="2"/>
              <w:sz w:val="32"/>
              <w:szCs w:val="28"/>
              <w:lang w:val="en-US" w:eastAsia="zh-CN" w:bidi="ar-SA"/>
            </w:rPr>
            <w:fldChar w:fldCharType="separate"/>
          </w:r>
          <w:r>
            <w:rPr>
              <w:rFonts w:hint="eastAsia" w:ascii="仿宋_GB2312" w:hAnsi="仿宋_GB2312" w:eastAsia="仿宋_GB2312" w:cs="仿宋_GB2312"/>
              <w:sz w:val="32"/>
              <w:szCs w:val="24"/>
              <w:lang w:val="en-US" w:eastAsia="zh-CN"/>
            </w:rPr>
            <w:t>七、报价时间安排</w:t>
          </w:r>
          <w:r>
            <w:rPr>
              <w:rFonts w:hint="eastAsia" w:ascii="仿宋_GB2312" w:hAnsi="仿宋_GB2312" w:eastAsia="仿宋_GB2312" w:cs="仿宋_GB2312"/>
              <w:sz w:val="32"/>
              <w:szCs w:val="24"/>
            </w:rPr>
            <w:tab/>
          </w:r>
          <w:r>
            <w:rPr>
              <w:rFonts w:hint="eastAsia" w:ascii="仿宋_GB2312" w:hAnsi="仿宋_GB2312" w:eastAsia="仿宋_GB2312" w:cs="仿宋_GB2312"/>
              <w:sz w:val="32"/>
              <w:szCs w:val="24"/>
            </w:rPr>
            <w:fldChar w:fldCharType="begin"/>
          </w:r>
          <w:r>
            <w:rPr>
              <w:rFonts w:hint="eastAsia" w:ascii="仿宋_GB2312" w:hAnsi="仿宋_GB2312" w:eastAsia="仿宋_GB2312" w:cs="仿宋_GB2312"/>
              <w:sz w:val="32"/>
              <w:szCs w:val="24"/>
            </w:rPr>
            <w:instrText xml:space="preserve"> PAGEREF _Toc12253 \h </w:instrText>
          </w:r>
          <w:r>
            <w:rPr>
              <w:rFonts w:hint="eastAsia" w:ascii="仿宋_GB2312" w:hAnsi="仿宋_GB2312" w:eastAsia="仿宋_GB2312" w:cs="仿宋_GB2312"/>
              <w:sz w:val="32"/>
              <w:szCs w:val="24"/>
            </w:rPr>
            <w:fldChar w:fldCharType="separate"/>
          </w:r>
          <w:r>
            <w:rPr>
              <w:rFonts w:hint="eastAsia" w:ascii="仿宋_GB2312" w:hAnsi="仿宋_GB2312" w:eastAsia="仿宋_GB2312" w:cs="仿宋_GB2312"/>
              <w:sz w:val="32"/>
              <w:szCs w:val="24"/>
            </w:rPr>
            <w:t>- 7 -</w:t>
          </w:r>
          <w:r>
            <w:rPr>
              <w:rFonts w:hint="eastAsia" w:ascii="仿宋_GB2312" w:hAnsi="仿宋_GB2312" w:eastAsia="仿宋_GB2312" w:cs="仿宋_GB2312"/>
              <w:sz w:val="32"/>
              <w:szCs w:val="24"/>
            </w:rPr>
            <w:fldChar w:fldCharType="end"/>
          </w:r>
          <w:r>
            <w:rPr>
              <w:rFonts w:hint="eastAsia" w:ascii="仿宋_GB2312" w:hAnsi="仿宋_GB2312" w:eastAsia="仿宋_GB2312" w:cs="仿宋_GB2312"/>
              <w:color w:val="auto"/>
              <w:kern w:val="2"/>
              <w:sz w:val="32"/>
              <w:szCs w:val="28"/>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jc w:val="left"/>
            <w:textAlignment w:val="auto"/>
            <w:rPr>
              <w:rFonts w:hint="eastAsia" w:ascii="仿宋_GB2312" w:hAnsi="仿宋_GB2312" w:eastAsia="仿宋_GB2312" w:cs="仿宋_GB2312"/>
              <w:sz w:val="32"/>
              <w:szCs w:val="24"/>
            </w:rPr>
          </w:pPr>
          <w:r>
            <w:rPr>
              <w:rFonts w:hint="eastAsia" w:ascii="仿宋_GB2312" w:hAnsi="仿宋_GB2312" w:eastAsia="仿宋_GB2312" w:cs="仿宋_GB2312"/>
              <w:color w:val="auto"/>
              <w:kern w:val="2"/>
              <w:sz w:val="32"/>
              <w:szCs w:val="28"/>
              <w:lang w:val="en-US" w:eastAsia="zh-CN" w:bidi="ar-SA"/>
            </w:rPr>
            <w:fldChar w:fldCharType="begin"/>
          </w:r>
          <w:r>
            <w:rPr>
              <w:rFonts w:hint="eastAsia" w:ascii="仿宋_GB2312" w:hAnsi="仿宋_GB2312" w:eastAsia="仿宋_GB2312" w:cs="仿宋_GB2312"/>
              <w:kern w:val="2"/>
              <w:sz w:val="32"/>
              <w:szCs w:val="28"/>
              <w:lang w:val="en-US" w:eastAsia="zh-CN" w:bidi="ar-SA"/>
            </w:rPr>
            <w:instrText xml:space="preserve"> HYPERLINK \l _Toc9760 </w:instrText>
          </w:r>
          <w:r>
            <w:rPr>
              <w:rFonts w:hint="eastAsia" w:ascii="仿宋_GB2312" w:hAnsi="仿宋_GB2312" w:eastAsia="仿宋_GB2312" w:cs="仿宋_GB2312"/>
              <w:kern w:val="2"/>
              <w:sz w:val="32"/>
              <w:szCs w:val="28"/>
              <w:lang w:val="en-US" w:eastAsia="zh-CN" w:bidi="ar-SA"/>
            </w:rPr>
            <w:fldChar w:fldCharType="separate"/>
          </w:r>
          <w:r>
            <w:rPr>
              <w:rFonts w:hint="eastAsia" w:ascii="仿宋_GB2312" w:hAnsi="仿宋_GB2312" w:eastAsia="仿宋_GB2312" w:cs="仿宋_GB2312"/>
              <w:sz w:val="32"/>
              <w:szCs w:val="24"/>
              <w:lang w:val="en-US" w:eastAsia="zh-CN"/>
            </w:rPr>
            <w:t>八、其他</w:t>
          </w:r>
          <w:r>
            <w:rPr>
              <w:rFonts w:hint="eastAsia" w:ascii="仿宋_GB2312" w:hAnsi="仿宋_GB2312" w:eastAsia="仿宋_GB2312" w:cs="仿宋_GB2312"/>
              <w:sz w:val="32"/>
              <w:szCs w:val="24"/>
            </w:rPr>
            <w:tab/>
          </w:r>
          <w:r>
            <w:rPr>
              <w:rFonts w:hint="eastAsia" w:ascii="仿宋_GB2312" w:hAnsi="仿宋_GB2312" w:eastAsia="仿宋_GB2312" w:cs="仿宋_GB2312"/>
              <w:sz w:val="32"/>
              <w:szCs w:val="24"/>
            </w:rPr>
            <w:fldChar w:fldCharType="begin"/>
          </w:r>
          <w:r>
            <w:rPr>
              <w:rFonts w:hint="eastAsia" w:ascii="仿宋_GB2312" w:hAnsi="仿宋_GB2312" w:eastAsia="仿宋_GB2312" w:cs="仿宋_GB2312"/>
              <w:sz w:val="32"/>
              <w:szCs w:val="24"/>
            </w:rPr>
            <w:instrText xml:space="preserve"> PAGEREF _Toc9760 \h </w:instrText>
          </w:r>
          <w:r>
            <w:rPr>
              <w:rFonts w:hint="eastAsia" w:ascii="仿宋_GB2312" w:hAnsi="仿宋_GB2312" w:eastAsia="仿宋_GB2312" w:cs="仿宋_GB2312"/>
              <w:sz w:val="32"/>
              <w:szCs w:val="24"/>
            </w:rPr>
            <w:fldChar w:fldCharType="separate"/>
          </w:r>
          <w:r>
            <w:rPr>
              <w:rFonts w:hint="eastAsia" w:ascii="仿宋_GB2312" w:hAnsi="仿宋_GB2312" w:eastAsia="仿宋_GB2312" w:cs="仿宋_GB2312"/>
              <w:sz w:val="32"/>
              <w:szCs w:val="24"/>
            </w:rPr>
            <w:t>- 8 -</w:t>
          </w:r>
          <w:r>
            <w:rPr>
              <w:rFonts w:hint="eastAsia" w:ascii="仿宋_GB2312" w:hAnsi="仿宋_GB2312" w:eastAsia="仿宋_GB2312" w:cs="仿宋_GB2312"/>
              <w:sz w:val="32"/>
              <w:szCs w:val="24"/>
            </w:rPr>
            <w:fldChar w:fldCharType="end"/>
          </w:r>
          <w:r>
            <w:rPr>
              <w:rFonts w:hint="eastAsia" w:ascii="仿宋_GB2312" w:hAnsi="仿宋_GB2312" w:eastAsia="仿宋_GB2312" w:cs="仿宋_GB2312"/>
              <w:color w:val="auto"/>
              <w:kern w:val="2"/>
              <w:sz w:val="32"/>
              <w:szCs w:val="28"/>
              <w:lang w:val="en-US" w:eastAsia="zh-CN" w:bidi="ar-SA"/>
            </w:rPr>
            <w:fldChar w:fldCharType="end"/>
          </w:r>
        </w:p>
        <w:p>
          <w:pPr>
            <w:pStyle w:val="10"/>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jc w:val="left"/>
            <w:textAlignment w:val="auto"/>
            <w:rPr>
              <w:rFonts w:hint="eastAsia" w:ascii="仿宋_GB2312" w:hAnsi="仿宋_GB2312" w:eastAsia="仿宋_GB2312" w:cs="仿宋_GB2312"/>
              <w:sz w:val="32"/>
              <w:szCs w:val="24"/>
            </w:rPr>
          </w:pPr>
          <w:r>
            <w:rPr>
              <w:rFonts w:hint="eastAsia" w:ascii="仿宋_GB2312" w:hAnsi="仿宋_GB2312" w:eastAsia="仿宋_GB2312" w:cs="仿宋_GB2312"/>
              <w:color w:val="auto"/>
              <w:kern w:val="2"/>
              <w:sz w:val="32"/>
              <w:szCs w:val="28"/>
              <w:lang w:val="en-US" w:eastAsia="zh-CN" w:bidi="ar-SA"/>
            </w:rPr>
            <w:fldChar w:fldCharType="begin"/>
          </w:r>
          <w:r>
            <w:rPr>
              <w:rFonts w:hint="eastAsia" w:ascii="仿宋_GB2312" w:hAnsi="仿宋_GB2312" w:eastAsia="仿宋_GB2312" w:cs="仿宋_GB2312"/>
              <w:kern w:val="2"/>
              <w:sz w:val="32"/>
              <w:szCs w:val="28"/>
              <w:lang w:val="en-US" w:eastAsia="zh-CN" w:bidi="ar-SA"/>
            </w:rPr>
            <w:instrText xml:space="preserve"> HYPERLINK \l _Toc13 </w:instrText>
          </w:r>
          <w:r>
            <w:rPr>
              <w:rFonts w:hint="eastAsia" w:ascii="仿宋_GB2312" w:hAnsi="仿宋_GB2312" w:eastAsia="仿宋_GB2312" w:cs="仿宋_GB2312"/>
              <w:kern w:val="2"/>
              <w:sz w:val="32"/>
              <w:szCs w:val="28"/>
              <w:lang w:val="en-US" w:eastAsia="zh-CN" w:bidi="ar-SA"/>
            </w:rPr>
            <w:fldChar w:fldCharType="separate"/>
          </w:r>
          <w:r>
            <w:rPr>
              <w:rFonts w:hint="eastAsia" w:ascii="黑体" w:hAnsi="黑体" w:eastAsia="黑体" w:cs="黑体"/>
              <w:bCs/>
              <w:sz w:val="32"/>
              <w:szCs w:val="56"/>
              <w:lang w:val="en-US" w:eastAsia="zh-CN"/>
            </w:rPr>
            <w:t>第二部分 申报企业须知</w:t>
          </w:r>
          <w:r>
            <w:rPr>
              <w:rFonts w:hint="eastAsia" w:ascii="仿宋_GB2312" w:hAnsi="仿宋_GB2312" w:eastAsia="仿宋_GB2312" w:cs="仿宋_GB2312"/>
              <w:sz w:val="32"/>
              <w:szCs w:val="24"/>
            </w:rPr>
            <w:tab/>
          </w:r>
          <w:r>
            <w:rPr>
              <w:rFonts w:hint="eastAsia" w:ascii="仿宋_GB2312" w:hAnsi="仿宋_GB2312" w:eastAsia="仿宋_GB2312" w:cs="仿宋_GB2312"/>
              <w:sz w:val="32"/>
              <w:szCs w:val="24"/>
            </w:rPr>
            <w:fldChar w:fldCharType="begin"/>
          </w:r>
          <w:r>
            <w:rPr>
              <w:rFonts w:hint="eastAsia" w:ascii="仿宋_GB2312" w:hAnsi="仿宋_GB2312" w:eastAsia="仿宋_GB2312" w:cs="仿宋_GB2312"/>
              <w:sz w:val="32"/>
              <w:szCs w:val="24"/>
            </w:rPr>
            <w:instrText xml:space="preserve"> PAGEREF _Toc13 \h </w:instrText>
          </w:r>
          <w:r>
            <w:rPr>
              <w:rFonts w:hint="eastAsia" w:ascii="仿宋_GB2312" w:hAnsi="仿宋_GB2312" w:eastAsia="仿宋_GB2312" w:cs="仿宋_GB2312"/>
              <w:sz w:val="32"/>
              <w:szCs w:val="24"/>
            </w:rPr>
            <w:fldChar w:fldCharType="separate"/>
          </w:r>
          <w:r>
            <w:rPr>
              <w:rFonts w:hint="eastAsia" w:ascii="仿宋_GB2312" w:hAnsi="仿宋_GB2312" w:eastAsia="仿宋_GB2312" w:cs="仿宋_GB2312"/>
              <w:sz w:val="32"/>
              <w:szCs w:val="24"/>
            </w:rPr>
            <w:t>- 9 -</w:t>
          </w:r>
          <w:r>
            <w:rPr>
              <w:rFonts w:hint="eastAsia" w:ascii="仿宋_GB2312" w:hAnsi="仿宋_GB2312" w:eastAsia="仿宋_GB2312" w:cs="仿宋_GB2312"/>
              <w:sz w:val="32"/>
              <w:szCs w:val="24"/>
            </w:rPr>
            <w:fldChar w:fldCharType="end"/>
          </w:r>
          <w:r>
            <w:rPr>
              <w:rFonts w:hint="eastAsia" w:ascii="仿宋_GB2312" w:hAnsi="仿宋_GB2312" w:eastAsia="仿宋_GB2312" w:cs="仿宋_GB2312"/>
              <w:color w:val="auto"/>
              <w:kern w:val="2"/>
              <w:sz w:val="32"/>
              <w:szCs w:val="28"/>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jc w:val="left"/>
            <w:textAlignment w:val="auto"/>
            <w:rPr>
              <w:rFonts w:hint="eastAsia" w:ascii="仿宋_GB2312" w:hAnsi="仿宋_GB2312" w:eastAsia="仿宋_GB2312" w:cs="仿宋_GB2312"/>
              <w:sz w:val="32"/>
              <w:szCs w:val="24"/>
            </w:rPr>
          </w:pPr>
          <w:r>
            <w:rPr>
              <w:rFonts w:hint="eastAsia" w:ascii="仿宋_GB2312" w:hAnsi="仿宋_GB2312" w:eastAsia="仿宋_GB2312" w:cs="仿宋_GB2312"/>
              <w:color w:val="auto"/>
              <w:kern w:val="2"/>
              <w:sz w:val="32"/>
              <w:szCs w:val="28"/>
              <w:lang w:val="en-US" w:eastAsia="zh-CN" w:bidi="ar-SA"/>
            </w:rPr>
            <w:fldChar w:fldCharType="begin"/>
          </w:r>
          <w:r>
            <w:rPr>
              <w:rFonts w:hint="eastAsia" w:ascii="仿宋_GB2312" w:hAnsi="仿宋_GB2312" w:eastAsia="仿宋_GB2312" w:cs="仿宋_GB2312"/>
              <w:kern w:val="2"/>
              <w:sz w:val="32"/>
              <w:szCs w:val="28"/>
              <w:lang w:val="en-US" w:eastAsia="zh-CN" w:bidi="ar-SA"/>
            </w:rPr>
            <w:instrText xml:space="preserve"> HYPERLINK \l _Toc5143 </w:instrText>
          </w:r>
          <w:r>
            <w:rPr>
              <w:rFonts w:hint="eastAsia" w:ascii="仿宋_GB2312" w:hAnsi="仿宋_GB2312" w:eastAsia="仿宋_GB2312" w:cs="仿宋_GB2312"/>
              <w:kern w:val="2"/>
              <w:sz w:val="32"/>
              <w:szCs w:val="28"/>
              <w:lang w:val="en-US" w:eastAsia="zh-CN" w:bidi="ar-SA"/>
            </w:rPr>
            <w:fldChar w:fldCharType="separate"/>
          </w:r>
          <w:r>
            <w:rPr>
              <w:rFonts w:hint="eastAsia" w:ascii="仿宋_GB2312" w:hAnsi="仿宋_GB2312" w:eastAsia="仿宋_GB2312" w:cs="仿宋_GB2312"/>
              <w:sz w:val="32"/>
              <w:szCs w:val="24"/>
              <w:lang w:val="en-US" w:eastAsia="zh-CN"/>
            </w:rPr>
            <w:t>一、集中带量采购当事人</w:t>
          </w:r>
          <w:r>
            <w:rPr>
              <w:rFonts w:hint="eastAsia" w:ascii="仿宋_GB2312" w:hAnsi="仿宋_GB2312" w:eastAsia="仿宋_GB2312" w:cs="仿宋_GB2312"/>
              <w:sz w:val="32"/>
              <w:szCs w:val="24"/>
            </w:rPr>
            <w:tab/>
          </w:r>
          <w:r>
            <w:rPr>
              <w:rFonts w:hint="eastAsia" w:ascii="仿宋_GB2312" w:hAnsi="仿宋_GB2312" w:eastAsia="仿宋_GB2312" w:cs="仿宋_GB2312"/>
              <w:sz w:val="32"/>
              <w:szCs w:val="24"/>
            </w:rPr>
            <w:fldChar w:fldCharType="begin"/>
          </w:r>
          <w:r>
            <w:rPr>
              <w:rFonts w:hint="eastAsia" w:ascii="仿宋_GB2312" w:hAnsi="仿宋_GB2312" w:eastAsia="仿宋_GB2312" w:cs="仿宋_GB2312"/>
              <w:sz w:val="32"/>
              <w:szCs w:val="24"/>
            </w:rPr>
            <w:instrText xml:space="preserve"> PAGEREF _Toc5143 \h </w:instrText>
          </w:r>
          <w:r>
            <w:rPr>
              <w:rFonts w:hint="eastAsia" w:ascii="仿宋_GB2312" w:hAnsi="仿宋_GB2312" w:eastAsia="仿宋_GB2312" w:cs="仿宋_GB2312"/>
              <w:sz w:val="32"/>
              <w:szCs w:val="24"/>
            </w:rPr>
            <w:fldChar w:fldCharType="separate"/>
          </w:r>
          <w:r>
            <w:rPr>
              <w:rFonts w:hint="eastAsia" w:ascii="仿宋_GB2312" w:hAnsi="仿宋_GB2312" w:eastAsia="仿宋_GB2312" w:cs="仿宋_GB2312"/>
              <w:sz w:val="32"/>
              <w:szCs w:val="24"/>
            </w:rPr>
            <w:t>- 10 -</w:t>
          </w:r>
          <w:r>
            <w:rPr>
              <w:rFonts w:hint="eastAsia" w:ascii="仿宋_GB2312" w:hAnsi="仿宋_GB2312" w:eastAsia="仿宋_GB2312" w:cs="仿宋_GB2312"/>
              <w:sz w:val="32"/>
              <w:szCs w:val="24"/>
            </w:rPr>
            <w:fldChar w:fldCharType="end"/>
          </w:r>
          <w:r>
            <w:rPr>
              <w:rFonts w:hint="eastAsia" w:ascii="仿宋_GB2312" w:hAnsi="仿宋_GB2312" w:eastAsia="仿宋_GB2312" w:cs="仿宋_GB2312"/>
              <w:color w:val="auto"/>
              <w:kern w:val="2"/>
              <w:sz w:val="32"/>
              <w:szCs w:val="28"/>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jc w:val="left"/>
            <w:textAlignment w:val="auto"/>
            <w:rPr>
              <w:rFonts w:hint="eastAsia" w:ascii="仿宋_GB2312" w:hAnsi="仿宋_GB2312" w:eastAsia="仿宋_GB2312" w:cs="仿宋_GB2312"/>
              <w:sz w:val="32"/>
              <w:szCs w:val="24"/>
            </w:rPr>
          </w:pPr>
          <w:r>
            <w:rPr>
              <w:rFonts w:hint="eastAsia" w:ascii="仿宋_GB2312" w:hAnsi="仿宋_GB2312" w:eastAsia="仿宋_GB2312" w:cs="仿宋_GB2312"/>
              <w:color w:val="auto"/>
              <w:kern w:val="2"/>
              <w:sz w:val="32"/>
              <w:szCs w:val="28"/>
              <w:lang w:val="en-US" w:eastAsia="zh-CN" w:bidi="ar-SA"/>
            </w:rPr>
            <w:fldChar w:fldCharType="begin"/>
          </w:r>
          <w:r>
            <w:rPr>
              <w:rFonts w:hint="eastAsia" w:ascii="仿宋_GB2312" w:hAnsi="仿宋_GB2312" w:eastAsia="仿宋_GB2312" w:cs="仿宋_GB2312"/>
              <w:kern w:val="2"/>
              <w:sz w:val="32"/>
              <w:szCs w:val="28"/>
              <w:lang w:val="en-US" w:eastAsia="zh-CN" w:bidi="ar-SA"/>
            </w:rPr>
            <w:instrText xml:space="preserve"> HYPERLINK \l _Toc10936 </w:instrText>
          </w:r>
          <w:r>
            <w:rPr>
              <w:rFonts w:hint="eastAsia" w:ascii="仿宋_GB2312" w:hAnsi="仿宋_GB2312" w:eastAsia="仿宋_GB2312" w:cs="仿宋_GB2312"/>
              <w:kern w:val="2"/>
              <w:sz w:val="32"/>
              <w:szCs w:val="28"/>
              <w:lang w:val="en-US" w:eastAsia="zh-CN" w:bidi="ar-SA"/>
            </w:rPr>
            <w:fldChar w:fldCharType="separate"/>
          </w:r>
          <w:r>
            <w:rPr>
              <w:rFonts w:hint="eastAsia" w:ascii="仿宋_GB2312" w:hAnsi="仿宋_GB2312" w:eastAsia="仿宋_GB2312" w:cs="仿宋_GB2312"/>
              <w:sz w:val="32"/>
              <w:szCs w:val="24"/>
              <w:lang w:val="en-US" w:eastAsia="zh-CN"/>
            </w:rPr>
            <w:t>二、</w:t>
          </w:r>
          <w:r>
            <w:rPr>
              <w:rFonts w:hint="eastAsia" w:ascii="仿宋_GB2312" w:hAnsi="仿宋_GB2312" w:eastAsia="仿宋_GB2312" w:cs="仿宋_GB2312"/>
              <w:sz w:val="32"/>
              <w:szCs w:val="24"/>
              <w:highlight w:val="none"/>
              <w:lang w:val="en-US" w:eastAsia="zh-CN"/>
            </w:rPr>
            <w:t>申报信息提交</w:t>
          </w:r>
          <w:r>
            <w:rPr>
              <w:rFonts w:hint="eastAsia" w:ascii="仿宋_GB2312" w:hAnsi="仿宋_GB2312" w:eastAsia="仿宋_GB2312" w:cs="仿宋_GB2312"/>
              <w:sz w:val="32"/>
              <w:szCs w:val="24"/>
            </w:rPr>
            <w:tab/>
          </w:r>
          <w:r>
            <w:rPr>
              <w:rFonts w:hint="eastAsia" w:ascii="仿宋_GB2312" w:hAnsi="仿宋_GB2312" w:eastAsia="仿宋_GB2312" w:cs="仿宋_GB2312"/>
              <w:sz w:val="32"/>
              <w:szCs w:val="24"/>
            </w:rPr>
            <w:fldChar w:fldCharType="begin"/>
          </w:r>
          <w:r>
            <w:rPr>
              <w:rFonts w:hint="eastAsia" w:ascii="仿宋_GB2312" w:hAnsi="仿宋_GB2312" w:eastAsia="仿宋_GB2312" w:cs="仿宋_GB2312"/>
              <w:sz w:val="32"/>
              <w:szCs w:val="24"/>
            </w:rPr>
            <w:instrText xml:space="preserve"> PAGEREF _Toc10936 \h </w:instrText>
          </w:r>
          <w:r>
            <w:rPr>
              <w:rFonts w:hint="eastAsia" w:ascii="仿宋_GB2312" w:hAnsi="仿宋_GB2312" w:eastAsia="仿宋_GB2312" w:cs="仿宋_GB2312"/>
              <w:sz w:val="32"/>
              <w:szCs w:val="24"/>
            </w:rPr>
            <w:fldChar w:fldCharType="separate"/>
          </w:r>
          <w:r>
            <w:rPr>
              <w:rFonts w:hint="eastAsia" w:ascii="仿宋_GB2312" w:hAnsi="仿宋_GB2312" w:eastAsia="仿宋_GB2312" w:cs="仿宋_GB2312"/>
              <w:sz w:val="32"/>
              <w:szCs w:val="24"/>
            </w:rPr>
            <w:t>- 11 -</w:t>
          </w:r>
          <w:r>
            <w:rPr>
              <w:rFonts w:hint="eastAsia" w:ascii="仿宋_GB2312" w:hAnsi="仿宋_GB2312" w:eastAsia="仿宋_GB2312" w:cs="仿宋_GB2312"/>
              <w:sz w:val="32"/>
              <w:szCs w:val="24"/>
            </w:rPr>
            <w:fldChar w:fldCharType="end"/>
          </w:r>
          <w:r>
            <w:rPr>
              <w:rFonts w:hint="eastAsia" w:ascii="仿宋_GB2312" w:hAnsi="仿宋_GB2312" w:eastAsia="仿宋_GB2312" w:cs="仿宋_GB2312"/>
              <w:color w:val="auto"/>
              <w:kern w:val="2"/>
              <w:sz w:val="32"/>
              <w:szCs w:val="28"/>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jc w:val="left"/>
            <w:textAlignment w:val="auto"/>
            <w:rPr>
              <w:rFonts w:hint="eastAsia" w:ascii="仿宋_GB2312" w:hAnsi="仿宋_GB2312" w:eastAsia="仿宋_GB2312" w:cs="仿宋_GB2312"/>
              <w:sz w:val="32"/>
              <w:szCs w:val="24"/>
            </w:rPr>
          </w:pPr>
          <w:r>
            <w:rPr>
              <w:rFonts w:hint="eastAsia" w:ascii="仿宋_GB2312" w:hAnsi="仿宋_GB2312" w:eastAsia="仿宋_GB2312" w:cs="仿宋_GB2312"/>
              <w:color w:val="auto"/>
              <w:kern w:val="2"/>
              <w:sz w:val="32"/>
              <w:szCs w:val="28"/>
              <w:lang w:val="en-US" w:eastAsia="zh-CN" w:bidi="ar-SA"/>
            </w:rPr>
            <w:fldChar w:fldCharType="begin"/>
          </w:r>
          <w:r>
            <w:rPr>
              <w:rFonts w:hint="eastAsia" w:ascii="仿宋_GB2312" w:hAnsi="仿宋_GB2312" w:eastAsia="仿宋_GB2312" w:cs="仿宋_GB2312"/>
              <w:kern w:val="2"/>
              <w:sz w:val="32"/>
              <w:szCs w:val="28"/>
              <w:lang w:val="en-US" w:eastAsia="zh-CN" w:bidi="ar-SA"/>
            </w:rPr>
            <w:instrText xml:space="preserve"> HYPERLINK \l _Toc1544 </w:instrText>
          </w:r>
          <w:r>
            <w:rPr>
              <w:rFonts w:hint="eastAsia" w:ascii="仿宋_GB2312" w:hAnsi="仿宋_GB2312" w:eastAsia="仿宋_GB2312" w:cs="仿宋_GB2312"/>
              <w:kern w:val="2"/>
              <w:sz w:val="32"/>
              <w:szCs w:val="28"/>
              <w:lang w:val="en-US" w:eastAsia="zh-CN" w:bidi="ar-SA"/>
            </w:rPr>
            <w:fldChar w:fldCharType="separate"/>
          </w:r>
          <w:r>
            <w:rPr>
              <w:rFonts w:hint="eastAsia" w:ascii="仿宋_GB2312" w:hAnsi="仿宋_GB2312" w:eastAsia="仿宋_GB2312" w:cs="仿宋_GB2312"/>
              <w:sz w:val="32"/>
              <w:szCs w:val="24"/>
              <w:highlight w:val="none"/>
              <w:lang w:val="en-US" w:eastAsia="zh-CN"/>
            </w:rPr>
            <w:t>三、申报信息公开</w:t>
          </w:r>
          <w:r>
            <w:rPr>
              <w:rFonts w:hint="eastAsia" w:ascii="仿宋_GB2312" w:hAnsi="仿宋_GB2312" w:eastAsia="仿宋_GB2312" w:cs="仿宋_GB2312"/>
              <w:sz w:val="32"/>
              <w:szCs w:val="24"/>
            </w:rPr>
            <w:tab/>
          </w:r>
          <w:r>
            <w:rPr>
              <w:rFonts w:hint="eastAsia" w:ascii="仿宋_GB2312" w:hAnsi="仿宋_GB2312" w:eastAsia="仿宋_GB2312" w:cs="仿宋_GB2312"/>
              <w:sz w:val="32"/>
              <w:szCs w:val="24"/>
            </w:rPr>
            <w:fldChar w:fldCharType="begin"/>
          </w:r>
          <w:r>
            <w:rPr>
              <w:rFonts w:hint="eastAsia" w:ascii="仿宋_GB2312" w:hAnsi="仿宋_GB2312" w:eastAsia="仿宋_GB2312" w:cs="仿宋_GB2312"/>
              <w:sz w:val="32"/>
              <w:szCs w:val="24"/>
            </w:rPr>
            <w:instrText xml:space="preserve"> PAGEREF _Toc1544 \h </w:instrText>
          </w:r>
          <w:r>
            <w:rPr>
              <w:rFonts w:hint="eastAsia" w:ascii="仿宋_GB2312" w:hAnsi="仿宋_GB2312" w:eastAsia="仿宋_GB2312" w:cs="仿宋_GB2312"/>
              <w:sz w:val="32"/>
              <w:szCs w:val="24"/>
            </w:rPr>
            <w:fldChar w:fldCharType="separate"/>
          </w:r>
          <w:r>
            <w:rPr>
              <w:rFonts w:hint="eastAsia" w:ascii="仿宋_GB2312" w:hAnsi="仿宋_GB2312" w:eastAsia="仿宋_GB2312" w:cs="仿宋_GB2312"/>
              <w:sz w:val="32"/>
              <w:szCs w:val="24"/>
            </w:rPr>
            <w:t>- 13 -</w:t>
          </w:r>
          <w:r>
            <w:rPr>
              <w:rFonts w:hint="eastAsia" w:ascii="仿宋_GB2312" w:hAnsi="仿宋_GB2312" w:eastAsia="仿宋_GB2312" w:cs="仿宋_GB2312"/>
              <w:sz w:val="32"/>
              <w:szCs w:val="24"/>
            </w:rPr>
            <w:fldChar w:fldCharType="end"/>
          </w:r>
          <w:r>
            <w:rPr>
              <w:rFonts w:hint="eastAsia" w:ascii="仿宋_GB2312" w:hAnsi="仿宋_GB2312" w:eastAsia="仿宋_GB2312" w:cs="仿宋_GB2312"/>
              <w:color w:val="auto"/>
              <w:kern w:val="2"/>
              <w:sz w:val="32"/>
              <w:szCs w:val="28"/>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jc w:val="left"/>
            <w:textAlignment w:val="auto"/>
            <w:rPr>
              <w:rFonts w:hint="eastAsia" w:ascii="仿宋_GB2312" w:hAnsi="仿宋_GB2312" w:eastAsia="仿宋_GB2312" w:cs="仿宋_GB2312"/>
              <w:sz w:val="32"/>
              <w:szCs w:val="24"/>
            </w:rPr>
          </w:pPr>
          <w:r>
            <w:rPr>
              <w:rFonts w:hint="eastAsia" w:ascii="仿宋_GB2312" w:hAnsi="仿宋_GB2312" w:eastAsia="仿宋_GB2312" w:cs="仿宋_GB2312"/>
              <w:color w:val="auto"/>
              <w:kern w:val="2"/>
              <w:sz w:val="32"/>
              <w:szCs w:val="28"/>
              <w:lang w:val="en-US" w:eastAsia="zh-CN" w:bidi="ar-SA"/>
            </w:rPr>
            <w:fldChar w:fldCharType="begin"/>
          </w:r>
          <w:r>
            <w:rPr>
              <w:rFonts w:hint="eastAsia" w:ascii="仿宋_GB2312" w:hAnsi="仿宋_GB2312" w:eastAsia="仿宋_GB2312" w:cs="仿宋_GB2312"/>
              <w:kern w:val="2"/>
              <w:sz w:val="32"/>
              <w:szCs w:val="28"/>
              <w:lang w:val="en-US" w:eastAsia="zh-CN" w:bidi="ar-SA"/>
            </w:rPr>
            <w:instrText xml:space="preserve"> HYPERLINK \l _Toc4144 </w:instrText>
          </w:r>
          <w:r>
            <w:rPr>
              <w:rFonts w:hint="eastAsia" w:ascii="仿宋_GB2312" w:hAnsi="仿宋_GB2312" w:eastAsia="仿宋_GB2312" w:cs="仿宋_GB2312"/>
              <w:kern w:val="2"/>
              <w:sz w:val="32"/>
              <w:szCs w:val="28"/>
              <w:lang w:val="en-US" w:eastAsia="zh-CN" w:bidi="ar-SA"/>
            </w:rPr>
            <w:fldChar w:fldCharType="separate"/>
          </w:r>
          <w:r>
            <w:rPr>
              <w:rFonts w:hint="eastAsia" w:ascii="仿宋_GB2312" w:hAnsi="仿宋_GB2312" w:eastAsia="仿宋_GB2312" w:cs="仿宋_GB2312"/>
              <w:sz w:val="32"/>
              <w:szCs w:val="24"/>
              <w:lang w:val="en-US" w:eastAsia="zh-CN"/>
            </w:rPr>
            <w:t>四、拟中选企业确定</w:t>
          </w:r>
          <w:r>
            <w:rPr>
              <w:rFonts w:hint="eastAsia" w:ascii="仿宋_GB2312" w:hAnsi="仿宋_GB2312" w:eastAsia="仿宋_GB2312" w:cs="仿宋_GB2312"/>
              <w:sz w:val="32"/>
              <w:szCs w:val="24"/>
            </w:rPr>
            <w:tab/>
          </w:r>
          <w:r>
            <w:rPr>
              <w:rFonts w:hint="eastAsia" w:ascii="仿宋_GB2312" w:hAnsi="仿宋_GB2312" w:eastAsia="仿宋_GB2312" w:cs="仿宋_GB2312"/>
              <w:sz w:val="32"/>
              <w:szCs w:val="24"/>
            </w:rPr>
            <w:fldChar w:fldCharType="begin"/>
          </w:r>
          <w:r>
            <w:rPr>
              <w:rFonts w:hint="eastAsia" w:ascii="仿宋_GB2312" w:hAnsi="仿宋_GB2312" w:eastAsia="仿宋_GB2312" w:cs="仿宋_GB2312"/>
              <w:sz w:val="32"/>
              <w:szCs w:val="24"/>
            </w:rPr>
            <w:instrText xml:space="preserve"> PAGEREF _Toc4144 \h </w:instrText>
          </w:r>
          <w:r>
            <w:rPr>
              <w:rFonts w:hint="eastAsia" w:ascii="仿宋_GB2312" w:hAnsi="仿宋_GB2312" w:eastAsia="仿宋_GB2312" w:cs="仿宋_GB2312"/>
              <w:sz w:val="32"/>
              <w:szCs w:val="24"/>
            </w:rPr>
            <w:fldChar w:fldCharType="separate"/>
          </w:r>
          <w:r>
            <w:rPr>
              <w:rFonts w:hint="eastAsia" w:ascii="仿宋_GB2312" w:hAnsi="仿宋_GB2312" w:eastAsia="仿宋_GB2312" w:cs="仿宋_GB2312"/>
              <w:sz w:val="32"/>
              <w:szCs w:val="24"/>
            </w:rPr>
            <w:t>- 13 -</w:t>
          </w:r>
          <w:r>
            <w:rPr>
              <w:rFonts w:hint="eastAsia" w:ascii="仿宋_GB2312" w:hAnsi="仿宋_GB2312" w:eastAsia="仿宋_GB2312" w:cs="仿宋_GB2312"/>
              <w:sz w:val="32"/>
              <w:szCs w:val="24"/>
            </w:rPr>
            <w:fldChar w:fldCharType="end"/>
          </w:r>
          <w:r>
            <w:rPr>
              <w:rFonts w:hint="eastAsia" w:ascii="仿宋_GB2312" w:hAnsi="仿宋_GB2312" w:eastAsia="仿宋_GB2312" w:cs="仿宋_GB2312"/>
              <w:color w:val="auto"/>
              <w:kern w:val="2"/>
              <w:sz w:val="32"/>
              <w:szCs w:val="28"/>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jc w:val="left"/>
            <w:textAlignment w:val="auto"/>
            <w:rPr>
              <w:rFonts w:hint="eastAsia" w:ascii="仿宋_GB2312" w:hAnsi="仿宋_GB2312" w:eastAsia="仿宋_GB2312" w:cs="仿宋_GB2312"/>
              <w:sz w:val="32"/>
              <w:szCs w:val="24"/>
            </w:rPr>
          </w:pPr>
          <w:r>
            <w:rPr>
              <w:rFonts w:hint="eastAsia" w:ascii="仿宋_GB2312" w:hAnsi="仿宋_GB2312" w:eastAsia="仿宋_GB2312" w:cs="仿宋_GB2312"/>
              <w:color w:val="auto"/>
              <w:kern w:val="2"/>
              <w:sz w:val="32"/>
              <w:szCs w:val="28"/>
              <w:lang w:val="en-US" w:eastAsia="zh-CN" w:bidi="ar-SA"/>
            </w:rPr>
            <w:fldChar w:fldCharType="begin"/>
          </w:r>
          <w:r>
            <w:rPr>
              <w:rFonts w:hint="eastAsia" w:ascii="仿宋_GB2312" w:hAnsi="仿宋_GB2312" w:eastAsia="仿宋_GB2312" w:cs="仿宋_GB2312"/>
              <w:kern w:val="2"/>
              <w:sz w:val="32"/>
              <w:szCs w:val="28"/>
              <w:lang w:val="en-US" w:eastAsia="zh-CN" w:bidi="ar-SA"/>
            </w:rPr>
            <w:instrText xml:space="preserve"> HYPERLINK \l _Toc28767 </w:instrText>
          </w:r>
          <w:r>
            <w:rPr>
              <w:rFonts w:hint="eastAsia" w:ascii="仿宋_GB2312" w:hAnsi="仿宋_GB2312" w:eastAsia="仿宋_GB2312" w:cs="仿宋_GB2312"/>
              <w:kern w:val="2"/>
              <w:sz w:val="32"/>
              <w:szCs w:val="28"/>
              <w:lang w:val="en-US" w:eastAsia="zh-CN" w:bidi="ar-SA"/>
            </w:rPr>
            <w:fldChar w:fldCharType="separate"/>
          </w:r>
          <w:r>
            <w:rPr>
              <w:rFonts w:hint="eastAsia" w:ascii="仿宋_GB2312" w:hAnsi="仿宋_GB2312" w:eastAsia="仿宋_GB2312" w:cs="仿宋_GB2312"/>
              <w:sz w:val="32"/>
              <w:szCs w:val="24"/>
              <w:lang w:val="en-US" w:eastAsia="zh-CN"/>
            </w:rPr>
            <w:t>五</w:t>
          </w:r>
          <w:r>
            <w:rPr>
              <w:rFonts w:hint="eastAsia" w:ascii="仿宋_GB2312" w:hAnsi="仿宋_GB2312" w:eastAsia="仿宋_GB2312" w:cs="仿宋_GB2312"/>
              <w:sz w:val="32"/>
              <w:szCs w:val="24"/>
            </w:rPr>
            <w:t>、拟中选价格确定</w:t>
          </w:r>
          <w:r>
            <w:rPr>
              <w:rFonts w:hint="eastAsia" w:ascii="仿宋_GB2312" w:hAnsi="仿宋_GB2312" w:eastAsia="仿宋_GB2312" w:cs="仿宋_GB2312"/>
              <w:sz w:val="32"/>
              <w:szCs w:val="24"/>
            </w:rPr>
            <w:tab/>
          </w:r>
          <w:r>
            <w:rPr>
              <w:rFonts w:hint="eastAsia" w:ascii="仿宋_GB2312" w:hAnsi="仿宋_GB2312" w:eastAsia="仿宋_GB2312" w:cs="仿宋_GB2312"/>
              <w:sz w:val="32"/>
              <w:szCs w:val="24"/>
            </w:rPr>
            <w:fldChar w:fldCharType="begin"/>
          </w:r>
          <w:r>
            <w:rPr>
              <w:rFonts w:hint="eastAsia" w:ascii="仿宋_GB2312" w:hAnsi="仿宋_GB2312" w:eastAsia="仿宋_GB2312" w:cs="仿宋_GB2312"/>
              <w:sz w:val="32"/>
              <w:szCs w:val="24"/>
            </w:rPr>
            <w:instrText xml:space="preserve"> PAGEREF _Toc28767 \h </w:instrText>
          </w:r>
          <w:r>
            <w:rPr>
              <w:rFonts w:hint="eastAsia" w:ascii="仿宋_GB2312" w:hAnsi="仿宋_GB2312" w:eastAsia="仿宋_GB2312" w:cs="仿宋_GB2312"/>
              <w:sz w:val="32"/>
              <w:szCs w:val="24"/>
            </w:rPr>
            <w:fldChar w:fldCharType="separate"/>
          </w:r>
          <w:r>
            <w:rPr>
              <w:rFonts w:hint="eastAsia" w:ascii="仿宋_GB2312" w:hAnsi="仿宋_GB2312" w:eastAsia="仿宋_GB2312" w:cs="仿宋_GB2312"/>
              <w:sz w:val="32"/>
              <w:szCs w:val="24"/>
            </w:rPr>
            <w:t>- 15 -</w:t>
          </w:r>
          <w:r>
            <w:rPr>
              <w:rFonts w:hint="eastAsia" w:ascii="仿宋_GB2312" w:hAnsi="仿宋_GB2312" w:eastAsia="仿宋_GB2312" w:cs="仿宋_GB2312"/>
              <w:sz w:val="32"/>
              <w:szCs w:val="24"/>
            </w:rPr>
            <w:fldChar w:fldCharType="end"/>
          </w:r>
          <w:r>
            <w:rPr>
              <w:rFonts w:hint="eastAsia" w:ascii="仿宋_GB2312" w:hAnsi="仿宋_GB2312" w:eastAsia="仿宋_GB2312" w:cs="仿宋_GB2312"/>
              <w:color w:val="auto"/>
              <w:kern w:val="2"/>
              <w:sz w:val="32"/>
              <w:szCs w:val="28"/>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jc w:val="left"/>
            <w:textAlignment w:val="auto"/>
            <w:rPr>
              <w:rFonts w:hint="eastAsia" w:ascii="仿宋_GB2312" w:hAnsi="仿宋_GB2312" w:eastAsia="仿宋_GB2312" w:cs="仿宋_GB2312"/>
              <w:sz w:val="32"/>
              <w:szCs w:val="24"/>
            </w:rPr>
          </w:pPr>
          <w:r>
            <w:rPr>
              <w:rFonts w:hint="eastAsia" w:ascii="仿宋_GB2312" w:hAnsi="仿宋_GB2312" w:eastAsia="仿宋_GB2312" w:cs="仿宋_GB2312"/>
              <w:color w:val="auto"/>
              <w:kern w:val="2"/>
              <w:sz w:val="32"/>
              <w:szCs w:val="28"/>
              <w:lang w:val="en-US" w:eastAsia="zh-CN" w:bidi="ar-SA"/>
            </w:rPr>
            <w:fldChar w:fldCharType="begin"/>
          </w:r>
          <w:r>
            <w:rPr>
              <w:rFonts w:hint="eastAsia" w:ascii="仿宋_GB2312" w:hAnsi="仿宋_GB2312" w:eastAsia="仿宋_GB2312" w:cs="仿宋_GB2312"/>
              <w:kern w:val="2"/>
              <w:sz w:val="32"/>
              <w:szCs w:val="28"/>
              <w:lang w:val="en-US" w:eastAsia="zh-CN" w:bidi="ar-SA"/>
            </w:rPr>
            <w:instrText xml:space="preserve"> HYPERLINK \l _Toc6924 </w:instrText>
          </w:r>
          <w:r>
            <w:rPr>
              <w:rFonts w:hint="eastAsia" w:ascii="仿宋_GB2312" w:hAnsi="仿宋_GB2312" w:eastAsia="仿宋_GB2312" w:cs="仿宋_GB2312"/>
              <w:kern w:val="2"/>
              <w:sz w:val="32"/>
              <w:szCs w:val="28"/>
              <w:lang w:val="en-US" w:eastAsia="zh-CN" w:bidi="ar-SA"/>
            </w:rPr>
            <w:fldChar w:fldCharType="separate"/>
          </w:r>
          <w:r>
            <w:rPr>
              <w:rFonts w:hint="eastAsia" w:ascii="仿宋_GB2312" w:hAnsi="仿宋_GB2312" w:eastAsia="仿宋_GB2312" w:cs="仿宋_GB2312"/>
              <w:sz w:val="32"/>
              <w:szCs w:val="24"/>
              <w:highlight w:val="none"/>
              <w:lang w:val="en-US" w:eastAsia="zh-CN"/>
            </w:rPr>
            <w:t>六、中选产品确定</w:t>
          </w:r>
          <w:r>
            <w:rPr>
              <w:rFonts w:hint="eastAsia" w:ascii="仿宋_GB2312" w:hAnsi="仿宋_GB2312" w:eastAsia="仿宋_GB2312" w:cs="仿宋_GB2312"/>
              <w:sz w:val="32"/>
              <w:szCs w:val="24"/>
            </w:rPr>
            <w:tab/>
          </w:r>
          <w:r>
            <w:rPr>
              <w:rFonts w:hint="eastAsia" w:ascii="仿宋_GB2312" w:hAnsi="仿宋_GB2312" w:eastAsia="仿宋_GB2312" w:cs="仿宋_GB2312"/>
              <w:sz w:val="32"/>
              <w:szCs w:val="24"/>
            </w:rPr>
            <w:fldChar w:fldCharType="begin"/>
          </w:r>
          <w:r>
            <w:rPr>
              <w:rFonts w:hint="eastAsia" w:ascii="仿宋_GB2312" w:hAnsi="仿宋_GB2312" w:eastAsia="仿宋_GB2312" w:cs="仿宋_GB2312"/>
              <w:sz w:val="32"/>
              <w:szCs w:val="24"/>
            </w:rPr>
            <w:instrText xml:space="preserve"> PAGEREF _Toc6924 \h </w:instrText>
          </w:r>
          <w:r>
            <w:rPr>
              <w:rFonts w:hint="eastAsia" w:ascii="仿宋_GB2312" w:hAnsi="仿宋_GB2312" w:eastAsia="仿宋_GB2312" w:cs="仿宋_GB2312"/>
              <w:sz w:val="32"/>
              <w:szCs w:val="24"/>
            </w:rPr>
            <w:fldChar w:fldCharType="separate"/>
          </w:r>
          <w:r>
            <w:rPr>
              <w:rFonts w:hint="eastAsia" w:ascii="仿宋_GB2312" w:hAnsi="仿宋_GB2312" w:eastAsia="仿宋_GB2312" w:cs="仿宋_GB2312"/>
              <w:sz w:val="32"/>
              <w:szCs w:val="24"/>
            </w:rPr>
            <w:t>- 16 -</w:t>
          </w:r>
          <w:r>
            <w:rPr>
              <w:rFonts w:hint="eastAsia" w:ascii="仿宋_GB2312" w:hAnsi="仿宋_GB2312" w:eastAsia="仿宋_GB2312" w:cs="仿宋_GB2312"/>
              <w:sz w:val="32"/>
              <w:szCs w:val="24"/>
            </w:rPr>
            <w:fldChar w:fldCharType="end"/>
          </w:r>
          <w:r>
            <w:rPr>
              <w:rFonts w:hint="eastAsia" w:ascii="仿宋_GB2312" w:hAnsi="仿宋_GB2312" w:eastAsia="仿宋_GB2312" w:cs="仿宋_GB2312"/>
              <w:color w:val="auto"/>
              <w:kern w:val="2"/>
              <w:sz w:val="32"/>
              <w:szCs w:val="28"/>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jc w:val="left"/>
            <w:textAlignment w:val="auto"/>
            <w:rPr>
              <w:rFonts w:hint="eastAsia" w:ascii="仿宋_GB2312" w:hAnsi="仿宋_GB2312" w:eastAsia="仿宋_GB2312" w:cs="仿宋_GB2312"/>
              <w:sz w:val="32"/>
              <w:szCs w:val="24"/>
            </w:rPr>
          </w:pPr>
          <w:r>
            <w:rPr>
              <w:rFonts w:hint="eastAsia" w:ascii="仿宋_GB2312" w:hAnsi="仿宋_GB2312" w:eastAsia="仿宋_GB2312" w:cs="仿宋_GB2312"/>
              <w:color w:val="auto"/>
              <w:kern w:val="2"/>
              <w:sz w:val="32"/>
              <w:szCs w:val="28"/>
              <w:lang w:val="en-US" w:eastAsia="zh-CN" w:bidi="ar-SA"/>
            </w:rPr>
            <w:fldChar w:fldCharType="begin"/>
          </w:r>
          <w:r>
            <w:rPr>
              <w:rFonts w:hint="eastAsia" w:ascii="仿宋_GB2312" w:hAnsi="仿宋_GB2312" w:eastAsia="仿宋_GB2312" w:cs="仿宋_GB2312"/>
              <w:kern w:val="2"/>
              <w:sz w:val="32"/>
              <w:szCs w:val="28"/>
              <w:lang w:val="en-US" w:eastAsia="zh-CN" w:bidi="ar-SA"/>
            </w:rPr>
            <w:instrText xml:space="preserve"> HYPERLINK \l _Toc9165 </w:instrText>
          </w:r>
          <w:r>
            <w:rPr>
              <w:rFonts w:hint="eastAsia" w:ascii="仿宋_GB2312" w:hAnsi="仿宋_GB2312" w:eastAsia="仿宋_GB2312" w:cs="仿宋_GB2312"/>
              <w:kern w:val="2"/>
              <w:sz w:val="32"/>
              <w:szCs w:val="28"/>
              <w:lang w:val="en-US" w:eastAsia="zh-CN" w:bidi="ar-SA"/>
            </w:rPr>
            <w:fldChar w:fldCharType="separate"/>
          </w:r>
          <w:r>
            <w:rPr>
              <w:rFonts w:hint="eastAsia" w:ascii="仿宋_GB2312" w:hAnsi="仿宋_GB2312" w:eastAsia="仿宋_GB2312" w:cs="仿宋_GB2312"/>
              <w:sz w:val="32"/>
              <w:szCs w:val="24"/>
              <w:lang w:val="en-US" w:eastAsia="zh-CN"/>
            </w:rPr>
            <w:t>七、约定采购量分配</w:t>
          </w:r>
          <w:r>
            <w:rPr>
              <w:rFonts w:hint="eastAsia" w:ascii="仿宋_GB2312" w:hAnsi="仿宋_GB2312" w:eastAsia="仿宋_GB2312" w:cs="仿宋_GB2312"/>
              <w:sz w:val="32"/>
              <w:szCs w:val="24"/>
            </w:rPr>
            <w:tab/>
          </w:r>
          <w:r>
            <w:rPr>
              <w:rFonts w:hint="eastAsia" w:ascii="仿宋_GB2312" w:hAnsi="仿宋_GB2312" w:eastAsia="仿宋_GB2312" w:cs="仿宋_GB2312"/>
              <w:sz w:val="32"/>
              <w:szCs w:val="24"/>
            </w:rPr>
            <w:fldChar w:fldCharType="begin"/>
          </w:r>
          <w:r>
            <w:rPr>
              <w:rFonts w:hint="eastAsia" w:ascii="仿宋_GB2312" w:hAnsi="仿宋_GB2312" w:eastAsia="仿宋_GB2312" w:cs="仿宋_GB2312"/>
              <w:sz w:val="32"/>
              <w:szCs w:val="24"/>
            </w:rPr>
            <w:instrText xml:space="preserve"> PAGEREF _Toc9165 \h </w:instrText>
          </w:r>
          <w:r>
            <w:rPr>
              <w:rFonts w:hint="eastAsia" w:ascii="仿宋_GB2312" w:hAnsi="仿宋_GB2312" w:eastAsia="仿宋_GB2312" w:cs="仿宋_GB2312"/>
              <w:sz w:val="32"/>
              <w:szCs w:val="24"/>
            </w:rPr>
            <w:fldChar w:fldCharType="separate"/>
          </w:r>
          <w:r>
            <w:rPr>
              <w:rFonts w:hint="eastAsia" w:ascii="仿宋_GB2312" w:hAnsi="仿宋_GB2312" w:eastAsia="仿宋_GB2312" w:cs="仿宋_GB2312"/>
              <w:sz w:val="32"/>
              <w:szCs w:val="24"/>
            </w:rPr>
            <w:t>- 16 -</w:t>
          </w:r>
          <w:r>
            <w:rPr>
              <w:rFonts w:hint="eastAsia" w:ascii="仿宋_GB2312" w:hAnsi="仿宋_GB2312" w:eastAsia="仿宋_GB2312" w:cs="仿宋_GB2312"/>
              <w:sz w:val="32"/>
              <w:szCs w:val="24"/>
            </w:rPr>
            <w:fldChar w:fldCharType="end"/>
          </w:r>
          <w:r>
            <w:rPr>
              <w:rFonts w:hint="eastAsia" w:ascii="仿宋_GB2312" w:hAnsi="仿宋_GB2312" w:eastAsia="仿宋_GB2312" w:cs="仿宋_GB2312"/>
              <w:color w:val="auto"/>
              <w:kern w:val="2"/>
              <w:sz w:val="32"/>
              <w:szCs w:val="28"/>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jc w:val="left"/>
            <w:textAlignment w:val="auto"/>
            <w:rPr>
              <w:rFonts w:hint="eastAsia" w:ascii="仿宋_GB2312" w:hAnsi="仿宋_GB2312" w:eastAsia="仿宋_GB2312" w:cs="仿宋_GB2312"/>
              <w:sz w:val="32"/>
              <w:szCs w:val="24"/>
            </w:rPr>
          </w:pPr>
          <w:r>
            <w:rPr>
              <w:rFonts w:hint="eastAsia" w:ascii="仿宋_GB2312" w:hAnsi="仿宋_GB2312" w:eastAsia="仿宋_GB2312" w:cs="仿宋_GB2312"/>
              <w:color w:val="auto"/>
              <w:kern w:val="2"/>
              <w:sz w:val="32"/>
              <w:szCs w:val="28"/>
              <w:lang w:val="en-US" w:eastAsia="zh-CN" w:bidi="ar-SA"/>
            </w:rPr>
            <w:fldChar w:fldCharType="begin"/>
          </w:r>
          <w:r>
            <w:rPr>
              <w:rFonts w:hint="eastAsia" w:ascii="仿宋_GB2312" w:hAnsi="仿宋_GB2312" w:eastAsia="仿宋_GB2312" w:cs="仿宋_GB2312"/>
              <w:kern w:val="2"/>
              <w:sz w:val="32"/>
              <w:szCs w:val="28"/>
              <w:lang w:val="en-US" w:eastAsia="zh-CN" w:bidi="ar-SA"/>
            </w:rPr>
            <w:instrText xml:space="preserve"> HYPERLINK \l _Toc28639 </w:instrText>
          </w:r>
          <w:r>
            <w:rPr>
              <w:rFonts w:hint="eastAsia" w:ascii="仿宋_GB2312" w:hAnsi="仿宋_GB2312" w:eastAsia="仿宋_GB2312" w:cs="仿宋_GB2312"/>
              <w:kern w:val="2"/>
              <w:sz w:val="32"/>
              <w:szCs w:val="28"/>
              <w:lang w:val="en-US" w:eastAsia="zh-CN" w:bidi="ar-SA"/>
            </w:rPr>
            <w:fldChar w:fldCharType="separate"/>
          </w:r>
          <w:r>
            <w:rPr>
              <w:rFonts w:hint="eastAsia" w:ascii="仿宋_GB2312" w:hAnsi="仿宋_GB2312" w:eastAsia="仿宋_GB2312" w:cs="仿宋_GB2312"/>
              <w:sz w:val="32"/>
              <w:szCs w:val="24"/>
              <w:highlight w:val="none"/>
              <w:lang w:val="en-US" w:eastAsia="zh-CN"/>
            </w:rPr>
            <w:t>八、采购协议签订</w:t>
          </w:r>
          <w:r>
            <w:rPr>
              <w:rFonts w:hint="eastAsia" w:ascii="仿宋_GB2312" w:hAnsi="仿宋_GB2312" w:eastAsia="仿宋_GB2312" w:cs="仿宋_GB2312"/>
              <w:sz w:val="32"/>
              <w:szCs w:val="24"/>
            </w:rPr>
            <w:tab/>
          </w:r>
          <w:r>
            <w:rPr>
              <w:rFonts w:hint="eastAsia" w:ascii="仿宋_GB2312" w:hAnsi="仿宋_GB2312" w:eastAsia="仿宋_GB2312" w:cs="仿宋_GB2312"/>
              <w:sz w:val="32"/>
              <w:szCs w:val="24"/>
            </w:rPr>
            <w:fldChar w:fldCharType="begin"/>
          </w:r>
          <w:r>
            <w:rPr>
              <w:rFonts w:hint="eastAsia" w:ascii="仿宋_GB2312" w:hAnsi="仿宋_GB2312" w:eastAsia="仿宋_GB2312" w:cs="仿宋_GB2312"/>
              <w:sz w:val="32"/>
              <w:szCs w:val="24"/>
            </w:rPr>
            <w:instrText xml:space="preserve"> PAGEREF _Toc28639 \h </w:instrText>
          </w:r>
          <w:r>
            <w:rPr>
              <w:rFonts w:hint="eastAsia" w:ascii="仿宋_GB2312" w:hAnsi="仿宋_GB2312" w:eastAsia="仿宋_GB2312" w:cs="仿宋_GB2312"/>
              <w:sz w:val="32"/>
              <w:szCs w:val="24"/>
            </w:rPr>
            <w:fldChar w:fldCharType="separate"/>
          </w:r>
          <w:r>
            <w:rPr>
              <w:rFonts w:hint="eastAsia" w:ascii="仿宋_GB2312" w:hAnsi="仿宋_GB2312" w:eastAsia="仿宋_GB2312" w:cs="仿宋_GB2312"/>
              <w:sz w:val="32"/>
              <w:szCs w:val="24"/>
            </w:rPr>
            <w:t>- 17 -</w:t>
          </w:r>
          <w:r>
            <w:rPr>
              <w:rFonts w:hint="eastAsia" w:ascii="仿宋_GB2312" w:hAnsi="仿宋_GB2312" w:eastAsia="仿宋_GB2312" w:cs="仿宋_GB2312"/>
              <w:sz w:val="32"/>
              <w:szCs w:val="24"/>
            </w:rPr>
            <w:fldChar w:fldCharType="end"/>
          </w:r>
          <w:r>
            <w:rPr>
              <w:rFonts w:hint="eastAsia" w:ascii="仿宋_GB2312" w:hAnsi="仿宋_GB2312" w:eastAsia="仿宋_GB2312" w:cs="仿宋_GB2312"/>
              <w:color w:val="auto"/>
              <w:kern w:val="2"/>
              <w:sz w:val="32"/>
              <w:szCs w:val="28"/>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jc w:val="left"/>
            <w:textAlignment w:val="auto"/>
            <w:rPr>
              <w:rFonts w:hint="eastAsia" w:ascii="仿宋_GB2312" w:hAnsi="仿宋_GB2312" w:eastAsia="仿宋_GB2312" w:cs="仿宋_GB2312"/>
              <w:sz w:val="32"/>
              <w:szCs w:val="24"/>
            </w:rPr>
          </w:pPr>
          <w:r>
            <w:rPr>
              <w:rFonts w:hint="eastAsia" w:ascii="仿宋_GB2312" w:hAnsi="仿宋_GB2312" w:eastAsia="仿宋_GB2312" w:cs="仿宋_GB2312"/>
              <w:color w:val="auto"/>
              <w:kern w:val="2"/>
              <w:sz w:val="32"/>
              <w:szCs w:val="28"/>
              <w:lang w:val="en-US" w:eastAsia="zh-CN" w:bidi="ar-SA"/>
            </w:rPr>
            <w:fldChar w:fldCharType="begin"/>
          </w:r>
          <w:r>
            <w:rPr>
              <w:rFonts w:hint="eastAsia" w:ascii="仿宋_GB2312" w:hAnsi="仿宋_GB2312" w:eastAsia="仿宋_GB2312" w:cs="仿宋_GB2312"/>
              <w:kern w:val="2"/>
              <w:sz w:val="32"/>
              <w:szCs w:val="28"/>
              <w:lang w:val="en-US" w:eastAsia="zh-CN" w:bidi="ar-SA"/>
            </w:rPr>
            <w:instrText xml:space="preserve"> HYPERLINK \l _Toc5783 </w:instrText>
          </w:r>
          <w:r>
            <w:rPr>
              <w:rFonts w:hint="eastAsia" w:ascii="仿宋_GB2312" w:hAnsi="仿宋_GB2312" w:eastAsia="仿宋_GB2312" w:cs="仿宋_GB2312"/>
              <w:kern w:val="2"/>
              <w:sz w:val="32"/>
              <w:szCs w:val="28"/>
              <w:lang w:val="en-US" w:eastAsia="zh-CN" w:bidi="ar-SA"/>
            </w:rPr>
            <w:fldChar w:fldCharType="separate"/>
          </w:r>
          <w:r>
            <w:rPr>
              <w:rFonts w:hint="eastAsia" w:ascii="仿宋_GB2312" w:hAnsi="仿宋_GB2312" w:eastAsia="仿宋_GB2312" w:cs="仿宋_GB2312"/>
              <w:sz w:val="32"/>
              <w:szCs w:val="24"/>
              <w:highlight w:val="none"/>
              <w:lang w:val="en-US" w:eastAsia="zh-CN"/>
            </w:rPr>
            <w:t>九、采购协议履行及有关问题处理</w:t>
          </w:r>
          <w:r>
            <w:rPr>
              <w:rFonts w:hint="eastAsia" w:ascii="仿宋_GB2312" w:hAnsi="仿宋_GB2312" w:eastAsia="仿宋_GB2312" w:cs="仿宋_GB2312"/>
              <w:sz w:val="32"/>
              <w:szCs w:val="24"/>
            </w:rPr>
            <w:tab/>
          </w:r>
          <w:r>
            <w:rPr>
              <w:rFonts w:hint="eastAsia" w:ascii="仿宋_GB2312" w:hAnsi="仿宋_GB2312" w:eastAsia="仿宋_GB2312" w:cs="仿宋_GB2312"/>
              <w:sz w:val="32"/>
              <w:szCs w:val="24"/>
            </w:rPr>
            <w:fldChar w:fldCharType="begin"/>
          </w:r>
          <w:r>
            <w:rPr>
              <w:rFonts w:hint="eastAsia" w:ascii="仿宋_GB2312" w:hAnsi="仿宋_GB2312" w:eastAsia="仿宋_GB2312" w:cs="仿宋_GB2312"/>
              <w:sz w:val="32"/>
              <w:szCs w:val="24"/>
            </w:rPr>
            <w:instrText xml:space="preserve"> PAGEREF _Toc5783 \h </w:instrText>
          </w:r>
          <w:r>
            <w:rPr>
              <w:rFonts w:hint="eastAsia" w:ascii="仿宋_GB2312" w:hAnsi="仿宋_GB2312" w:eastAsia="仿宋_GB2312" w:cs="仿宋_GB2312"/>
              <w:sz w:val="32"/>
              <w:szCs w:val="24"/>
            </w:rPr>
            <w:fldChar w:fldCharType="separate"/>
          </w:r>
          <w:r>
            <w:rPr>
              <w:rFonts w:hint="eastAsia" w:ascii="仿宋_GB2312" w:hAnsi="仿宋_GB2312" w:eastAsia="仿宋_GB2312" w:cs="仿宋_GB2312"/>
              <w:sz w:val="32"/>
              <w:szCs w:val="24"/>
            </w:rPr>
            <w:t>- 18 -</w:t>
          </w:r>
          <w:r>
            <w:rPr>
              <w:rFonts w:hint="eastAsia" w:ascii="仿宋_GB2312" w:hAnsi="仿宋_GB2312" w:eastAsia="仿宋_GB2312" w:cs="仿宋_GB2312"/>
              <w:sz w:val="32"/>
              <w:szCs w:val="24"/>
            </w:rPr>
            <w:fldChar w:fldCharType="end"/>
          </w:r>
          <w:r>
            <w:rPr>
              <w:rFonts w:hint="eastAsia" w:ascii="仿宋_GB2312" w:hAnsi="仿宋_GB2312" w:eastAsia="仿宋_GB2312" w:cs="仿宋_GB2312"/>
              <w:color w:val="auto"/>
              <w:kern w:val="2"/>
              <w:sz w:val="32"/>
              <w:szCs w:val="28"/>
              <w:lang w:val="en-US" w:eastAsia="zh-CN" w:bidi="ar-SA"/>
            </w:rPr>
            <w:fldChar w:fldCharType="end"/>
          </w:r>
        </w:p>
        <w:p>
          <w:pPr>
            <w:pStyle w:val="10"/>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jc w:val="left"/>
            <w:textAlignment w:val="auto"/>
            <w:rPr>
              <w:rFonts w:hint="eastAsia" w:ascii="仿宋_GB2312" w:hAnsi="仿宋_GB2312" w:eastAsia="仿宋_GB2312" w:cs="仿宋_GB2312"/>
              <w:sz w:val="32"/>
              <w:szCs w:val="24"/>
            </w:rPr>
          </w:pPr>
          <w:r>
            <w:rPr>
              <w:rFonts w:hint="eastAsia" w:ascii="仿宋_GB2312" w:hAnsi="仿宋_GB2312" w:eastAsia="仿宋_GB2312" w:cs="仿宋_GB2312"/>
              <w:color w:val="auto"/>
              <w:kern w:val="2"/>
              <w:sz w:val="32"/>
              <w:szCs w:val="28"/>
              <w:lang w:val="en-US" w:eastAsia="zh-CN" w:bidi="ar-SA"/>
            </w:rPr>
            <w:fldChar w:fldCharType="begin"/>
          </w:r>
          <w:r>
            <w:rPr>
              <w:rFonts w:hint="eastAsia" w:ascii="仿宋_GB2312" w:hAnsi="仿宋_GB2312" w:eastAsia="仿宋_GB2312" w:cs="仿宋_GB2312"/>
              <w:kern w:val="2"/>
              <w:sz w:val="32"/>
              <w:szCs w:val="28"/>
              <w:lang w:val="en-US" w:eastAsia="zh-CN" w:bidi="ar-SA"/>
            </w:rPr>
            <w:instrText xml:space="preserve"> HYPERLINK \l _Toc2012 </w:instrText>
          </w:r>
          <w:r>
            <w:rPr>
              <w:rFonts w:hint="eastAsia" w:ascii="仿宋_GB2312" w:hAnsi="仿宋_GB2312" w:eastAsia="仿宋_GB2312" w:cs="仿宋_GB2312"/>
              <w:kern w:val="2"/>
              <w:sz w:val="32"/>
              <w:szCs w:val="28"/>
              <w:lang w:val="en-US" w:eastAsia="zh-CN" w:bidi="ar-SA"/>
            </w:rPr>
            <w:fldChar w:fldCharType="separate"/>
          </w:r>
          <w:r>
            <w:rPr>
              <w:rFonts w:hint="eastAsia" w:ascii="黑体" w:hAnsi="黑体" w:eastAsia="黑体" w:cs="黑体"/>
              <w:bCs/>
              <w:sz w:val="32"/>
              <w:szCs w:val="56"/>
              <w:lang w:val="en-US" w:eastAsia="zh-CN"/>
            </w:rPr>
            <w:t>第三部分 附件</w:t>
          </w:r>
          <w:r>
            <w:rPr>
              <w:rFonts w:hint="eastAsia" w:ascii="仿宋_GB2312" w:hAnsi="仿宋_GB2312" w:eastAsia="仿宋_GB2312" w:cs="仿宋_GB2312"/>
              <w:sz w:val="32"/>
              <w:szCs w:val="24"/>
            </w:rPr>
            <w:tab/>
          </w:r>
          <w:r>
            <w:rPr>
              <w:rFonts w:hint="eastAsia" w:ascii="仿宋_GB2312" w:hAnsi="仿宋_GB2312" w:eastAsia="仿宋_GB2312" w:cs="仿宋_GB2312"/>
              <w:sz w:val="32"/>
              <w:szCs w:val="24"/>
            </w:rPr>
            <w:fldChar w:fldCharType="begin"/>
          </w:r>
          <w:r>
            <w:rPr>
              <w:rFonts w:hint="eastAsia" w:ascii="仿宋_GB2312" w:hAnsi="仿宋_GB2312" w:eastAsia="仿宋_GB2312" w:cs="仿宋_GB2312"/>
              <w:sz w:val="32"/>
              <w:szCs w:val="24"/>
            </w:rPr>
            <w:instrText xml:space="preserve"> PAGEREF _Toc2012 \h </w:instrText>
          </w:r>
          <w:r>
            <w:rPr>
              <w:rFonts w:hint="eastAsia" w:ascii="仿宋_GB2312" w:hAnsi="仿宋_GB2312" w:eastAsia="仿宋_GB2312" w:cs="仿宋_GB2312"/>
              <w:sz w:val="32"/>
              <w:szCs w:val="24"/>
            </w:rPr>
            <w:fldChar w:fldCharType="separate"/>
          </w:r>
          <w:r>
            <w:rPr>
              <w:rFonts w:hint="eastAsia" w:ascii="仿宋_GB2312" w:hAnsi="仿宋_GB2312" w:eastAsia="仿宋_GB2312" w:cs="仿宋_GB2312"/>
              <w:sz w:val="32"/>
              <w:szCs w:val="24"/>
            </w:rPr>
            <w:t>- 21 -</w:t>
          </w:r>
          <w:r>
            <w:rPr>
              <w:rFonts w:hint="eastAsia" w:ascii="仿宋_GB2312" w:hAnsi="仿宋_GB2312" w:eastAsia="仿宋_GB2312" w:cs="仿宋_GB2312"/>
              <w:sz w:val="32"/>
              <w:szCs w:val="24"/>
            </w:rPr>
            <w:fldChar w:fldCharType="end"/>
          </w:r>
          <w:r>
            <w:rPr>
              <w:rFonts w:hint="eastAsia" w:ascii="仿宋_GB2312" w:hAnsi="仿宋_GB2312" w:eastAsia="仿宋_GB2312" w:cs="仿宋_GB2312"/>
              <w:color w:val="auto"/>
              <w:kern w:val="2"/>
              <w:sz w:val="32"/>
              <w:szCs w:val="28"/>
              <w:lang w:val="en-US" w:eastAsia="zh-CN" w:bidi="ar-SA"/>
            </w:rPr>
            <w:fldChar w:fldCharType="end"/>
          </w:r>
        </w:p>
        <w:p>
          <w:pPr>
            <w:pStyle w:val="10"/>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jc w:val="left"/>
            <w:textAlignment w:val="auto"/>
            <w:rPr>
              <w:rFonts w:hint="eastAsia" w:ascii="仿宋_GB2312" w:hAnsi="仿宋_GB2312" w:eastAsia="仿宋_GB2312" w:cs="仿宋_GB2312"/>
              <w:sz w:val="32"/>
              <w:szCs w:val="24"/>
            </w:rPr>
          </w:pPr>
          <w:r>
            <w:rPr>
              <w:rFonts w:hint="eastAsia" w:ascii="仿宋_GB2312" w:hAnsi="仿宋_GB2312" w:eastAsia="仿宋_GB2312" w:cs="仿宋_GB2312"/>
              <w:color w:val="auto"/>
              <w:kern w:val="2"/>
              <w:sz w:val="32"/>
              <w:szCs w:val="28"/>
              <w:lang w:val="en-US" w:eastAsia="zh-CN" w:bidi="ar-SA"/>
            </w:rPr>
            <w:fldChar w:fldCharType="begin"/>
          </w:r>
          <w:r>
            <w:rPr>
              <w:rFonts w:hint="eastAsia" w:ascii="仿宋_GB2312" w:hAnsi="仿宋_GB2312" w:eastAsia="仿宋_GB2312" w:cs="仿宋_GB2312"/>
              <w:kern w:val="2"/>
              <w:sz w:val="32"/>
              <w:szCs w:val="28"/>
              <w:lang w:val="en-US" w:eastAsia="zh-CN" w:bidi="ar-SA"/>
            </w:rPr>
            <w:instrText xml:space="preserve"> HYPERLINK \l _Toc12599 </w:instrText>
          </w:r>
          <w:r>
            <w:rPr>
              <w:rFonts w:hint="eastAsia" w:ascii="仿宋_GB2312" w:hAnsi="仿宋_GB2312" w:eastAsia="仿宋_GB2312" w:cs="仿宋_GB2312"/>
              <w:kern w:val="2"/>
              <w:sz w:val="32"/>
              <w:szCs w:val="28"/>
              <w:lang w:val="en-US" w:eastAsia="zh-CN" w:bidi="ar-SA"/>
            </w:rPr>
            <w:fldChar w:fldCharType="separate"/>
          </w:r>
          <w:r>
            <w:rPr>
              <w:rFonts w:hint="eastAsia" w:ascii="仿宋_GB2312" w:hAnsi="仿宋_GB2312" w:eastAsia="仿宋_GB2312" w:cs="仿宋_GB2312"/>
              <w:kern w:val="2"/>
              <w:sz w:val="32"/>
              <w:szCs w:val="32"/>
              <w:lang w:val="en-US" w:eastAsia="zh-CN" w:bidi="ar-SA"/>
            </w:rPr>
            <w:t>附件1</w:t>
          </w:r>
          <w:r>
            <w:rPr>
              <w:rFonts w:hint="eastAsia" w:ascii="仿宋_GB2312" w:hAnsi="仿宋_GB2312" w:eastAsia="仿宋_GB2312" w:cs="仿宋_GB2312"/>
              <w:color w:val="auto"/>
              <w:kern w:val="2"/>
              <w:sz w:val="32"/>
              <w:szCs w:val="28"/>
              <w:lang w:val="en-US" w:eastAsia="zh-CN" w:bidi="ar-SA"/>
            </w:rPr>
            <w:fldChar w:fldCharType="end"/>
          </w:r>
          <w:r>
            <w:rPr>
              <w:rFonts w:hint="eastAsia" w:ascii="仿宋_GB2312" w:hAnsi="仿宋_GB2312" w:eastAsia="仿宋_GB2312" w:cs="仿宋_GB2312"/>
              <w:color w:val="auto"/>
              <w:kern w:val="2"/>
              <w:sz w:val="32"/>
              <w:szCs w:val="28"/>
              <w:lang w:val="en-US" w:eastAsia="zh-CN" w:bidi="ar-SA"/>
            </w:rPr>
            <w:fldChar w:fldCharType="begin"/>
          </w:r>
          <w:r>
            <w:rPr>
              <w:rFonts w:hint="eastAsia" w:ascii="仿宋_GB2312" w:hAnsi="仿宋_GB2312" w:eastAsia="仿宋_GB2312" w:cs="仿宋_GB2312"/>
              <w:kern w:val="2"/>
              <w:sz w:val="32"/>
              <w:szCs w:val="28"/>
              <w:lang w:val="en-US" w:eastAsia="zh-CN" w:bidi="ar-SA"/>
            </w:rPr>
            <w:instrText xml:space="preserve"> HYPERLINK \l _Toc30039 </w:instrText>
          </w:r>
          <w:r>
            <w:rPr>
              <w:rFonts w:hint="eastAsia" w:ascii="仿宋_GB2312" w:hAnsi="仿宋_GB2312" w:eastAsia="仿宋_GB2312" w:cs="仿宋_GB2312"/>
              <w:kern w:val="2"/>
              <w:sz w:val="32"/>
              <w:szCs w:val="28"/>
              <w:lang w:val="en-US" w:eastAsia="zh-CN" w:bidi="ar-SA"/>
            </w:rPr>
            <w:fldChar w:fldCharType="separate"/>
          </w:r>
          <w:r>
            <w:rPr>
              <w:rFonts w:hint="eastAsia" w:ascii="仿宋_GB2312" w:hAnsi="仿宋_GB2312" w:eastAsia="仿宋_GB2312" w:cs="仿宋_GB2312"/>
              <w:sz w:val="32"/>
              <w:szCs w:val="24"/>
              <w:lang w:val="en-US" w:eastAsia="zh-CN"/>
            </w:rPr>
            <w:t>豫南片区联盟第二批医用耗材集中带量采购申报函</w:t>
          </w:r>
          <w:r>
            <w:rPr>
              <w:rFonts w:hint="eastAsia" w:ascii="仿宋_GB2312" w:hAnsi="仿宋_GB2312" w:eastAsia="仿宋_GB2312" w:cs="仿宋_GB2312"/>
              <w:sz w:val="32"/>
              <w:szCs w:val="24"/>
            </w:rPr>
            <w:tab/>
          </w:r>
          <w:r>
            <w:rPr>
              <w:rFonts w:hint="eastAsia" w:ascii="仿宋_GB2312" w:hAnsi="仿宋_GB2312" w:eastAsia="仿宋_GB2312" w:cs="仿宋_GB2312"/>
              <w:sz w:val="32"/>
              <w:szCs w:val="24"/>
            </w:rPr>
            <w:fldChar w:fldCharType="begin"/>
          </w:r>
          <w:r>
            <w:rPr>
              <w:rFonts w:hint="eastAsia" w:ascii="仿宋_GB2312" w:hAnsi="仿宋_GB2312" w:eastAsia="仿宋_GB2312" w:cs="仿宋_GB2312"/>
              <w:sz w:val="32"/>
              <w:szCs w:val="24"/>
            </w:rPr>
            <w:instrText xml:space="preserve"> PAGEREF _Toc30039 \h </w:instrText>
          </w:r>
          <w:r>
            <w:rPr>
              <w:rFonts w:hint="eastAsia" w:ascii="仿宋_GB2312" w:hAnsi="仿宋_GB2312" w:eastAsia="仿宋_GB2312" w:cs="仿宋_GB2312"/>
              <w:sz w:val="32"/>
              <w:szCs w:val="24"/>
            </w:rPr>
            <w:fldChar w:fldCharType="separate"/>
          </w:r>
          <w:r>
            <w:rPr>
              <w:rFonts w:hint="eastAsia" w:ascii="仿宋_GB2312" w:hAnsi="仿宋_GB2312" w:eastAsia="仿宋_GB2312" w:cs="仿宋_GB2312"/>
              <w:sz w:val="32"/>
              <w:szCs w:val="24"/>
            </w:rPr>
            <w:t>- 22 -</w:t>
          </w:r>
          <w:r>
            <w:rPr>
              <w:rFonts w:hint="eastAsia" w:ascii="仿宋_GB2312" w:hAnsi="仿宋_GB2312" w:eastAsia="仿宋_GB2312" w:cs="仿宋_GB2312"/>
              <w:sz w:val="32"/>
              <w:szCs w:val="24"/>
            </w:rPr>
            <w:fldChar w:fldCharType="end"/>
          </w:r>
          <w:r>
            <w:rPr>
              <w:rFonts w:hint="eastAsia" w:ascii="仿宋_GB2312" w:hAnsi="仿宋_GB2312" w:eastAsia="仿宋_GB2312" w:cs="仿宋_GB2312"/>
              <w:color w:val="auto"/>
              <w:kern w:val="2"/>
              <w:sz w:val="32"/>
              <w:szCs w:val="28"/>
              <w:lang w:val="en-US" w:eastAsia="zh-CN" w:bidi="ar-SA"/>
            </w:rPr>
            <w:fldChar w:fldCharType="end"/>
          </w:r>
        </w:p>
        <w:p>
          <w:pPr>
            <w:pStyle w:val="10"/>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jc w:val="left"/>
            <w:textAlignment w:val="auto"/>
          </w:pPr>
          <w:r>
            <w:rPr>
              <w:rFonts w:hint="eastAsia" w:ascii="仿宋_GB2312" w:hAnsi="仿宋_GB2312" w:eastAsia="仿宋_GB2312" w:cs="仿宋_GB2312"/>
              <w:color w:val="auto"/>
              <w:kern w:val="2"/>
              <w:sz w:val="32"/>
              <w:szCs w:val="28"/>
              <w:lang w:val="en-US" w:eastAsia="zh-CN" w:bidi="ar-SA"/>
            </w:rPr>
            <w:fldChar w:fldCharType="begin"/>
          </w:r>
          <w:r>
            <w:rPr>
              <w:rFonts w:hint="eastAsia" w:ascii="仿宋_GB2312" w:hAnsi="仿宋_GB2312" w:eastAsia="仿宋_GB2312" w:cs="仿宋_GB2312"/>
              <w:kern w:val="2"/>
              <w:sz w:val="32"/>
              <w:szCs w:val="28"/>
              <w:lang w:val="en-US" w:eastAsia="zh-CN" w:bidi="ar-SA"/>
            </w:rPr>
            <w:instrText xml:space="preserve"> HYPERLINK \l _Toc337 </w:instrText>
          </w:r>
          <w:r>
            <w:rPr>
              <w:rFonts w:hint="eastAsia" w:ascii="仿宋_GB2312" w:hAnsi="仿宋_GB2312" w:eastAsia="仿宋_GB2312" w:cs="仿宋_GB2312"/>
              <w:kern w:val="2"/>
              <w:sz w:val="32"/>
              <w:szCs w:val="28"/>
              <w:lang w:val="en-US" w:eastAsia="zh-CN" w:bidi="ar-SA"/>
            </w:rPr>
            <w:fldChar w:fldCharType="separate"/>
          </w:r>
          <w:r>
            <w:rPr>
              <w:rFonts w:hint="eastAsia" w:ascii="仿宋_GB2312" w:hAnsi="仿宋_GB2312" w:eastAsia="仿宋_GB2312" w:cs="仿宋_GB2312"/>
              <w:kern w:val="2"/>
              <w:sz w:val="32"/>
              <w:szCs w:val="32"/>
              <w:lang w:val="en-US" w:eastAsia="zh-CN" w:bidi="ar-SA"/>
            </w:rPr>
            <w:t>附件2</w:t>
          </w:r>
          <w:r>
            <w:rPr>
              <w:rFonts w:hint="eastAsia" w:ascii="仿宋_GB2312" w:hAnsi="仿宋_GB2312" w:eastAsia="仿宋_GB2312" w:cs="仿宋_GB2312"/>
              <w:color w:val="auto"/>
              <w:kern w:val="2"/>
              <w:sz w:val="32"/>
              <w:szCs w:val="28"/>
              <w:lang w:val="en-US" w:eastAsia="zh-CN" w:bidi="ar-SA"/>
            </w:rPr>
            <w:fldChar w:fldCharType="end"/>
          </w:r>
          <w:r>
            <w:rPr>
              <w:rFonts w:hint="eastAsia" w:ascii="仿宋_GB2312" w:hAnsi="仿宋_GB2312" w:eastAsia="仿宋_GB2312" w:cs="仿宋_GB2312"/>
              <w:color w:val="auto"/>
              <w:kern w:val="2"/>
              <w:sz w:val="32"/>
              <w:szCs w:val="28"/>
              <w:lang w:val="en-US" w:eastAsia="zh-CN" w:bidi="ar-SA"/>
            </w:rPr>
            <w:fldChar w:fldCharType="begin"/>
          </w:r>
          <w:r>
            <w:rPr>
              <w:rFonts w:hint="eastAsia" w:ascii="仿宋_GB2312" w:hAnsi="仿宋_GB2312" w:eastAsia="仿宋_GB2312" w:cs="仿宋_GB2312"/>
              <w:kern w:val="2"/>
              <w:sz w:val="32"/>
              <w:szCs w:val="28"/>
              <w:lang w:val="en-US" w:eastAsia="zh-CN" w:bidi="ar-SA"/>
            </w:rPr>
            <w:instrText xml:space="preserve"> HYPERLINK \l _Toc18816 </w:instrText>
          </w:r>
          <w:r>
            <w:rPr>
              <w:rFonts w:hint="eastAsia" w:ascii="仿宋_GB2312" w:hAnsi="仿宋_GB2312" w:eastAsia="仿宋_GB2312" w:cs="仿宋_GB2312"/>
              <w:kern w:val="2"/>
              <w:sz w:val="32"/>
              <w:szCs w:val="28"/>
              <w:lang w:val="en-US" w:eastAsia="zh-CN" w:bidi="ar-SA"/>
            </w:rPr>
            <w:fldChar w:fldCharType="separate"/>
          </w:r>
          <w:r>
            <w:rPr>
              <w:rFonts w:hint="eastAsia" w:ascii="仿宋_GB2312" w:hAnsi="仿宋_GB2312" w:eastAsia="仿宋_GB2312" w:cs="仿宋_GB2312"/>
              <w:sz w:val="32"/>
              <w:szCs w:val="24"/>
              <w:lang w:val="en-US" w:eastAsia="zh-CN"/>
            </w:rPr>
            <w:t>法定代表人授权书</w:t>
          </w:r>
          <w:r>
            <w:rPr>
              <w:rFonts w:hint="eastAsia" w:ascii="仿宋_GB2312" w:hAnsi="仿宋_GB2312" w:eastAsia="仿宋_GB2312" w:cs="仿宋_GB2312"/>
              <w:sz w:val="32"/>
              <w:szCs w:val="24"/>
            </w:rPr>
            <w:tab/>
          </w:r>
          <w:r>
            <w:rPr>
              <w:rFonts w:hint="eastAsia" w:ascii="仿宋_GB2312" w:hAnsi="仿宋_GB2312" w:eastAsia="仿宋_GB2312" w:cs="仿宋_GB2312"/>
              <w:sz w:val="32"/>
              <w:szCs w:val="24"/>
            </w:rPr>
            <w:fldChar w:fldCharType="begin"/>
          </w:r>
          <w:r>
            <w:rPr>
              <w:rFonts w:hint="eastAsia" w:ascii="仿宋_GB2312" w:hAnsi="仿宋_GB2312" w:eastAsia="仿宋_GB2312" w:cs="仿宋_GB2312"/>
              <w:sz w:val="32"/>
              <w:szCs w:val="24"/>
            </w:rPr>
            <w:instrText xml:space="preserve"> PAGEREF _Toc18816 \h </w:instrText>
          </w:r>
          <w:r>
            <w:rPr>
              <w:rFonts w:hint="eastAsia" w:ascii="仿宋_GB2312" w:hAnsi="仿宋_GB2312" w:eastAsia="仿宋_GB2312" w:cs="仿宋_GB2312"/>
              <w:sz w:val="32"/>
              <w:szCs w:val="24"/>
            </w:rPr>
            <w:fldChar w:fldCharType="separate"/>
          </w:r>
          <w:r>
            <w:rPr>
              <w:rFonts w:hint="eastAsia" w:ascii="仿宋_GB2312" w:hAnsi="仿宋_GB2312" w:eastAsia="仿宋_GB2312" w:cs="仿宋_GB2312"/>
              <w:sz w:val="32"/>
              <w:szCs w:val="24"/>
            </w:rPr>
            <w:t>- 23 -</w:t>
          </w:r>
          <w:r>
            <w:rPr>
              <w:rFonts w:hint="eastAsia" w:ascii="仿宋_GB2312" w:hAnsi="仿宋_GB2312" w:eastAsia="仿宋_GB2312" w:cs="仿宋_GB2312"/>
              <w:sz w:val="32"/>
              <w:szCs w:val="24"/>
            </w:rPr>
            <w:fldChar w:fldCharType="end"/>
          </w:r>
          <w:r>
            <w:rPr>
              <w:rFonts w:hint="eastAsia" w:ascii="仿宋_GB2312" w:hAnsi="仿宋_GB2312" w:eastAsia="仿宋_GB2312" w:cs="仿宋_GB2312"/>
              <w:color w:val="auto"/>
              <w:kern w:val="2"/>
              <w:sz w:val="32"/>
              <w:szCs w:val="28"/>
              <w:lang w:val="en-US" w:eastAsia="zh-CN" w:bidi="ar-SA"/>
            </w:rPr>
            <w:fldChar w:fldCharType="end"/>
          </w:r>
        </w:p>
        <w:p>
          <w:pPr>
            <w:pStyle w:val="10"/>
            <w:keepNext w:val="0"/>
            <w:keepLines w:val="0"/>
            <w:pageBreakBefore w:val="0"/>
            <w:widowControl w:val="0"/>
            <w:tabs>
              <w:tab w:val="right" w:leader="dot" w:pos="9071"/>
            </w:tabs>
            <w:kinsoku/>
            <w:wordWrap/>
            <w:overflowPunct/>
            <w:topLinePunct w:val="0"/>
            <w:autoSpaceDE/>
            <w:autoSpaceDN/>
            <w:bidi w:val="0"/>
            <w:adjustRightInd/>
            <w:snapToGrid/>
            <w:spacing w:line="240" w:lineRule="auto"/>
            <w:jc w:val="both"/>
            <w:textAlignment w:val="auto"/>
            <w:rPr>
              <w:rFonts w:hint="eastAsia" w:ascii="方正小标宋简体" w:hAnsi="方正小标宋简体" w:eastAsia="方正小标宋简体" w:cs="方正小标宋简体"/>
              <w:bCs/>
              <w:color w:val="auto"/>
              <w:sz w:val="18"/>
              <w:szCs w:val="18"/>
            </w:rPr>
          </w:pPr>
          <w:r>
            <w:rPr>
              <w:rFonts w:hint="eastAsia" w:ascii="方正小标宋简体" w:hAnsi="方正小标宋简体" w:eastAsia="方正小标宋简体" w:cs="方正小标宋简体"/>
              <w:color w:val="auto"/>
              <w:kern w:val="2"/>
              <w:szCs w:val="28"/>
              <w:lang w:val="en-US" w:eastAsia="zh-CN" w:bidi="ar-SA"/>
            </w:rPr>
            <w:fldChar w:fldCharType="end"/>
          </w:r>
        </w:p>
      </w:sdtContent>
    </w:sdt>
    <w:p>
      <w:pPr>
        <w:keepNext w:val="0"/>
        <w:keepLines w:val="0"/>
        <w:pageBreakBefore w:val="0"/>
        <w:widowControl w:val="0"/>
        <w:kinsoku/>
        <w:wordWrap/>
        <w:overflowPunct/>
        <w:topLinePunct w:val="0"/>
        <w:autoSpaceDE/>
        <w:autoSpaceDN/>
        <w:bidi w:val="0"/>
        <w:adjustRightInd/>
        <w:snapToGrid/>
        <w:spacing w:before="4681" w:beforeLines="1500" w:line="480" w:lineRule="exact"/>
        <w:ind w:firstLine="0" w:firstLineChars="0"/>
        <w:jc w:val="center"/>
        <w:textAlignment w:val="auto"/>
        <w:outlineLvl w:val="0"/>
        <w:rPr>
          <w:rFonts w:hint="eastAsia" w:ascii="方正小标宋简体" w:hAnsi="方正小标宋简体" w:eastAsia="方正小标宋简体" w:cs="方正小标宋简体"/>
          <w:bCs/>
          <w:color w:val="auto"/>
          <w:sz w:val="56"/>
          <w:szCs w:val="56"/>
        </w:rPr>
        <w:sectPr>
          <w:footerReference r:id="rId5" w:type="default"/>
          <w:pgSz w:w="11906" w:h="16838"/>
          <w:pgMar w:top="2098" w:right="1474" w:bottom="1984" w:left="1361"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before="4681" w:beforeLines="1500"/>
        <w:ind w:firstLine="0" w:firstLineChars="0"/>
        <w:jc w:val="center"/>
        <w:textAlignment w:val="auto"/>
        <w:outlineLvl w:val="0"/>
        <w:rPr>
          <w:rFonts w:hint="eastAsia" w:ascii="方正小标宋简体" w:hAnsi="方正小标宋简体" w:eastAsia="方正小标宋简体" w:cs="方正小标宋简体"/>
          <w:bCs/>
          <w:color w:val="auto"/>
          <w:sz w:val="56"/>
          <w:szCs w:val="56"/>
        </w:rPr>
      </w:pPr>
      <w:bookmarkStart w:id="0" w:name="_Toc25782"/>
      <w:bookmarkStart w:id="1" w:name="_Toc5261"/>
      <w:r>
        <w:rPr>
          <w:rFonts w:hint="eastAsia" w:ascii="方正小标宋简体" w:hAnsi="方正小标宋简体" w:eastAsia="方正小标宋简体" w:cs="方正小标宋简体"/>
          <w:bCs/>
          <w:color w:val="auto"/>
          <w:sz w:val="56"/>
          <w:szCs w:val="56"/>
        </w:rPr>
        <w:t>第一部分</w:t>
      </w:r>
      <w:r>
        <w:rPr>
          <w:rFonts w:hint="eastAsia" w:ascii="方正小标宋简体" w:hAnsi="方正小标宋简体" w:eastAsia="方正小标宋简体" w:cs="方正小标宋简体"/>
          <w:bCs/>
          <w:color w:val="auto"/>
          <w:sz w:val="56"/>
          <w:szCs w:val="56"/>
          <w:lang w:val="en-US" w:eastAsia="zh-CN"/>
        </w:rPr>
        <w:t xml:space="preserve"> </w:t>
      </w:r>
      <w:r>
        <w:rPr>
          <w:rFonts w:hint="eastAsia" w:ascii="方正小标宋简体" w:hAnsi="方正小标宋简体" w:eastAsia="方正小标宋简体" w:cs="方正小标宋简体"/>
          <w:bCs/>
          <w:color w:val="auto"/>
          <w:sz w:val="56"/>
          <w:szCs w:val="56"/>
        </w:rPr>
        <w:t>采购邀请</w:t>
      </w:r>
      <w:bookmarkEnd w:id="0"/>
      <w:bookmarkEnd w:id="1"/>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r>
        <w:rPr>
          <w:rFonts w:hint="eastAsia"/>
          <w:color w:val="auto"/>
          <w:lang w:val="en-US" w:eastAsia="zh-CN"/>
        </w:rPr>
        <w:br w:type="page"/>
      </w:r>
    </w:p>
    <w:p>
      <w:pPr>
        <w:keepNext/>
        <w:keepLines/>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keepLines/>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_GBK" w:eastAsia="方正小标宋_GBK"/>
          <w:sz w:val="44"/>
          <w:szCs w:val="48"/>
        </w:rPr>
      </w:pPr>
      <w:r>
        <w:rPr>
          <w:rFonts w:hint="eastAsia" w:ascii="方正小标宋_GBK" w:eastAsia="方正小标宋_GBK"/>
          <w:sz w:val="44"/>
          <w:szCs w:val="48"/>
        </w:rPr>
        <w:t>豫南片区联盟第二批医用耗材集中带量采购</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方正小标宋_GBK" w:eastAsia="方正小标宋_GBK"/>
          <w:sz w:val="44"/>
          <w:szCs w:val="48"/>
        </w:rPr>
      </w:pPr>
      <w:r>
        <w:rPr>
          <w:rFonts w:hint="eastAsia" w:ascii="方正小标宋_GBK" w:eastAsia="方正小标宋_GBK"/>
          <w:sz w:val="44"/>
          <w:szCs w:val="48"/>
        </w:rPr>
        <w:t>邀请函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方正小标宋简体" w:eastAsia="仿宋_GB2312"/>
          <w:sz w:val="32"/>
          <w:szCs w:val="32"/>
        </w:rPr>
      </w:pPr>
      <w:r>
        <w:rPr>
          <w:rFonts w:hint="eastAsia" w:ascii="仿宋_GB2312" w:hAnsi="方正小标宋简体" w:eastAsia="仿宋_GB2312"/>
          <w:sz w:val="32"/>
          <w:szCs w:val="32"/>
        </w:rPr>
        <w:t>（采购文件编号：）</w:t>
      </w:r>
    </w:p>
    <w:p>
      <w:pPr>
        <w:pStyle w:val="2"/>
      </w:pP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hAnsi="微软雅黑" w:cs="仿宋_GB2312"/>
          <w:color w:val="auto"/>
          <w:sz w:val="32"/>
          <w:szCs w:val="32"/>
          <w:highlight w:val="none"/>
          <w:u w:val="none"/>
          <w:lang w:val="en-US" w:eastAsia="zh-CN"/>
        </w:rPr>
      </w:pPr>
      <w:r>
        <w:rPr>
          <w:rFonts w:hint="eastAsia" w:hAnsi="微软雅黑" w:cs="仿宋_GB2312"/>
          <w:color w:val="auto"/>
          <w:sz w:val="32"/>
          <w:szCs w:val="32"/>
          <w:highlight w:val="none"/>
          <w:u w:val="none"/>
          <w:lang w:val="en-US" w:eastAsia="zh-CN"/>
        </w:rPr>
        <w:t>为贯彻党中央、国务院决策部署，深入推进高值医用耗材集中带量采购改革，按照《中共中央国务院关于深化医疗保障制度改革的意见》《国务院办公厅关于印发治理高值医用耗材改革方案的通知》（国办发〔2019〕37号）和《关于开展国家组织高值医用耗材集中带量采购和使用的指导意见》（医保发〔2021〕31号）要求，坚持联盟采购、平台操作的总体思路，开展豫南片区联盟第二批医用耗材集中带量采购工作。按照临床需求为导向的原则，经专家论证，选取透明帽、一次性乳头切开刀为本次采购品种，由漯河市医疗保障局承担联盟采购办公室日常工作并负责具体实施。</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hAnsi="微软雅黑" w:cs="仿宋_GB2312"/>
          <w:color w:val="auto"/>
          <w:sz w:val="32"/>
          <w:szCs w:val="32"/>
          <w:highlight w:val="none"/>
          <w:u w:val="none"/>
          <w:lang w:val="en-US" w:eastAsia="zh-CN"/>
        </w:rPr>
      </w:pPr>
      <w:r>
        <w:rPr>
          <w:rFonts w:hint="eastAsia" w:hAnsi="微软雅黑" w:cs="仿宋_GB2312"/>
          <w:color w:val="auto"/>
          <w:sz w:val="32"/>
          <w:szCs w:val="32"/>
          <w:highlight w:val="none"/>
          <w:u w:val="none"/>
          <w:lang w:val="en-US" w:eastAsia="zh-CN"/>
        </w:rPr>
        <w:t>现邀请符合要求的企业前来申报。</w:t>
      </w:r>
    </w:p>
    <w:p>
      <w:pPr>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br w:type="page"/>
      </w:r>
    </w:p>
    <w:p>
      <w:pPr>
        <w:pStyle w:val="4"/>
        <w:bidi w:val="0"/>
        <w:rPr>
          <w:rFonts w:hint="eastAsia"/>
          <w:color w:val="auto"/>
          <w:lang w:eastAsia="zh-CN"/>
        </w:rPr>
      </w:pPr>
      <w:bookmarkStart w:id="2" w:name="_Toc89358208"/>
      <w:bookmarkStart w:id="3" w:name="_Toc28549"/>
      <w:bookmarkStart w:id="4" w:name="_Toc29506"/>
      <w:r>
        <w:rPr>
          <w:color w:val="auto"/>
        </w:rPr>
        <w:t>一、</w:t>
      </w:r>
      <w:bookmarkEnd w:id="2"/>
      <w:r>
        <w:rPr>
          <w:rFonts w:hint="eastAsia"/>
          <w:color w:val="auto"/>
        </w:rPr>
        <w:t>采购</w:t>
      </w:r>
      <w:r>
        <w:rPr>
          <w:rFonts w:hint="eastAsia"/>
          <w:color w:val="auto"/>
          <w:lang w:val="en-US" w:eastAsia="zh-CN"/>
        </w:rPr>
        <w:t>品种</w:t>
      </w:r>
      <w:r>
        <w:rPr>
          <w:rFonts w:hint="eastAsia"/>
          <w:color w:val="auto"/>
        </w:rPr>
        <w:t>、</w:t>
      </w:r>
      <w:r>
        <w:rPr>
          <w:rFonts w:hint="eastAsia"/>
          <w:color w:val="auto"/>
          <w:lang w:val="en-US" w:eastAsia="zh-CN"/>
        </w:rPr>
        <w:t>采购需求量</w:t>
      </w:r>
      <w:r>
        <w:rPr>
          <w:rFonts w:hint="eastAsia"/>
          <w:color w:val="auto"/>
        </w:rPr>
        <w:t>及最高有效申报价</w:t>
      </w:r>
      <w:bookmarkEnd w:id="3"/>
      <w:bookmarkEnd w:id="4"/>
    </w:p>
    <w:p>
      <w:pPr>
        <w:pageBreakBefore w:val="0"/>
        <w:widowControl w:val="0"/>
        <w:kinsoku/>
        <w:wordWrap/>
        <w:overflowPunct/>
        <w:topLinePunct w:val="0"/>
        <w:autoSpaceDE/>
        <w:autoSpaceDN/>
        <w:bidi w:val="0"/>
        <w:adjustRightInd/>
        <w:snapToGrid/>
        <w:spacing w:line="560" w:lineRule="exact"/>
        <w:textAlignment w:val="auto"/>
        <w:rPr>
          <w:rFonts w:hint="default"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（一）采购品种</w:t>
      </w:r>
    </w:p>
    <w:p>
      <w:pPr>
        <w:keepNext w:val="0"/>
        <w:keepLines w:val="0"/>
        <w:pageBreakBefore w:val="0"/>
        <w:widowControl w:val="0"/>
        <w:kinsoku/>
        <w:wordWrap/>
        <w:overflowPunct/>
        <w:topLinePunct w:val="0"/>
        <w:bidi w:val="0"/>
        <w:snapToGrid/>
        <w:spacing w:line="600" w:lineRule="exact"/>
        <w:ind w:firstLine="640"/>
        <w:textAlignment w:val="auto"/>
        <w:rPr>
          <w:rFonts w:hint="eastAsia"/>
          <w:color w:val="auto"/>
          <w:highlight w:val="none"/>
          <w:u w:val="none"/>
        </w:rPr>
      </w:pPr>
      <w:r>
        <w:rPr>
          <w:rFonts w:hint="eastAsia"/>
          <w:color w:val="auto"/>
          <w:highlight w:val="none"/>
          <w:u w:val="none"/>
        </w:rPr>
        <w:t>本次集中带量采购品种为</w:t>
      </w:r>
      <w:r>
        <w:rPr>
          <w:rFonts w:hint="eastAsia"/>
          <w:color w:val="auto"/>
          <w:highlight w:val="none"/>
          <w:u w:val="none"/>
          <w:lang w:val="en-US" w:eastAsia="zh-CN"/>
        </w:rPr>
        <w:t>透明帽、一次性乳头切开刀</w:t>
      </w:r>
      <w:r>
        <w:rPr>
          <w:rFonts w:hint="eastAsia"/>
          <w:color w:val="auto"/>
          <w:highlight w:val="none"/>
          <w:u w:val="none"/>
        </w:rPr>
        <w:t>。</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kern w:val="2"/>
          <w:sz w:val="32"/>
          <w:szCs w:val="24"/>
          <w:lang w:val="en-US" w:eastAsia="zh-CN" w:bidi="ar-SA"/>
        </w:rPr>
        <w:t>（二）采购需求量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lang w:val="en-US" w:eastAsia="zh-CN"/>
        </w:rPr>
      </w:pPr>
      <w:r>
        <w:rPr>
          <w:rFonts w:hint="eastAsia" w:ascii="仿宋_GB2312" w:hAnsi="仿宋_GB2312" w:eastAsia="仿宋_GB2312" w:cs="仿宋_GB2312"/>
          <w:color w:val="auto"/>
          <w:sz w:val="32"/>
          <w:szCs w:val="32"/>
          <w:highlight w:val="none"/>
          <w:u w:val="none"/>
          <w:lang w:bidi="ar"/>
        </w:rPr>
        <w:t>由参加集中采购的所有公立医疗机构（含军队医疗机构）结合上年度实际使用量、临床使用状况和医疗技术进步等因素，按照企业品牌填报拟采购品种的需求量，约定采购量按照</w:t>
      </w:r>
      <w:r>
        <w:rPr>
          <w:rFonts w:hint="eastAsia" w:ascii="仿宋_GB2312" w:hAnsi="仿宋_GB2312" w:eastAsia="仿宋_GB2312" w:cs="仿宋_GB2312"/>
          <w:color w:val="auto"/>
          <w:sz w:val="32"/>
          <w:szCs w:val="32"/>
          <w:highlight w:val="none"/>
          <w:u w:val="none"/>
          <w:lang w:eastAsia="zh-CN" w:bidi="ar"/>
        </w:rPr>
        <w:t>具体分量规则</w:t>
      </w:r>
      <w:r>
        <w:rPr>
          <w:rFonts w:hint="eastAsia" w:ascii="仿宋_GB2312" w:hAnsi="仿宋_GB2312" w:eastAsia="仿宋_GB2312" w:cs="仿宋_GB2312"/>
          <w:color w:val="auto"/>
          <w:sz w:val="32"/>
          <w:szCs w:val="32"/>
          <w:highlight w:val="none"/>
          <w:u w:val="none"/>
          <w:lang w:bidi="ar"/>
        </w:rPr>
        <w:t>确定。各医疗机构中选产品实际采购量不低于同品种总采购量的80%。</w:t>
      </w:r>
      <w:r>
        <w:rPr>
          <w:rFonts w:hint="eastAsia"/>
          <w:color w:val="auto"/>
          <w:lang w:val="en-US" w:eastAsia="zh-CN"/>
        </w:rPr>
        <w:t>具体目录及采购需求量如下：</w:t>
      </w:r>
    </w:p>
    <w:tbl>
      <w:tblPr>
        <w:tblStyle w:val="12"/>
        <w:tblW w:w="91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01"/>
        <w:gridCol w:w="1536"/>
        <w:gridCol w:w="3833"/>
        <w:gridCol w:w="1096"/>
        <w:gridCol w:w="13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1301" w:type="dxa"/>
            <w:tcBorders>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黑体" w:hAnsi="宋体" w:eastAsia="黑体" w:cs="黑体"/>
                <w:i w:val="0"/>
                <w:iCs w:val="0"/>
                <w:color w:val="auto"/>
                <w:sz w:val="24"/>
                <w:szCs w:val="24"/>
                <w:u w:val="none"/>
                <w:lang w:val="en-US"/>
              </w:rPr>
            </w:pPr>
            <w:r>
              <w:rPr>
                <w:rFonts w:hint="eastAsia" w:ascii="黑体" w:hAnsi="宋体" w:eastAsia="黑体" w:cs="黑体"/>
                <w:i w:val="0"/>
                <w:iCs w:val="0"/>
                <w:color w:val="auto"/>
                <w:kern w:val="0"/>
                <w:sz w:val="24"/>
                <w:szCs w:val="24"/>
                <w:u w:val="none"/>
                <w:lang w:val="en-US" w:eastAsia="zh-CN" w:bidi="ar"/>
              </w:rPr>
              <w:t>一级目录</w:t>
            </w:r>
          </w:p>
        </w:tc>
        <w:tc>
          <w:tcPr>
            <w:tcW w:w="1536" w:type="dxa"/>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黑体" w:hAnsi="宋体" w:eastAsia="黑体" w:cs="黑体"/>
                <w:i w:val="0"/>
                <w:iCs w:val="0"/>
                <w:color w:val="auto"/>
                <w:sz w:val="24"/>
                <w:szCs w:val="24"/>
                <w:u w:val="none"/>
                <w:lang w:val="en-US"/>
              </w:rPr>
            </w:pPr>
            <w:r>
              <w:rPr>
                <w:rFonts w:hint="eastAsia" w:ascii="黑体" w:hAnsi="宋体" w:eastAsia="黑体" w:cs="黑体"/>
                <w:i w:val="0"/>
                <w:iCs w:val="0"/>
                <w:color w:val="auto"/>
                <w:kern w:val="0"/>
                <w:sz w:val="24"/>
                <w:szCs w:val="24"/>
                <w:u w:val="none"/>
                <w:lang w:val="en-US" w:eastAsia="zh-CN" w:bidi="ar"/>
              </w:rPr>
              <w:t>二级目录</w:t>
            </w:r>
          </w:p>
        </w:tc>
        <w:tc>
          <w:tcPr>
            <w:tcW w:w="3833" w:type="dxa"/>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黑体" w:hAnsi="宋体" w:eastAsia="黑体" w:cs="黑体"/>
                <w:i w:val="0"/>
                <w:iCs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产品要求</w:t>
            </w:r>
          </w:p>
        </w:tc>
        <w:tc>
          <w:tcPr>
            <w:tcW w:w="1096" w:type="dxa"/>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黑体" w:hAnsi="宋体" w:eastAsia="黑体" w:cs="黑体"/>
                <w:i w:val="0"/>
                <w:iCs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最小竞价单位</w:t>
            </w:r>
          </w:p>
        </w:tc>
        <w:tc>
          <w:tcPr>
            <w:tcW w:w="1392" w:type="dxa"/>
            <w:tcBorders>
              <w:left w:val="single" w:color="000000"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宋体" w:eastAsia="黑体" w:cs="黑体"/>
                <w:i w:val="0"/>
                <w:iCs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采购需求量/个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1" w:hRule="atLeast"/>
          <w:jc w:val="center"/>
        </w:trPr>
        <w:tc>
          <w:tcPr>
            <w:tcW w:w="1301" w:type="dxa"/>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4"/>
                <w:szCs w:val="21"/>
                <w:lang w:val="en-US" w:eastAsia="zh-CN"/>
              </w:rPr>
            </w:pPr>
            <w:r>
              <w:rPr>
                <w:rFonts w:hint="eastAsia"/>
                <w:color w:val="auto"/>
                <w:sz w:val="24"/>
                <w:szCs w:val="21"/>
                <w:lang w:val="en-US" w:eastAsia="zh-CN"/>
              </w:rPr>
              <w:t>透明帽</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4"/>
                <w:szCs w:val="21"/>
                <w:lang w:val="en-US" w:eastAsia="zh-CN"/>
              </w:rPr>
            </w:pPr>
            <w:r>
              <w:rPr>
                <w:rFonts w:hint="eastAsia"/>
                <w:color w:val="auto"/>
                <w:sz w:val="24"/>
                <w:szCs w:val="21"/>
                <w:lang w:val="en-US" w:eastAsia="zh-CN"/>
              </w:rPr>
              <w:t>/</w:t>
            </w:r>
          </w:p>
        </w:tc>
        <w:tc>
          <w:tcPr>
            <w:tcW w:w="38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4"/>
                <w:szCs w:val="21"/>
                <w:lang w:val="en-US" w:eastAsia="zh-CN"/>
              </w:rPr>
            </w:pPr>
            <w:r>
              <w:rPr>
                <w:rFonts w:hint="eastAsia"/>
                <w:color w:val="auto"/>
                <w:sz w:val="24"/>
                <w:szCs w:val="21"/>
                <w:lang w:val="en-US" w:eastAsia="zh-CN"/>
              </w:rPr>
              <w:t>安装在内镜前端，用于保持适当的内镜视野</w:t>
            </w:r>
          </w:p>
        </w:tc>
        <w:tc>
          <w:tcPr>
            <w:tcW w:w="10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4"/>
                <w:szCs w:val="21"/>
                <w:lang w:val="en-US" w:eastAsia="zh-CN"/>
              </w:rPr>
            </w:pPr>
            <w:r>
              <w:rPr>
                <w:rFonts w:hint="eastAsia"/>
                <w:color w:val="auto"/>
                <w:sz w:val="24"/>
                <w:szCs w:val="21"/>
                <w:lang w:val="en-US" w:eastAsia="zh-CN"/>
              </w:rPr>
              <w:t>个</w:t>
            </w:r>
          </w:p>
        </w:tc>
        <w:tc>
          <w:tcPr>
            <w:tcW w:w="1392" w:type="dxa"/>
            <w:tcBorders>
              <w:top w:val="single" w:color="auto" w:sz="4" w:space="0"/>
              <w:left w:val="single" w:color="auto" w:sz="4" w:space="0"/>
              <w:bottom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theme="minorBidi"/>
                <w:color w:val="auto"/>
                <w:kern w:val="2"/>
                <w:sz w:val="24"/>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301" w:type="dxa"/>
            <w:vMerge w:val="restart"/>
            <w:tcBorders>
              <w:top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4"/>
                <w:szCs w:val="21"/>
                <w:lang w:val="en-US" w:eastAsia="zh-CN"/>
              </w:rPr>
            </w:pPr>
            <w:r>
              <w:rPr>
                <w:rFonts w:hint="eastAsia"/>
                <w:color w:val="auto"/>
                <w:sz w:val="24"/>
                <w:szCs w:val="21"/>
                <w:lang w:val="en-US" w:eastAsia="zh-CN"/>
              </w:rPr>
              <w:t>一次性乳头切开刀</w:t>
            </w:r>
          </w:p>
        </w:tc>
        <w:tc>
          <w:tcPr>
            <w:tcW w:w="1536"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4"/>
                <w:szCs w:val="21"/>
                <w:lang w:val="en-US" w:eastAsia="zh-CN"/>
              </w:rPr>
            </w:pPr>
            <w:r>
              <w:rPr>
                <w:rFonts w:hint="eastAsia"/>
                <w:color w:val="auto"/>
                <w:sz w:val="24"/>
                <w:szCs w:val="21"/>
                <w:lang w:val="en-US" w:eastAsia="zh-CN"/>
              </w:rPr>
              <w:t>双腔</w:t>
            </w:r>
          </w:p>
        </w:tc>
        <w:tc>
          <w:tcPr>
            <w:tcW w:w="3833"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4"/>
                <w:szCs w:val="21"/>
                <w:lang w:val="en-US" w:eastAsia="zh-CN"/>
              </w:rPr>
            </w:pPr>
            <w:r>
              <w:rPr>
                <w:rFonts w:hint="eastAsia"/>
                <w:color w:val="auto"/>
                <w:sz w:val="24"/>
                <w:szCs w:val="21"/>
                <w:lang w:val="en-US" w:eastAsia="zh-CN"/>
              </w:rPr>
              <w:t>包含手柄、鞘管、切割金属丝、导丝插孔、注射孔和高频电流接头</w:t>
            </w:r>
          </w:p>
        </w:tc>
        <w:tc>
          <w:tcPr>
            <w:tcW w:w="1096" w:type="dxa"/>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4"/>
                <w:szCs w:val="21"/>
                <w:lang w:val="en-US" w:eastAsia="zh-CN"/>
              </w:rPr>
            </w:pPr>
            <w:r>
              <w:rPr>
                <w:rFonts w:hint="eastAsia"/>
                <w:color w:val="auto"/>
                <w:sz w:val="24"/>
                <w:szCs w:val="21"/>
                <w:lang w:val="en-US" w:eastAsia="zh-CN"/>
              </w:rPr>
              <w:t>把</w:t>
            </w:r>
          </w:p>
        </w:tc>
        <w:tc>
          <w:tcPr>
            <w:tcW w:w="1392" w:type="dxa"/>
            <w:tcBorders>
              <w:top w:val="single" w:color="auto" w:sz="4" w:space="0"/>
              <w:lef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theme="minorBidi"/>
                <w:color w:val="auto"/>
                <w:kern w:val="2"/>
                <w:sz w:val="24"/>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jc w:val="center"/>
        </w:trPr>
        <w:tc>
          <w:tcPr>
            <w:tcW w:w="1301" w:type="dxa"/>
            <w:vMerge w:val="continue"/>
            <w:tcBorders>
              <w:top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4"/>
                <w:szCs w:val="21"/>
                <w:lang w:val="en-US" w:eastAsia="zh-CN"/>
              </w:rPr>
            </w:pPr>
          </w:p>
        </w:tc>
        <w:tc>
          <w:tcPr>
            <w:tcW w:w="1536"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4"/>
                <w:szCs w:val="21"/>
                <w:lang w:val="en-US" w:eastAsia="zh-CN"/>
              </w:rPr>
            </w:pPr>
            <w:r>
              <w:rPr>
                <w:rFonts w:hint="eastAsia"/>
                <w:color w:val="auto"/>
                <w:sz w:val="24"/>
                <w:szCs w:val="21"/>
                <w:lang w:val="en-US" w:eastAsia="zh-CN"/>
              </w:rPr>
              <w:t>三腔</w:t>
            </w:r>
          </w:p>
        </w:tc>
        <w:tc>
          <w:tcPr>
            <w:tcW w:w="3833"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center"/>
              <w:textAlignment w:val="auto"/>
              <w:rPr>
                <w:rFonts w:hint="eastAsia"/>
                <w:color w:val="auto"/>
                <w:sz w:val="24"/>
                <w:szCs w:val="21"/>
                <w:lang w:val="en-US" w:eastAsia="zh-CN"/>
              </w:rPr>
            </w:pPr>
          </w:p>
        </w:tc>
        <w:tc>
          <w:tcPr>
            <w:tcW w:w="1096" w:type="dxa"/>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4"/>
                <w:szCs w:val="21"/>
                <w:lang w:val="en-US" w:eastAsia="zh-CN"/>
              </w:rPr>
            </w:pPr>
            <w:r>
              <w:rPr>
                <w:rFonts w:hint="eastAsia"/>
                <w:color w:val="auto"/>
                <w:sz w:val="24"/>
                <w:szCs w:val="21"/>
                <w:lang w:val="en-US" w:eastAsia="zh-CN"/>
              </w:rPr>
              <w:t>把</w:t>
            </w:r>
          </w:p>
        </w:tc>
        <w:tc>
          <w:tcPr>
            <w:tcW w:w="1392" w:type="dxa"/>
            <w:tcBorders>
              <w:top w:val="single" w:color="auto" w:sz="4" w:space="0"/>
              <w:lef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theme="minorBidi"/>
                <w:color w:val="auto"/>
                <w:kern w:val="2"/>
                <w:sz w:val="24"/>
                <w:szCs w:val="21"/>
                <w:lang w:val="en-US" w:eastAsia="zh-CN" w:bidi="ar-SA"/>
              </w:rPr>
            </w:pPr>
          </w:p>
        </w:tc>
      </w:tr>
    </w:tbl>
    <w:p>
      <w:pPr>
        <w:bidi w:val="0"/>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（三）最高有效申报价</w:t>
      </w:r>
    </w:p>
    <w:p>
      <w:pPr>
        <w:rPr>
          <w:rFonts w:hint="eastAsia"/>
          <w:color w:val="auto"/>
          <w:sz w:val="32"/>
          <w:szCs w:val="32"/>
          <w:lang w:val="en-US" w:eastAsia="zh-CN"/>
        </w:rPr>
      </w:pPr>
      <w:r>
        <w:rPr>
          <w:rFonts w:hint="eastAsia"/>
          <w:color w:val="auto"/>
          <w:sz w:val="32"/>
          <w:szCs w:val="32"/>
          <w:lang w:val="en-US" w:eastAsia="zh-CN"/>
        </w:rPr>
        <w:t>二级目录最高有效申报价见下表：</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color w:val="auto"/>
          <w:sz w:val="32"/>
          <w:szCs w:val="32"/>
          <w:lang w:val="en-US" w:eastAsia="zh-CN"/>
        </w:rPr>
      </w:pPr>
      <w:r>
        <w:rPr>
          <w:rFonts w:hint="eastAsia"/>
          <w:color w:val="auto"/>
          <w:sz w:val="32"/>
          <w:szCs w:val="32"/>
          <w:lang w:val="en-US" w:eastAsia="zh-CN"/>
        </w:rPr>
        <w:t>二级目录</w:t>
      </w:r>
      <w:r>
        <w:rPr>
          <w:rFonts w:ascii="仿宋_GB2312" w:hAnsi="宋体" w:eastAsia="仿宋_GB2312" w:cs="仿宋_GB2312"/>
          <w:color w:val="auto"/>
          <w:kern w:val="0"/>
          <w:sz w:val="32"/>
          <w:szCs w:val="32"/>
          <w:lang w:val="en-US" w:eastAsia="zh-CN" w:bidi="ar"/>
        </w:rPr>
        <w:t>最高有效申报价汇总表</w:t>
      </w:r>
    </w:p>
    <w:tbl>
      <w:tblPr>
        <w:tblStyle w:val="12"/>
        <w:tblW w:w="4877" w:type="pct"/>
        <w:tblInd w:w="11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91"/>
        <w:gridCol w:w="3197"/>
        <w:gridCol w:w="27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706" w:type="pct"/>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iCs w:val="0"/>
                <w:color w:val="auto"/>
                <w:sz w:val="24"/>
                <w:szCs w:val="24"/>
                <w:u w:val="none"/>
                <w:lang w:val="en-US"/>
              </w:rPr>
            </w:pPr>
            <w:r>
              <w:rPr>
                <w:rFonts w:hint="eastAsia" w:ascii="黑体" w:hAnsi="黑体" w:eastAsia="黑体" w:cs="黑体"/>
                <w:i w:val="0"/>
                <w:iCs w:val="0"/>
                <w:color w:val="auto"/>
                <w:kern w:val="0"/>
                <w:sz w:val="24"/>
                <w:szCs w:val="24"/>
                <w:u w:val="none"/>
                <w:lang w:val="en-US" w:eastAsia="zh-CN" w:bidi="ar"/>
              </w:rPr>
              <w:t>一级目录</w:t>
            </w:r>
          </w:p>
        </w:tc>
        <w:tc>
          <w:tcPr>
            <w:tcW w:w="1764" w:type="pc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iCs w:val="0"/>
                <w:color w:val="auto"/>
                <w:kern w:val="0"/>
                <w:sz w:val="24"/>
                <w:szCs w:val="24"/>
                <w:u w:val="none"/>
                <w:lang w:val="en-US" w:eastAsia="zh-CN" w:bidi="ar"/>
              </w:rPr>
            </w:pPr>
            <w:r>
              <w:rPr>
                <w:rFonts w:hint="eastAsia" w:ascii="黑体" w:hAnsi="黑体" w:eastAsia="黑体" w:cs="黑体"/>
                <w:i w:val="0"/>
                <w:iCs w:val="0"/>
                <w:color w:val="auto"/>
                <w:kern w:val="0"/>
                <w:sz w:val="24"/>
                <w:szCs w:val="24"/>
                <w:u w:val="none"/>
                <w:lang w:val="en-US" w:eastAsia="zh-CN" w:bidi="ar"/>
              </w:rPr>
              <w:t>二级目录</w:t>
            </w:r>
          </w:p>
        </w:tc>
        <w:tc>
          <w:tcPr>
            <w:tcW w:w="1529" w:type="pct"/>
            <w:tcBorders>
              <w:left w:val="single" w:color="000000"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iCs w:val="0"/>
                <w:color w:val="auto"/>
                <w:kern w:val="0"/>
                <w:sz w:val="24"/>
                <w:szCs w:val="24"/>
                <w:u w:val="none"/>
                <w:lang w:val="en-US" w:eastAsia="zh-CN" w:bidi="ar"/>
              </w:rPr>
            </w:pPr>
            <w:r>
              <w:rPr>
                <w:rFonts w:hint="eastAsia" w:ascii="黑体" w:hAnsi="黑体" w:eastAsia="黑体" w:cs="黑体"/>
                <w:i w:val="0"/>
                <w:iCs w:val="0"/>
                <w:color w:val="auto"/>
                <w:kern w:val="0"/>
                <w:sz w:val="24"/>
                <w:szCs w:val="24"/>
                <w:u w:val="none"/>
                <w:lang w:val="en-US" w:eastAsia="zh-CN" w:bidi="ar"/>
              </w:rPr>
              <w:t>最高有效申报价（元）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1706" w:type="pct"/>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4"/>
                <w:szCs w:val="21"/>
                <w:lang w:val="en-US" w:eastAsia="zh-CN"/>
              </w:rPr>
            </w:pPr>
            <w:r>
              <w:rPr>
                <w:rFonts w:hint="eastAsia"/>
                <w:color w:val="auto"/>
                <w:sz w:val="24"/>
                <w:szCs w:val="21"/>
                <w:lang w:val="en-US" w:eastAsia="zh-CN"/>
              </w:rPr>
              <w:t>透明帽</w:t>
            </w:r>
          </w:p>
        </w:tc>
        <w:tc>
          <w:tcPr>
            <w:tcW w:w="1764" w:type="pct"/>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4"/>
                <w:szCs w:val="21"/>
                <w:lang w:val="en-US" w:eastAsia="zh-CN"/>
              </w:rPr>
            </w:pPr>
            <w:r>
              <w:rPr>
                <w:rFonts w:hint="eastAsia"/>
                <w:color w:val="auto"/>
                <w:sz w:val="24"/>
                <w:szCs w:val="21"/>
                <w:lang w:val="en-US" w:eastAsia="zh-CN"/>
              </w:rPr>
              <w:t>/</w:t>
            </w:r>
          </w:p>
        </w:tc>
        <w:tc>
          <w:tcPr>
            <w:tcW w:w="1529" w:type="pct"/>
            <w:tcBorders>
              <w:top w:val="single" w:color="auto" w:sz="4" w:space="0"/>
              <w:left w:val="single" w:color="auto" w:sz="4" w:space="0"/>
              <w:bottom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1706" w:type="pct"/>
            <w:vMerge w:val="restart"/>
            <w:tcBorders>
              <w:top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theme="minorBidi"/>
                <w:color w:val="auto"/>
                <w:kern w:val="2"/>
                <w:sz w:val="24"/>
                <w:szCs w:val="21"/>
                <w:lang w:val="en-US" w:eastAsia="zh-CN" w:bidi="ar-SA"/>
              </w:rPr>
            </w:pPr>
            <w:r>
              <w:rPr>
                <w:rFonts w:hint="eastAsia"/>
                <w:color w:val="auto"/>
                <w:sz w:val="24"/>
                <w:szCs w:val="21"/>
                <w:lang w:val="en-US" w:eastAsia="zh-CN"/>
              </w:rPr>
              <w:t>一次性乳头切开刀</w:t>
            </w:r>
          </w:p>
        </w:tc>
        <w:tc>
          <w:tcPr>
            <w:tcW w:w="1764"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theme="minorBidi"/>
                <w:color w:val="auto"/>
                <w:kern w:val="2"/>
                <w:sz w:val="24"/>
                <w:szCs w:val="21"/>
                <w:lang w:val="en-US" w:eastAsia="zh-CN" w:bidi="ar-SA"/>
              </w:rPr>
            </w:pPr>
            <w:r>
              <w:rPr>
                <w:rFonts w:hint="eastAsia"/>
                <w:color w:val="auto"/>
                <w:sz w:val="24"/>
                <w:szCs w:val="21"/>
                <w:lang w:val="en-US" w:eastAsia="zh-CN"/>
              </w:rPr>
              <w:t>双腔</w:t>
            </w:r>
          </w:p>
        </w:tc>
        <w:tc>
          <w:tcPr>
            <w:tcW w:w="1529" w:type="pct"/>
            <w:tcBorders>
              <w:top w:val="single" w:color="auto" w:sz="4" w:space="0"/>
              <w:left w:val="single" w:color="auto" w:sz="4" w:space="0"/>
              <w:bottom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仿宋_GB2312" w:hAnsi="仿宋_GB2312" w:eastAsia="仿宋_GB2312" w:cs="仿宋_GB2312"/>
                <w:i w:val="0"/>
                <w:iCs w:val="0"/>
                <w:color w:val="auto"/>
                <w:kern w:val="0"/>
                <w:sz w:val="28"/>
                <w:szCs w:val="28"/>
                <w:u w:val="none"/>
                <w:lang w:val="en-US" w:eastAsia="zh-CN" w:bidi="ar"/>
              </w:rPr>
            </w:pPr>
            <w:r>
              <w:rPr>
                <w:rFonts w:hint="eastAsia" w:cs="仿宋_GB2312"/>
                <w:i w:val="0"/>
                <w:iCs w:val="0"/>
                <w:color w:val="auto"/>
                <w:kern w:val="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706" w:type="pct"/>
            <w:vMerge w:val="continue"/>
            <w:tcBorders>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color w:val="auto"/>
                <w:sz w:val="24"/>
                <w:szCs w:val="21"/>
                <w:lang w:val="en-US" w:eastAsia="zh-CN"/>
              </w:rPr>
            </w:pPr>
          </w:p>
        </w:tc>
        <w:tc>
          <w:tcPr>
            <w:tcW w:w="1764"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theme="minorBidi"/>
                <w:color w:val="auto"/>
                <w:kern w:val="2"/>
                <w:sz w:val="24"/>
                <w:szCs w:val="21"/>
                <w:lang w:val="en-US" w:eastAsia="zh-CN" w:bidi="ar-SA"/>
              </w:rPr>
            </w:pPr>
            <w:r>
              <w:rPr>
                <w:rFonts w:hint="eastAsia"/>
                <w:color w:val="auto"/>
                <w:sz w:val="24"/>
                <w:szCs w:val="21"/>
                <w:lang w:val="en-US" w:eastAsia="zh-CN"/>
              </w:rPr>
              <w:t>三腔</w:t>
            </w:r>
          </w:p>
        </w:tc>
        <w:tc>
          <w:tcPr>
            <w:tcW w:w="1529" w:type="pct"/>
            <w:tcBorders>
              <w:top w:val="single" w:color="auto" w:sz="4" w:space="0"/>
              <w:left w:val="single" w:color="auto" w:sz="4" w:space="0"/>
              <w:bottom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p>
        </w:tc>
      </w:tr>
    </w:tbl>
    <w:p>
      <w:pPr>
        <w:pStyle w:val="4"/>
        <w:pageBreakBefore w:val="0"/>
        <w:kinsoku/>
        <w:wordWrap/>
        <w:overflowPunct/>
        <w:topLinePunct w:val="0"/>
        <w:bidi w:val="0"/>
        <w:snapToGrid/>
        <w:spacing w:line="560" w:lineRule="exact"/>
        <w:textAlignment w:val="auto"/>
        <w:rPr>
          <w:rFonts w:hint="eastAsia" w:ascii="黑体" w:hAnsi="黑体" w:eastAsia="黑体" w:cs="黑体"/>
          <w:color w:val="auto"/>
          <w:kern w:val="0"/>
          <w:szCs w:val="32"/>
          <w:lang w:val="en-US" w:eastAsia="zh-CN" w:bidi="ar"/>
        </w:rPr>
      </w:pPr>
      <w:bookmarkStart w:id="5" w:name="_Toc3235"/>
      <w:bookmarkStart w:id="6" w:name="_Toc17031"/>
      <w:r>
        <w:rPr>
          <w:rFonts w:hint="eastAsia"/>
          <w:color w:val="auto"/>
          <w:lang w:val="en-US" w:eastAsia="zh-CN"/>
        </w:rPr>
        <w:t>二、申报要求</w:t>
      </w:r>
      <w:bookmarkEnd w:id="5"/>
      <w:bookmarkEnd w:id="6"/>
    </w:p>
    <w:p>
      <w:pPr>
        <w:pStyle w:val="5"/>
        <w:pageBreakBefore w:val="0"/>
        <w:kinsoku/>
        <w:wordWrap/>
        <w:overflowPunct/>
        <w:topLinePunct w:val="0"/>
        <w:bidi w:val="0"/>
        <w:snapToGrid/>
        <w:spacing w:line="560" w:lineRule="exact"/>
        <w:textAlignment w:val="auto"/>
        <w:rPr>
          <w:rFonts w:hint="eastAsia"/>
          <w:color w:val="auto"/>
          <w:lang w:val="en-US" w:eastAsia="zh-CN"/>
        </w:rPr>
      </w:pPr>
      <w:r>
        <w:rPr>
          <w:rFonts w:hint="eastAsia"/>
          <w:color w:val="auto"/>
          <w:lang w:val="en-US" w:eastAsia="zh-CN"/>
        </w:rPr>
        <w:t>（一）申报企业资格及相关要求</w:t>
      </w:r>
    </w:p>
    <w:p>
      <w:pPr>
        <w:pageBreakBefore w:val="0"/>
        <w:widowControl w:val="0"/>
        <w:kinsoku/>
        <w:wordWrap/>
        <w:overflowPunct/>
        <w:topLinePunct w:val="0"/>
        <w:autoSpaceDE/>
        <w:autoSpaceDN/>
        <w:bidi w:val="0"/>
        <w:adjustRightInd/>
        <w:snapToGrid/>
        <w:spacing w:line="600" w:lineRule="exact"/>
        <w:textAlignment w:val="auto"/>
        <w:rPr>
          <w:rFonts w:hint="eastAsia"/>
          <w:color w:val="auto"/>
          <w:highlight w:val="none"/>
          <w:u w:val="none"/>
          <w:lang w:val="en-US" w:eastAsia="zh-CN"/>
        </w:rPr>
      </w:pPr>
      <w:r>
        <w:rPr>
          <w:rFonts w:hint="eastAsia"/>
          <w:color w:val="auto"/>
          <w:highlight w:val="none"/>
          <w:u w:val="none"/>
          <w:lang w:val="en-US" w:eastAsia="zh-CN"/>
        </w:rPr>
        <w:t>1.申报企业为已取得本次集中带量采购产品合法资质的医疗器械注册人（代理人）。其中，境外医疗器械注册人（代理人）应当指定我国境内企业法人协助其履行相应的法律义务，委托其作为申报企业。</w:t>
      </w:r>
      <w:r>
        <w:rPr>
          <w:rFonts w:hint="eastAsia" w:cs="仿宋_GB2312"/>
          <w:color w:val="auto"/>
          <w:szCs w:val="32"/>
          <w:highlight w:val="none"/>
          <w:u w:val="none"/>
        </w:rPr>
        <w:t>同一医疗器械注册证的产品不得委托不同企业进行申报。</w:t>
      </w:r>
      <w:r>
        <w:rPr>
          <w:rFonts w:hint="eastAsia"/>
          <w:color w:val="auto"/>
          <w:highlight w:val="none"/>
          <w:u w:val="none"/>
          <w:lang w:val="en-US" w:eastAsia="zh-CN"/>
        </w:rPr>
        <w:t>不同医疗器械注册人（代理人）由同一家企业申报的，则各医疗器械注册人（代理人）和该申报企业视为存在关联关系；不同医疗器械注册人（代理人）委托不同企业申报，但受托企业为同一实际控制人或存在控股关系，则视为企业间存在关联关系；不同医疗器械注册人（代理人）间，如为同一实际控制人或存在控股关系，则视为企业间存在关联关系。</w:t>
      </w:r>
    </w:p>
    <w:p>
      <w:pPr>
        <w:pageBreakBefore w:val="0"/>
        <w:kinsoku/>
        <w:wordWrap/>
        <w:overflowPunct/>
        <w:topLinePunct w:val="0"/>
        <w:bidi w:val="0"/>
        <w:snapToGrid/>
        <w:spacing w:line="600" w:lineRule="exact"/>
        <w:textAlignment w:val="auto"/>
        <w:rPr>
          <w:rFonts w:hint="eastAsia"/>
          <w:color w:val="auto"/>
          <w:highlight w:val="none"/>
          <w:u w:val="none"/>
          <w:lang w:val="en-US" w:eastAsia="zh-CN"/>
        </w:rPr>
      </w:pPr>
      <w:r>
        <w:rPr>
          <w:rFonts w:hint="eastAsia"/>
          <w:color w:val="auto"/>
          <w:highlight w:val="none"/>
          <w:u w:val="none"/>
          <w:lang w:val="en-US" w:eastAsia="zh-CN"/>
        </w:rPr>
        <w:t>2.申报企业和医疗器械注册人（代理人）未被列入当前《全国医药价格和招采失信企业风险警示名单》，未被联合采购办公室列入当前“违规名单”。</w:t>
      </w:r>
    </w:p>
    <w:p>
      <w:pPr>
        <w:pageBreakBefore w:val="0"/>
        <w:kinsoku/>
        <w:wordWrap/>
        <w:overflowPunct/>
        <w:topLinePunct w:val="0"/>
        <w:bidi w:val="0"/>
        <w:snapToGrid/>
        <w:spacing w:line="600" w:lineRule="exact"/>
        <w:textAlignment w:val="auto"/>
        <w:rPr>
          <w:rFonts w:hint="eastAsia"/>
          <w:color w:val="auto"/>
          <w:highlight w:val="none"/>
          <w:u w:val="none"/>
          <w:lang w:val="en-US" w:eastAsia="zh-CN"/>
        </w:rPr>
      </w:pPr>
      <w:r>
        <w:rPr>
          <w:rFonts w:hint="eastAsia"/>
          <w:color w:val="auto"/>
          <w:highlight w:val="none"/>
          <w:u w:val="none"/>
          <w:lang w:val="en-US" w:eastAsia="zh-CN"/>
        </w:rPr>
        <w:t>3.</w:t>
      </w:r>
      <w:r>
        <w:rPr>
          <w:rFonts w:hint="eastAsia" w:cs="仿宋_GB2312"/>
          <w:color w:val="auto"/>
          <w:szCs w:val="32"/>
          <w:highlight w:val="none"/>
          <w:u w:val="none"/>
        </w:rPr>
        <w:t>申报企业应遵守《中华人民共和国专利法》《中华人民共和国反垄断法》《中华人民共和国反不正当竞争法》等相关法律法规，并承担相关法律责任。</w:t>
      </w:r>
    </w:p>
    <w:p>
      <w:pPr>
        <w:pageBreakBefore w:val="0"/>
        <w:kinsoku/>
        <w:wordWrap/>
        <w:overflowPunct/>
        <w:topLinePunct w:val="0"/>
        <w:bidi w:val="0"/>
        <w:snapToGrid/>
        <w:spacing w:line="600" w:lineRule="exact"/>
        <w:textAlignment w:val="auto"/>
        <w:rPr>
          <w:rFonts w:hint="eastAsia"/>
          <w:color w:val="auto"/>
          <w:highlight w:val="none"/>
          <w:u w:val="none"/>
          <w:lang w:val="en-US" w:eastAsia="zh-CN"/>
        </w:rPr>
      </w:pPr>
      <w:r>
        <w:rPr>
          <w:rFonts w:hint="eastAsia"/>
          <w:color w:val="auto"/>
          <w:highlight w:val="none"/>
          <w:u w:val="none"/>
          <w:lang w:val="en-US" w:eastAsia="zh-CN"/>
        </w:rPr>
        <w:t>4.申报企业须在本次集中带量采购过程中依据医药价格和招采信用评价制度向联盟采购办公室作出承诺，该承诺或将根据工作需要进行公开。</w:t>
      </w:r>
    </w:p>
    <w:p>
      <w:pPr>
        <w:pageBreakBefore w:val="0"/>
        <w:kinsoku/>
        <w:wordWrap/>
        <w:overflowPunct/>
        <w:topLinePunct w:val="0"/>
        <w:bidi w:val="0"/>
        <w:snapToGrid/>
        <w:spacing w:line="600" w:lineRule="exact"/>
        <w:ind w:firstLine="640"/>
        <w:jc w:val="both"/>
        <w:textAlignment w:val="auto"/>
        <w:rPr>
          <w:rFonts w:hint="eastAsia" w:cs="仿宋_GB2312"/>
          <w:color w:val="auto"/>
          <w:szCs w:val="32"/>
          <w:highlight w:val="none"/>
          <w:u w:val="none"/>
        </w:rPr>
      </w:pPr>
      <w:r>
        <w:rPr>
          <w:rFonts w:hint="eastAsia" w:cs="仿宋_GB2312"/>
          <w:color w:val="auto"/>
          <w:szCs w:val="32"/>
          <w:highlight w:val="none"/>
          <w:u w:val="none"/>
          <w:lang w:val="en-US" w:eastAsia="zh-CN"/>
        </w:rPr>
        <w:t>5</w:t>
      </w:r>
      <w:r>
        <w:rPr>
          <w:rFonts w:hint="eastAsia" w:cs="仿宋_GB2312"/>
          <w:color w:val="auto"/>
          <w:szCs w:val="32"/>
          <w:highlight w:val="none"/>
          <w:u w:val="none"/>
        </w:rPr>
        <w:t>.申报企业须确保在采购周期内满足采购地区的约定采购量需求。</w:t>
      </w:r>
    </w:p>
    <w:p>
      <w:pPr>
        <w:pageBreakBefore w:val="0"/>
        <w:widowControl/>
        <w:kinsoku/>
        <w:wordWrap/>
        <w:overflowPunct/>
        <w:topLinePunct w:val="0"/>
        <w:bidi w:val="0"/>
        <w:snapToGrid/>
        <w:spacing w:line="600" w:lineRule="exact"/>
        <w:ind w:firstLine="640"/>
        <w:jc w:val="both"/>
        <w:textAlignment w:val="auto"/>
        <w:rPr>
          <w:rFonts w:hint="eastAsia"/>
          <w:color w:val="auto"/>
          <w:highlight w:val="none"/>
          <w:u w:val="none"/>
          <w:lang w:val="en-US" w:eastAsia="zh-CN"/>
        </w:rPr>
      </w:pPr>
      <w:r>
        <w:rPr>
          <w:rFonts w:hint="eastAsia" w:cs="仿宋_GB2312"/>
          <w:color w:val="auto"/>
          <w:szCs w:val="32"/>
          <w:highlight w:val="none"/>
          <w:u w:val="none"/>
          <w:lang w:val="en-US" w:eastAsia="zh-CN"/>
        </w:rPr>
        <w:t>6</w:t>
      </w:r>
      <w:r>
        <w:rPr>
          <w:rFonts w:hint="eastAsia" w:cs="仿宋_GB2312"/>
          <w:color w:val="auto"/>
          <w:szCs w:val="32"/>
          <w:highlight w:val="none"/>
          <w:u w:val="none"/>
        </w:rPr>
        <w:t>.申报企业应认真填写产品供应清单，</w:t>
      </w:r>
      <w:r>
        <w:rPr>
          <w:rFonts w:hint="eastAsia" w:cs="仿宋_GB2312"/>
          <w:color w:val="auto"/>
          <w:szCs w:val="32"/>
          <w:highlight w:val="none"/>
          <w:u w:val="none"/>
          <w:lang w:val="en-US" w:eastAsia="zh-CN"/>
        </w:rPr>
        <w:t>集中带量采购周期内，中选企业属于采购目录范围但在供应清单之外的集中带量采购产品暂停挂网交易。</w:t>
      </w:r>
    </w:p>
    <w:p>
      <w:pPr>
        <w:pageBreakBefore w:val="0"/>
        <w:widowControl/>
        <w:kinsoku/>
        <w:wordWrap/>
        <w:overflowPunct/>
        <w:topLinePunct w:val="0"/>
        <w:bidi w:val="0"/>
        <w:snapToGrid/>
        <w:spacing w:line="600" w:lineRule="exact"/>
        <w:ind w:firstLine="640"/>
        <w:jc w:val="both"/>
        <w:textAlignment w:val="auto"/>
        <w:rPr>
          <w:rFonts w:hint="eastAsia" w:cs="仿宋_GB2312"/>
          <w:color w:val="auto"/>
          <w:szCs w:val="32"/>
          <w:highlight w:val="none"/>
          <w:u w:val="none"/>
          <w:lang w:val="en-US" w:eastAsia="zh-CN"/>
        </w:rPr>
      </w:pPr>
      <w:r>
        <w:rPr>
          <w:rFonts w:hint="eastAsia" w:cs="仿宋_GB2312"/>
          <w:color w:val="auto"/>
          <w:szCs w:val="32"/>
          <w:highlight w:val="none"/>
          <w:u w:val="none"/>
          <w:lang w:val="en-US" w:eastAsia="zh-CN"/>
        </w:rPr>
        <w:t>7.申报企业须保持集采前后伴随服务供给的连续性，服务内容及费用标准不得变化。</w:t>
      </w:r>
    </w:p>
    <w:p>
      <w:pPr>
        <w:keepNext w:val="0"/>
        <w:keepLines w:val="0"/>
        <w:pageBreakBefore w:val="0"/>
        <w:widowControl w:val="0"/>
        <w:kinsoku/>
        <w:wordWrap/>
        <w:overflowPunct/>
        <w:topLinePunct w:val="0"/>
        <w:bidi w:val="0"/>
        <w:snapToGrid/>
        <w:spacing w:line="600" w:lineRule="exact"/>
        <w:textAlignment w:val="auto"/>
        <w:rPr>
          <w:rFonts w:hint="eastAsia"/>
          <w:color w:val="auto"/>
          <w:sz w:val="32"/>
          <w:szCs w:val="32"/>
          <w:highlight w:val="none"/>
          <w:u w:val="none"/>
          <w:lang w:val="en-US" w:eastAsia="zh-CN"/>
        </w:rPr>
      </w:pPr>
      <w:r>
        <w:rPr>
          <w:rFonts w:hint="eastAsia"/>
          <w:color w:val="auto"/>
          <w:sz w:val="32"/>
          <w:szCs w:val="32"/>
          <w:highlight w:val="none"/>
          <w:u w:val="none"/>
          <w:lang w:val="en-US" w:eastAsia="zh-CN"/>
        </w:rPr>
        <w:t>8.申报企业在规定时间内完成相应操作的，为有效申报企业，可参与竞价。</w:t>
      </w:r>
    </w:p>
    <w:p>
      <w:pPr>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kern w:val="0"/>
          <w:sz w:val="32"/>
          <w:szCs w:val="32"/>
          <w:highlight w:val="none"/>
          <w:u w:val="none"/>
          <w:lang w:bidi="ar"/>
        </w:rPr>
      </w:pPr>
      <w:r>
        <w:rPr>
          <w:rFonts w:hint="eastAsia" w:ascii="仿宋_GB2312" w:hAnsi="仿宋_GB2312" w:eastAsia="仿宋_GB2312" w:cs="仿宋_GB2312"/>
          <w:color w:val="auto"/>
          <w:kern w:val="0"/>
          <w:sz w:val="32"/>
          <w:szCs w:val="32"/>
          <w:highlight w:val="none"/>
          <w:u w:val="none"/>
          <w:lang w:val="en-US" w:eastAsia="zh-CN" w:bidi="ar"/>
        </w:rPr>
        <w:t>9.</w:t>
      </w:r>
      <w:r>
        <w:rPr>
          <w:rFonts w:hint="eastAsia" w:ascii="仿宋_GB2312" w:hAnsi="仿宋_GB2312" w:eastAsia="仿宋_GB2312" w:cs="仿宋_GB2312"/>
          <w:color w:val="auto"/>
          <w:kern w:val="0"/>
          <w:sz w:val="32"/>
          <w:szCs w:val="32"/>
          <w:highlight w:val="none"/>
          <w:u w:val="none"/>
          <w:lang w:bidi="ar"/>
        </w:rPr>
        <w:t>同时投标规则。同企业不同品种在同一注册证的，企业应根据规格型号区分品种后进行分组投标。其他属于以下情况的，企业可同时投标。</w:t>
      </w:r>
    </w:p>
    <w:p>
      <w:pPr>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kern w:val="0"/>
          <w:sz w:val="32"/>
          <w:szCs w:val="32"/>
          <w:highlight w:val="none"/>
          <w:u w:val="none"/>
          <w:lang w:bidi="ar"/>
        </w:rPr>
      </w:pPr>
      <w:r>
        <w:rPr>
          <w:rFonts w:hint="eastAsia" w:ascii="仿宋_GB2312" w:hAnsi="仿宋_GB2312" w:eastAsia="仿宋_GB2312" w:cs="仿宋_GB2312"/>
          <w:color w:val="auto"/>
          <w:kern w:val="0"/>
          <w:sz w:val="32"/>
          <w:szCs w:val="32"/>
          <w:highlight w:val="none"/>
          <w:u w:val="none"/>
          <w:lang w:eastAsia="zh-CN" w:bidi="ar"/>
        </w:rPr>
        <w:t>（</w:t>
      </w:r>
      <w:r>
        <w:rPr>
          <w:rFonts w:hint="eastAsia" w:ascii="仿宋_GB2312" w:hAnsi="仿宋_GB2312" w:eastAsia="仿宋_GB2312" w:cs="仿宋_GB2312"/>
          <w:color w:val="auto"/>
          <w:kern w:val="0"/>
          <w:sz w:val="32"/>
          <w:szCs w:val="32"/>
          <w:highlight w:val="none"/>
          <w:u w:val="none"/>
          <w:lang w:val="en-US" w:eastAsia="zh-CN" w:bidi="ar"/>
        </w:rPr>
        <w:t>1</w:t>
      </w:r>
      <w:r>
        <w:rPr>
          <w:rFonts w:hint="eastAsia" w:ascii="仿宋_GB2312" w:hAnsi="仿宋_GB2312" w:eastAsia="仿宋_GB2312" w:cs="仿宋_GB2312"/>
          <w:color w:val="auto"/>
          <w:kern w:val="0"/>
          <w:sz w:val="32"/>
          <w:szCs w:val="32"/>
          <w:highlight w:val="none"/>
          <w:u w:val="none"/>
          <w:lang w:eastAsia="zh-CN" w:bidi="ar"/>
        </w:rPr>
        <w:t>）</w:t>
      </w:r>
      <w:r>
        <w:rPr>
          <w:rFonts w:hint="eastAsia" w:ascii="仿宋_GB2312" w:hAnsi="仿宋_GB2312" w:eastAsia="仿宋_GB2312" w:cs="仿宋_GB2312"/>
          <w:color w:val="auto"/>
          <w:kern w:val="0"/>
          <w:sz w:val="32"/>
          <w:szCs w:val="32"/>
          <w:highlight w:val="none"/>
          <w:u w:val="none"/>
          <w:lang w:bidi="ar"/>
        </w:rPr>
        <w:t>同一品种内同一企业有不同注册证的；</w:t>
      </w:r>
    </w:p>
    <w:p>
      <w:pPr>
        <w:pageBreakBefore w:val="0"/>
        <w:widowControl w:val="0"/>
        <w:kinsoku/>
        <w:wordWrap/>
        <w:overflowPunct/>
        <w:topLinePunct w:val="0"/>
        <w:autoSpaceDE/>
        <w:autoSpaceDN/>
        <w:bidi w:val="0"/>
        <w:adjustRightInd/>
        <w:snapToGrid/>
        <w:spacing w:line="600" w:lineRule="exact"/>
        <w:textAlignment w:val="auto"/>
        <w:rPr>
          <w:rFonts w:hint="eastAsia"/>
          <w:sz w:val="32"/>
          <w:szCs w:val="32"/>
          <w:lang w:val="en-US" w:eastAsia="zh-CN"/>
        </w:rPr>
      </w:pPr>
      <w:r>
        <w:rPr>
          <w:rFonts w:hint="eastAsia" w:ascii="仿宋_GB2312" w:hAnsi="仿宋_GB2312" w:eastAsia="仿宋_GB2312" w:cs="仿宋_GB2312"/>
          <w:color w:val="auto"/>
          <w:kern w:val="0"/>
          <w:sz w:val="32"/>
          <w:szCs w:val="32"/>
          <w:highlight w:val="none"/>
          <w:u w:val="none"/>
          <w:lang w:eastAsia="zh-CN" w:bidi="ar"/>
        </w:rPr>
        <w:t>（</w:t>
      </w:r>
      <w:r>
        <w:rPr>
          <w:rFonts w:hint="eastAsia" w:ascii="仿宋_GB2312" w:hAnsi="仿宋_GB2312" w:eastAsia="仿宋_GB2312" w:cs="仿宋_GB2312"/>
          <w:color w:val="auto"/>
          <w:kern w:val="0"/>
          <w:sz w:val="32"/>
          <w:szCs w:val="32"/>
          <w:highlight w:val="none"/>
          <w:u w:val="none"/>
          <w:lang w:val="en-US" w:eastAsia="zh-CN" w:bidi="ar"/>
        </w:rPr>
        <w:t>2</w:t>
      </w:r>
      <w:r>
        <w:rPr>
          <w:rFonts w:hint="eastAsia" w:ascii="仿宋_GB2312" w:hAnsi="仿宋_GB2312" w:eastAsia="仿宋_GB2312" w:cs="仿宋_GB2312"/>
          <w:color w:val="auto"/>
          <w:kern w:val="0"/>
          <w:sz w:val="32"/>
          <w:szCs w:val="32"/>
          <w:highlight w:val="none"/>
          <w:u w:val="none"/>
          <w:lang w:eastAsia="zh-CN" w:bidi="ar"/>
        </w:rPr>
        <w:t>）</w:t>
      </w:r>
      <w:r>
        <w:rPr>
          <w:rFonts w:hint="eastAsia" w:ascii="仿宋_GB2312" w:hAnsi="仿宋_GB2312" w:eastAsia="仿宋_GB2312" w:cs="仿宋_GB2312"/>
          <w:color w:val="auto"/>
          <w:kern w:val="0"/>
          <w:sz w:val="32"/>
          <w:szCs w:val="32"/>
          <w:highlight w:val="none"/>
          <w:u w:val="none"/>
          <w:lang w:bidi="ar"/>
        </w:rPr>
        <w:t>同一企业同一注册证有不同二级目录产品的。</w:t>
      </w:r>
    </w:p>
    <w:p>
      <w:pPr>
        <w:pStyle w:val="5"/>
        <w:bidi w:val="0"/>
        <w:rPr>
          <w:rFonts w:hint="eastAsia"/>
          <w:lang w:val="en-US" w:eastAsia="zh-CN"/>
        </w:rPr>
      </w:pPr>
      <w:r>
        <w:rPr>
          <w:rFonts w:hint="eastAsia"/>
          <w:lang w:val="en-US" w:eastAsia="zh-CN"/>
        </w:rPr>
        <w:t>（二）申报产品资格要求</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Times New Roman"/>
          <w:color w:val="auto"/>
          <w:kern w:val="2"/>
          <w:sz w:val="32"/>
          <w:szCs w:val="24"/>
          <w:highlight w:val="none"/>
          <w:u w:val="none"/>
          <w:lang w:val="en-US" w:eastAsia="zh-CN" w:bidi="ar-SA"/>
        </w:rPr>
      </w:pPr>
      <w:bookmarkStart w:id="7" w:name="_Toc4700"/>
      <w:r>
        <w:rPr>
          <w:rFonts w:hint="eastAsia" w:ascii="仿宋_GB2312" w:hAnsi="仿宋_GB2312" w:eastAsia="仿宋_GB2312" w:cs="Times New Roman"/>
          <w:color w:val="auto"/>
          <w:kern w:val="2"/>
          <w:sz w:val="32"/>
          <w:szCs w:val="24"/>
          <w:highlight w:val="none"/>
          <w:u w:val="none"/>
          <w:lang w:val="en-US" w:eastAsia="zh-CN" w:bidi="ar-SA"/>
        </w:rPr>
        <w:t>1.申报产品属于采购产品范围，并获得有效中华人民共和国医疗器械注册证。</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Times New Roman"/>
          <w:color w:val="auto"/>
          <w:kern w:val="2"/>
          <w:sz w:val="32"/>
          <w:szCs w:val="24"/>
          <w:highlight w:val="none"/>
          <w:u w:val="none"/>
          <w:lang w:val="en-US" w:eastAsia="zh-CN" w:bidi="ar-SA"/>
        </w:rPr>
      </w:pPr>
      <w:r>
        <w:rPr>
          <w:rFonts w:hint="eastAsia" w:ascii="仿宋_GB2312" w:hAnsi="仿宋_GB2312" w:eastAsia="仿宋_GB2312" w:cs="Times New Roman"/>
          <w:color w:val="auto"/>
          <w:kern w:val="2"/>
          <w:sz w:val="32"/>
          <w:szCs w:val="24"/>
          <w:highlight w:val="none"/>
          <w:u w:val="none"/>
          <w:lang w:val="en-US" w:eastAsia="zh-CN" w:bidi="ar-SA"/>
        </w:rPr>
        <w:t>2.申报产品应当符合国家有关部门的质量标准要求，并按国家有关部门要求组织生产。</w:t>
      </w:r>
    </w:p>
    <w:p>
      <w:pPr>
        <w:pStyle w:val="4"/>
        <w:pageBreakBefore w:val="0"/>
        <w:kinsoku/>
        <w:wordWrap/>
        <w:overflowPunct/>
        <w:topLinePunct w:val="0"/>
        <w:bidi w:val="0"/>
        <w:snapToGrid/>
        <w:spacing w:line="560" w:lineRule="exact"/>
        <w:textAlignment w:val="auto"/>
        <w:rPr>
          <w:rFonts w:hint="default" w:ascii="黑体" w:hAnsi="黑体" w:eastAsia="黑体" w:cs="黑体"/>
          <w:color w:val="auto"/>
          <w:kern w:val="0"/>
          <w:szCs w:val="32"/>
          <w:lang w:val="en-US" w:eastAsia="zh-CN" w:bidi="ar"/>
        </w:rPr>
      </w:pPr>
      <w:bookmarkStart w:id="8" w:name="_Toc15545"/>
      <w:r>
        <w:rPr>
          <w:rFonts w:hint="eastAsia"/>
          <w:color w:val="auto"/>
          <w:lang w:val="en-US" w:eastAsia="zh-CN"/>
        </w:rPr>
        <w:t>三</w:t>
      </w:r>
      <w:r>
        <w:rPr>
          <w:color w:val="auto"/>
        </w:rPr>
        <w:t>、</w:t>
      </w:r>
      <w:r>
        <w:rPr>
          <w:rFonts w:hint="eastAsia"/>
          <w:color w:val="auto"/>
          <w:lang w:val="en-US" w:eastAsia="zh-CN"/>
        </w:rPr>
        <w:t>采购周期与采购协议</w:t>
      </w:r>
      <w:bookmarkEnd w:id="7"/>
      <w:bookmarkEnd w:id="8"/>
    </w:p>
    <w:p>
      <w:pPr>
        <w:pageBreakBefore w:val="0"/>
        <w:kinsoku/>
        <w:wordWrap/>
        <w:overflowPunct/>
        <w:topLinePunct w:val="0"/>
        <w:bidi w:val="0"/>
        <w:snapToGrid/>
        <w:spacing w:line="600" w:lineRule="exact"/>
        <w:ind w:firstLine="640"/>
        <w:jc w:val="both"/>
        <w:textAlignment w:val="auto"/>
        <w:rPr>
          <w:rFonts w:hint="eastAsia" w:cs="仿宋_GB2312"/>
          <w:color w:val="auto"/>
          <w:szCs w:val="32"/>
          <w:highlight w:val="none"/>
          <w:u w:val="none"/>
        </w:rPr>
      </w:pPr>
      <w:bookmarkStart w:id="9" w:name="_Toc26855"/>
      <w:r>
        <w:rPr>
          <w:rFonts w:hint="eastAsia"/>
          <w:color w:val="auto"/>
          <w:highlight w:val="none"/>
          <w:u w:val="none"/>
          <w:lang w:val="en-US" w:eastAsia="zh-CN"/>
        </w:rPr>
        <w:t>（一）</w:t>
      </w:r>
      <w:r>
        <w:rPr>
          <w:rFonts w:hint="eastAsia" w:cs="仿宋_GB2312"/>
          <w:color w:val="auto"/>
          <w:szCs w:val="32"/>
          <w:highlight w:val="none"/>
          <w:u w:val="none"/>
        </w:rPr>
        <w:t>采购周期自中选结果执行日起计算，原则上为12个月。到期后可根据采购和供应等实际情况延长采购期限，延长采购期限原则上为12个月。</w:t>
      </w:r>
    </w:p>
    <w:p>
      <w:pPr>
        <w:pStyle w:val="2"/>
        <w:pageBreakBefore w:val="0"/>
        <w:kinsoku/>
        <w:wordWrap/>
        <w:overflowPunct/>
        <w:topLinePunct w:val="0"/>
        <w:bidi w:val="0"/>
        <w:snapToGrid/>
        <w:spacing w:line="600" w:lineRule="exact"/>
        <w:ind w:firstLine="640" w:firstLineChars="200"/>
        <w:textAlignment w:val="auto"/>
        <w:rPr>
          <w:rFonts w:hint="eastAsia"/>
          <w:color w:val="auto"/>
          <w:highlight w:val="none"/>
          <w:u w:val="none"/>
        </w:rPr>
      </w:pPr>
      <w:r>
        <w:rPr>
          <w:rFonts w:hint="eastAsia" w:ascii="仿宋_GB2312" w:eastAsia="仿宋_GB2312"/>
          <w:color w:val="auto"/>
          <w:sz w:val="32"/>
          <w:szCs w:val="32"/>
          <w:highlight w:val="none"/>
          <w:u w:val="none"/>
          <w:lang w:eastAsia="zh-CN"/>
        </w:rPr>
        <w:t>（二）采购周期内采购协议每年一签。续签采购协议时,约定采购量原则上不少于各地该中选</w:t>
      </w:r>
      <w:r>
        <w:rPr>
          <w:rFonts w:hint="eastAsia" w:ascii="仿宋_GB2312" w:eastAsia="仿宋_GB2312"/>
          <w:color w:val="auto"/>
          <w:sz w:val="32"/>
          <w:szCs w:val="32"/>
          <w:highlight w:val="none"/>
          <w:u w:val="none"/>
          <w:lang w:val="en-US" w:eastAsia="zh-CN"/>
        </w:rPr>
        <w:t>产品</w:t>
      </w:r>
      <w:r>
        <w:rPr>
          <w:rFonts w:hint="eastAsia" w:ascii="仿宋_GB2312" w:eastAsia="仿宋_GB2312"/>
          <w:color w:val="auto"/>
          <w:sz w:val="32"/>
          <w:szCs w:val="32"/>
          <w:highlight w:val="none"/>
          <w:u w:val="none"/>
          <w:lang w:eastAsia="zh-CN"/>
        </w:rPr>
        <w:t>上年约定采购量。</w:t>
      </w:r>
    </w:p>
    <w:p>
      <w:pPr>
        <w:pageBreakBefore w:val="0"/>
        <w:kinsoku/>
        <w:wordWrap/>
        <w:overflowPunct/>
        <w:topLinePunct w:val="0"/>
        <w:bidi w:val="0"/>
        <w:snapToGrid/>
        <w:spacing w:line="600" w:lineRule="exact"/>
        <w:ind w:firstLine="640"/>
        <w:jc w:val="both"/>
        <w:textAlignment w:val="auto"/>
        <w:rPr>
          <w:rFonts w:hint="eastAsia" w:cs="仿宋_GB2312"/>
          <w:color w:val="auto"/>
          <w:szCs w:val="32"/>
          <w:highlight w:val="none"/>
          <w:u w:val="none"/>
        </w:rPr>
      </w:pPr>
      <w:r>
        <w:rPr>
          <w:rFonts w:hint="eastAsia" w:ascii="仿宋_GB2312" w:hAnsi="仿宋_GB2312" w:eastAsia="仿宋_GB2312" w:cs="仿宋_GB2312"/>
          <w:color w:val="auto"/>
          <w:sz w:val="32"/>
          <w:szCs w:val="32"/>
          <w:highlight w:val="none"/>
          <w:u w:val="none"/>
        </w:rPr>
        <w:t>（</w:t>
      </w:r>
      <w:r>
        <w:rPr>
          <w:rFonts w:hint="eastAsia" w:cs="仿宋_GB2312"/>
          <w:color w:val="auto"/>
          <w:sz w:val="32"/>
          <w:szCs w:val="32"/>
          <w:highlight w:val="none"/>
          <w:u w:val="none"/>
          <w:lang w:val="en-US" w:eastAsia="zh-CN"/>
        </w:rPr>
        <w:t>三</w:t>
      </w:r>
      <w:r>
        <w:rPr>
          <w:rFonts w:hint="eastAsia" w:ascii="仿宋_GB2312" w:hAnsi="仿宋_GB2312" w:eastAsia="仿宋_GB2312" w:cs="仿宋_GB2312"/>
          <w:color w:val="auto"/>
          <w:sz w:val="32"/>
          <w:szCs w:val="32"/>
          <w:highlight w:val="none"/>
          <w:u w:val="none"/>
        </w:rPr>
        <w:t>）</w:t>
      </w:r>
      <w:r>
        <w:rPr>
          <w:rFonts w:hint="eastAsia" w:cs="仿宋_GB2312"/>
          <w:color w:val="auto"/>
          <w:szCs w:val="32"/>
          <w:highlight w:val="none"/>
          <w:u w:val="none"/>
        </w:rPr>
        <w:t>采购周期内医疗机构完成约定采购量后，超出约定采购量的部分，中选企业仍需按中选价格进行供应，直至采购周期届满。</w:t>
      </w:r>
    </w:p>
    <w:p>
      <w:pPr>
        <w:pStyle w:val="4"/>
        <w:pageBreakBefore w:val="0"/>
        <w:kinsoku/>
        <w:wordWrap/>
        <w:overflowPunct/>
        <w:topLinePunct w:val="0"/>
        <w:bidi w:val="0"/>
        <w:snapToGrid/>
        <w:spacing w:line="560" w:lineRule="exact"/>
        <w:textAlignment w:val="auto"/>
        <w:rPr>
          <w:rFonts w:hint="eastAsia"/>
          <w:color w:val="auto"/>
          <w:lang w:val="en-US" w:eastAsia="zh-CN"/>
        </w:rPr>
      </w:pPr>
      <w:bookmarkStart w:id="10" w:name="_Toc22416"/>
      <w:r>
        <w:rPr>
          <w:rFonts w:hint="eastAsia"/>
          <w:color w:val="auto"/>
          <w:lang w:val="en-US" w:eastAsia="zh-CN"/>
        </w:rPr>
        <w:t>四、</w:t>
      </w:r>
      <w:bookmarkEnd w:id="9"/>
      <w:r>
        <w:rPr>
          <w:rFonts w:hint="eastAsia"/>
          <w:color w:val="auto"/>
          <w:lang w:val="en-US" w:eastAsia="zh-CN"/>
        </w:rPr>
        <w:t>采购执行说明</w:t>
      </w:r>
      <w:bookmarkEnd w:id="1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bookmarkStart w:id="11" w:name="_Toc10847"/>
      <w:r>
        <w:rPr>
          <w:rFonts w:hint="eastAsia" w:ascii="仿宋_GB2312" w:hAnsi="仿宋_GB2312" w:eastAsia="仿宋_GB2312" w:cs="仿宋_GB2312"/>
          <w:color w:val="auto"/>
          <w:sz w:val="32"/>
          <w:szCs w:val="32"/>
          <w:highlight w:val="none"/>
          <w:u w:val="none"/>
        </w:rPr>
        <w:t>（一）采购周期内，医疗机构优先使用本次</w:t>
      </w:r>
      <w:r>
        <w:rPr>
          <w:rFonts w:hint="eastAsia" w:cs="仿宋_GB2312"/>
          <w:color w:val="auto"/>
          <w:sz w:val="32"/>
          <w:szCs w:val="32"/>
          <w:highlight w:val="none"/>
          <w:u w:val="none"/>
          <w:lang w:eastAsia="zh-CN"/>
        </w:rPr>
        <w:t>医用</w:t>
      </w:r>
      <w:r>
        <w:rPr>
          <w:rFonts w:hint="eastAsia" w:ascii="仿宋_GB2312" w:hAnsi="仿宋_GB2312" w:eastAsia="仿宋_GB2312" w:cs="仿宋_GB2312"/>
          <w:color w:val="auto"/>
          <w:sz w:val="32"/>
          <w:szCs w:val="32"/>
          <w:highlight w:val="none"/>
          <w:u w:val="none"/>
        </w:rPr>
        <w:t>耗材集中带量采购中选产品，并确保完成</w:t>
      </w:r>
      <w:r>
        <w:rPr>
          <w:rFonts w:hint="eastAsia" w:cs="仿宋_GB2312"/>
          <w:color w:val="auto"/>
          <w:szCs w:val="32"/>
          <w:highlight w:val="none"/>
          <w:u w:val="none"/>
          <w:lang w:eastAsia="zh-CN"/>
        </w:rPr>
        <w:t>约定</w:t>
      </w:r>
      <w:r>
        <w:rPr>
          <w:rFonts w:hint="eastAsia" w:cs="仿宋_GB2312"/>
          <w:color w:val="auto"/>
          <w:szCs w:val="32"/>
          <w:highlight w:val="none"/>
          <w:u w:val="none"/>
        </w:rPr>
        <w:t>采购量</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cs="仿宋_GB2312"/>
          <w:color w:val="auto"/>
          <w:sz w:val="32"/>
          <w:szCs w:val="32"/>
          <w:highlight w:val="none"/>
          <w:u w:val="none"/>
          <w:lang w:val="en-US" w:eastAsia="zh-CN"/>
        </w:rPr>
        <w:t>（二）</w:t>
      </w:r>
      <w:r>
        <w:rPr>
          <w:rFonts w:hint="eastAsia" w:ascii="仿宋_GB2312" w:hAnsi="仿宋_GB2312" w:eastAsia="仿宋_GB2312" w:cs="仿宋_GB2312"/>
          <w:color w:val="auto"/>
          <w:sz w:val="32"/>
          <w:szCs w:val="32"/>
          <w:highlight w:val="none"/>
          <w:u w:val="none"/>
        </w:rPr>
        <w:t>采购周期内，如中选产品注册证更新，中选资格及中选价格维持不变。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w:t>
      </w:r>
      <w:r>
        <w:rPr>
          <w:rFonts w:hint="eastAsia" w:cs="仿宋_GB2312"/>
          <w:color w:val="auto"/>
          <w:sz w:val="32"/>
          <w:szCs w:val="32"/>
          <w:highlight w:val="none"/>
          <w:u w:val="none"/>
          <w:lang w:val="en-US" w:eastAsia="zh-CN"/>
        </w:rPr>
        <w:t>三</w:t>
      </w:r>
      <w:r>
        <w:rPr>
          <w:rFonts w:hint="eastAsia" w:ascii="仿宋_GB2312" w:hAnsi="仿宋_GB2312" w:eastAsia="仿宋_GB2312" w:cs="仿宋_GB2312"/>
          <w:color w:val="auto"/>
          <w:sz w:val="32"/>
          <w:szCs w:val="32"/>
          <w:highlight w:val="none"/>
          <w:u w:val="none"/>
        </w:rPr>
        <w:t>）企业未申报的产品和未中选企业的产品均视为未中选产品。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rPr>
        <w:t>（</w:t>
      </w:r>
      <w:r>
        <w:rPr>
          <w:rFonts w:hint="eastAsia" w:cs="仿宋_GB2312"/>
          <w:color w:val="auto"/>
          <w:sz w:val="32"/>
          <w:szCs w:val="32"/>
          <w:highlight w:val="none"/>
          <w:u w:val="none"/>
          <w:lang w:val="en-US" w:eastAsia="zh-CN"/>
        </w:rPr>
        <w:t>四</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采购周期内，各中选企业须按照各产品中选价格统一供应联盟采购地区，提前完成采购需求量的，超过部分中选企业仍应按中选价格进行供应。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rPr>
        <w:t>（</w:t>
      </w:r>
      <w:r>
        <w:rPr>
          <w:rFonts w:hint="eastAsia" w:cs="仿宋_GB2312"/>
          <w:color w:val="auto"/>
          <w:sz w:val="32"/>
          <w:szCs w:val="32"/>
          <w:highlight w:val="none"/>
          <w:u w:val="none"/>
          <w:lang w:val="en-US" w:eastAsia="zh-CN"/>
        </w:rPr>
        <w:t>五</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采购周期内如同一产品在国家组织的带量采购中形成新的低价，其中选价格生效以后，本次采购尚未执行的采购量，按国家中选价格执行；如同一产品在国内其他省级（含省际联盟）带量采购中形成新的低价，相关企业应主动向联盟采购办公室提交书面申请，本次采购尚未执行的采购量，按新的低价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rPr>
        <w:t>（</w:t>
      </w:r>
      <w:r>
        <w:rPr>
          <w:rFonts w:hint="eastAsia" w:cs="仿宋_GB2312"/>
          <w:color w:val="auto"/>
          <w:sz w:val="32"/>
          <w:szCs w:val="32"/>
          <w:highlight w:val="none"/>
          <w:u w:val="none"/>
          <w:lang w:val="en-US" w:eastAsia="zh-CN"/>
        </w:rPr>
        <w:t>六</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各采购</w:t>
      </w:r>
      <w:r>
        <w:rPr>
          <w:rFonts w:hint="eastAsia" w:cs="仿宋_GB2312"/>
          <w:color w:val="auto"/>
          <w:sz w:val="32"/>
          <w:szCs w:val="32"/>
          <w:highlight w:val="none"/>
          <w:u w:val="none"/>
          <w:lang w:val="en-US" w:eastAsia="zh-CN"/>
        </w:rPr>
        <w:t>目录</w:t>
      </w:r>
      <w:r>
        <w:rPr>
          <w:rFonts w:hint="eastAsia" w:ascii="仿宋_GB2312" w:hAnsi="仿宋_GB2312" w:eastAsia="仿宋_GB2312" w:cs="仿宋_GB2312"/>
          <w:color w:val="auto"/>
          <w:sz w:val="32"/>
          <w:szCs w:val="32"/>
          <w:highlight w:val="none"/>
          <w:u w:val="none"/>
          <w:lang w:val="en-US" w:eastAsia="zh-CN"/>
        </w:rPr>
        <w:t>未中选企业如可接受同组最低中选价，</w:t>
      </w:r>
      <w:r>
        <w:rPr>
          <w:rFonts w:hint="eastAsia" w:cs="仿宋_GB2312"/>
          <w:color w:val="auto"/>
          <w:sz w:val="32"/>
          <w:szCs w:val="32"/>
          <w:highlight w:val="none"/>
          <w:u w:val="none"/>
          <w:lang w:val="en-US" w:eastAsia="zh-CN"/>
        </w:rPr>
        <w:t>可</w:t>
      </w:r>
      <w:r>
        <w:rPr>
          <w:rFonts w:hint="eastAsia" w:ascii="仿宋_GB2312" w:hAnsi="仿宋_GB2312" w:eastAsia="仿宋_GB2312" w:cs="仿宋_GB2312"/>
          <w:color w:val="auto"/>
          <w:sz w:val="32"/>
          <w:szCs w:val="32"/>
          <w:highlight w:val="none"/>
          <w:u w:val="none"/>
          <w:lang w:val="en-US" w:eastAsia="zh-CN"/>
        </w:rPr>
        <w:t>在采购</w:t>
      </w:r>
      <w:r>
        <w:rPr>
          <w:rFonts w:hint="eastAsia" w:cs="仿宋_GB2312"/>
          <w:color w:val="auto"/>
          <w:sz w:val="32"/>
          <w:szCs w:val="32"/>
          <w:highlight w:val="none"/>
          <w:u w:val="none"/>
          <w:lang w:val="en-US" w:eastAsia="zh-CN"/>
        </w:rPr>
        <w:t>协议期</w:t>
      </w:r>
      <w:r>
        <w:rPr>
          <w:rFonts w:hint="eastAsia" w:ascii="仿宋_GB2312" w:hAnsi="仿宋_GB2312" w:eastAsia="仿宋_GB2312" w:cs="仿宋_GB2312"/>
          <w:color w:val="auto"/>
          <w:sz w:val="32"/>
          <w:szCs w:val="32"/>
          <w:highlight w:val="none"/>
          <w:u w:val="none"/>
          <w:lang w:val="en-US" w:eastAsia="zh-CN"/>
        </w:rPr>
        <w:t>结束</w:t>
      </w:r>
      <w:r>
        <w:rPr>
          <w:rFonts w:hint="eastAsia" w:cs="仿宋_GB2312"/>
          <w:color w:val="auto"/>
          <w:sz w:val="32"/>
          <w:szCs w:val="32"/>
          <w:highlight w:val="none"/>
          <w:u w:val="none"/>
          <w:lang w:val="en-US" w:eastAsia="zh-CN"/>
        </w:rPr>
        <w:t>前</w:t>
      </w:r>
      <w:r>
        <w:rPr>
          <w:rFonts w:hint="eastAsia"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申请</w:t>
      </w:r>
      <w:r>
        <w:rPr>
          <w:rFonts w:hint="eastAsia" w:ascii="仿宋_GB2312" w:hAnsi="仿宋_GB2312" w:eastAsia="仿宋_GB2312" w:cs="仿宋_GB2312"/>
          <w:color w:val="auto"/>
          <w:sz w:val="32"/>
          <w:szCs w:val="32"/>
          <w:highlight w:val="none"/>
          <w:u w:val="none"/>
          <w:lang w:val="en-US" w:eastAsia="zh-CN"/>
        </w:rPr>
        <w:t>在下一采购</w:t>
      </w:r>
      <w:r>
        <w:rPr>
          <w:rFonts w:hint="eastAsia" w:cs="仿宋_GB2312"/>
          <w:color w:val="auto"/>
          <w:sz w:val="32"/>
          <w:szCs w:val="32"/>
          <w:highlight w:val="none"/>
          <w:u w:val="none"/>
          <w:lang w:val="en-US" w:eastAsia="zh-CN"/>
        </w:rPr>
        <w:t>协议</w:t>
      </w:r>
      <w:r>
        <w:rPr>
          <w:rFonts w:hint="eastAsia" w:ascii="仿宋_GB2312" w:hAnsi="仿宋_GB2312" w:eastAsia="仿宋_GB2312" w:cs="仿宋_GB2312"/>
          <w:color w:val="auto"/>
          <w:sz w:val="32"/>
          <w:szCs w:val="32"/>
          <w:highlight w:val="none"/>
          <w:u w:val="none"/>
          <w:lang w:val="en-US" w:eastAsia="zh-CN"/>
        </w:rPr>
        <w:t>期获得中选企业资格。</w:t>
      </w:r>
    </w:p>
    <w:p>
      <w:pPr>
        <w:pStyle w:val="2"/>
        <w:pageBreakBefore w:val="0"/>
        <w:kinsoku/>
        <w:wordWrap/>
        <w:overflowPunct/>
        <w:topLinePunct w:val="0"/>
        <w:bidi w:val="0"/>
        <w:snapToGrid/>
        <w:spacing w:line="600" w:lineRule="exact"/>
        <w:ind w:firstLine="640" w:firstLineChars="200"/>
        <w:jc w:val="both"/>
        <w:textAlignment w:val="auto"/>
        <w:rPr>
          <w:rFonts w:hint="default" w:ascii="仿宋_GB2312" w:hAnsi="仿宋_GB2312" w:eastAsia="仿宋_GB2312" w:cs="仿宋_GB2312"/>
          <w:color w:val="auto"/>
          <w:kern w:val="2"/>
          <w:sz w:val="32"/>
          <w:szCs w:val="32"/>
          <w:highlight w:val="none"/>
          <w:u w:val="none"/>
          <w:lang w:val="en-US" w:eastAsia="zh-CN" w:bidi="ar-SA"/>
        </w:rPr>
      </w:pPr>
      <w:r>
        <w:rPr>
          <w:rFonts w:hint="default" w:ascii="仿宋_GB2312" w:hAnsi="仿宋_GB2312" w:eastAsia="仿宋_GB2312" w:cs="仿宋_GB2312"/>
          <w:color w:val="auto"/>
          <w:kern w:val="2"/>
          <w:sz w:val="32"/>
          <w:szCs w:val="32"/>
          <w:highlight w:val="none"/>
          <w:u w:val="none"/>
          <w:lang w:val="en-US" w:eastAsia="zh-CN" w:bidi="ar-SA"/>
        </w:rPr>
        <w:t>（</w:t>
      </w:r>
      <w:r>
        <w:rPr>
          <w:rFonts w:hint="eastAsia" w:ascii="仿宋_GB2312" w:hAnsi="仿宋_GB2312" w:eastAsia="仿宋_GB2312" w:cs="仿宋_GB2312"/>
          <w:color w:val="auto"/>
          <w:kern w:val="2"/>
          <w:sz w:val="32"/>
          <w:szCs w:val="32"/>
          <w:highlight w:val="none"/>
          <w:u w:val="none"/>
          <w:lang w:val="en-US" w:eastAsia="zh-CN" w:bidi="ar-SA"/>
        </w:rPr>
        <w:t>七</w:t>
      </w:r>
      <w:r>
        <w:rPr>
          <w:rFonts w:hint="default" w:ascii="仿宋_GB2312" w:hAnsi="仿宋_GB2312" w:eastAsia="仿宋_GB2312" w:cs="仿宋_GB2312"/>
          <w:color w:val="auto"/>
          <w:kern w:val="2"/>
          <w:sz w:val="32"/>
          <w:szCs w:val="32"/>
          <w:highlight w:val="none"/>
          <w:u w:val="none"/>
          <w:lang w:val="en-US" w:eastAsia="zh-CN" w:bidi="ar-SA"/>
        </w:rPr>
        <w:t>）申报企业在信息填报工作中填报的产品信息作为本次集中带量采购的产品供应清单，若中选，企业须按照该</w:t>
      </w:r>
      <w:r>
        <w:rPr>
          <w:rFonts w:hint="eastAsia" w:ascii="仿宋_GB2312" w:hAnsi="仿宋_GB2312" w:eastAsia="仿宋_GB2312" w:cs="仿宋_GB2312"/>
          <w:color w:val="auto"/>
          <w:kern w:val="2"/>
          <w:sz w:val="32"/>
          <w:szCs w:val="32"/>
          <w:highlight w:val="none"/>
          <w:u w:val="none"/>
          <w:lang w:val="en-US" w:eastAsia="zh-CN" w:bidi="ar-SA"/>
        </w:rPr>
        <w:t>产品</w:t>
      </w:r>
      <w:r>
        <w:rPr>
          <w:rFonts w:hint="default" w:ascii="仿宋_GB2312" w:hAnsi="仿宋_GB2312" w:eastAsia="仿宋_GB2312" w:cs="仿宋_GB2312"/>
          <w:color w:val="auto"/>
          <w:kern w:val="2"/>
          <w:sz w:val="32"/>
          <w:szCs w:val="32"/>
          <w:highlight w:val="none"/>
          <w:u w:val="none"/>
          <w:lang w:val="en-US" w:eastAsia="zh-CN" w:bidi="ar-SA"/>
        </w:rPr>
        <w:t>清单供应</w:t>
      </w:r>
      <w:r>
        <w:rPr>
          <w:rFonts w:hint="eastAsia" w:ascii="仿宋_GB2312" w:hAnsi="仿宋_GB2312" w:eastAsia="仿宋_GB2312" w:cs="仿宋_GB2312"/>
          <w:color w:val="auto"/>
          <w:kern w:val="2"/>
          <w:sz w:val="32"/>
          <w:szCs w:val="32"/>
          <w:highlight w:val="none"/>
          <w:u w:val="none"/>
          <w:lang w:val="en-US" w:eastAsia="zh-CN" w:bidi="ar-SA"/>
        </w:rPr>
        <w:t>所有规格型号的产品</w:t>
      </w:r>
      <w:r>
        <w:rPr>
          <w:rFonts w:hint="default" w:ascii="仿宋_GB2312" w:hAnsi="仿宋_GB2312" w:eastAsia="仿宋_GB2312" w:cs="仿宋_GB2312"/>
          <w:color w:val="auto"/>
          <w:kern w:val="2"/>
          <w:sz w:val="32"/>
          <w:szCs w:val="32"/>
          <w:highlight w:val="none"/>
          <w:u w:val="none"/>
          <w:lang w:val="en-US" w:eastAsia="zh-CN" w:bidi="ar-SA"/>
        </w:rPr>
        <w:t>，其采购价以中选价格确定。</w:t>
      </w:r>
    </w:p>
    <w:p>
      <w:pPr>
        <w:pStyle w:val="2"/>
        <w:pageBreakBefore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w:t>
      </w:r>
      <w:r>
        <w:rPr>
          <w:rFonts w:hint="eastAsia" w:ascii="仿宋_GB2312" w:hAnsi="仿宋_GB2312" w:eastAsia="仿宋_GB2312" w:cs="仿宋_GB2312"/>
          <w:color w:val="auto"/>
          <w:kern w:val="2"/>
          <w:sz w:val="32"/>
          <w:szCs w:val="32"/>
          <w:highlight w:val="none"/>
          <w:u w:val="none"/>
          <w:lang w:val="en-US" w:eastAsia="zh-CN" w:bidi="ar-SA"/>
        </w:rPr>
        <w:t>八）</w:t>
      </w:r>
      <w:r>
        <w:rPr>
          <w:rFonts w:hint="eastAsia" w:ascii="仿宋_GB2312" w:hAnsi="仿宋_GB2312" w:eastAsia="仿宋_GB2312" w:cs="仿宋_GB2312"/>
          <w:sz w:val="32"/>
          <w:szCs w:val="32"/>
          <w:highlight w:val="none"/>
          <w:u w:val="none"/>
        </w:rPr>
        <w:t>医疗机构与中选企业在本文件发布前已有协议，且同一产品价格低于中选价格的，仍可继续执行原协议</w:t>
      </w:r>
      <w:r>
        <w:rPr>
          <w:rFonts w:hint="eastAsia" w:ascii="仿宋_GB2312" w:hAnsi="仿宋_GB2312" w:eastAsia="仿宋_GB2312" w:cs="仿宋_GB2312"/>
          <w:sz w:val="32"/>
          <w:szCs w:val="32"/>
          <w:highlight w:val="none"/>
          <w:u w:val="none"/>
          <w:lang w:eastAsia="zh-CN"/>
        </w:rPr>
        <w:t>。</w:t>
      </w:r>
    </w:p>
    <w:p>
      <w:pPr>
        <w:pStyle w:val="4"/>
        <w:pageBreakBefore w:val="0"/>
        <w:kinsoku/>
        <w:wordWrap/>
        <w:overflowPunct/>
        <w:topLinePunct w:val="0"/>
        <w:bidi w:val="0"/>
        <w:snapToGrid/>
        <w:spacing w:line="560" w:lineRule="exact"/>
        <w:textAlignment w:val="auto"/>
        <w:rPr>
          <w:rFonts w:hint="default" w:ascii="黑体" w:hAnsi="黑体" w:eastAsia="黑体" w:cs="黑体"/>
          <w:color w:val="auto"/>
          <w:kern w:val="0"/>
          <w:szCs w:val="32"/>
          <w:lang w:val="en-US" w:eastAsia="zh-CN" w:bidi="ar"/>
        </w:rPr>
      </w:pPr>
      <w:bookmarkStart w:id="12" w:name="_Toc26232"/>
      <w:r>
        <w:rPr>
          <w:rFonts w:hint="eastAsia"/>
          <w:color w:val="auto"/>
          <w:lang w:val="en-US" w:eastAsia="zh-CN"/>
        </w:rPr>
        <w:t>五、采购文件获取</w:t>
      </w:r>
      <w:bookmarkEnd w:id="11"/>
      <w:bookmarkEnd w:id="12"/>
    </w:p>
    <w:p>
      <w:pPr>
        <w:bidi w:val="0"/>
        <w:rPr>
          <w:color w:val="auto"/>
          <w:highlight w:val="none"/>
        </w:rPr>
      </w:pPr>
      <w:bookmarkStart w:id="13" w:name="_Toc14239"/>
      <w:r>
        <w:rPr>
          <w:color w:val="auto"/>
          <w:highlight w:val="none"/>
        </w:rPr>
        <w:t>本次集中带量采购工作所有公告、信息</w:t>
      </w:r>
      <w:r>
        <w:rPr>
          <w:rFonts w:hint="eastAsia"/>
          <w:color w:val="auto"/>
          <w:highlight w:val="none"/>
        </w:rPr>
        <w:t>通过</w:t>
      </w:r>
      <w:r>
        <w:rPr>
          <w:rFonts w:hint="eastAsia"/>
          <w:color w:val="auto"/>
          <w:highlight w:val="none"/>
          <w:lang w:val="en-US" w:eastAsia="zh-CN"/>
        </w:rPr>
        <w:t>河南省医保局</w:t>
      </w:r>
      <w:r>
        <w:rPr>
          <w:rFonts w:hint="eastAsia"/>
          <w:color w:val="auto"/>
          <w:highlight w:val="none"/>
        </w:rPr>
        <w:t>（网址</w:t>
      </w:r>
      <w:r>
        <w:rPr>
          <w:rFonts w:hint="eastAsia"/>
          <w:color w:val="auto"/>
          <w:highlight w:val="none"/>
          <w:u w:val="none"/>
        </w:rPr>
        <w:t>：https://ylbz.henan.gov.cn/）</w:t>
      </w:r>
      <w:r>
        <w:rPr>
          <w:rFonts w:hint="eastAsia"/>
          <w:color w:val="auto"/>
          <w:highlight w:val="none"/>
          <w:u w:val="none"/>
          <w:lang w:val="en-US" w:eastAsia="zh-CN"/>
        </w:rPr>
        <w:t>及漯河</w:t>
      </w:r>
      <w:r>
        <w:rPr>
          <w:rFonts w:hint="eastAsia"/>
          <w:color w:val="auto"/>
          <w:highlight w:val="none"/>
          <w:lang w:val="en-US" w:eastAsia="zh-CN"/>
        </w:rPr>
        <w:t>市医疗保障局官网</w:t>
      </w:r>
      <w:r>
        <w:rPr>
          <w:rFonts w:hint="eastAsia"/>
          <w:color w:val="auto"/>
          <w:highlight w:val="none"/>
        </w:rPr>
        <w:t>（</w:t>
      </w:r>
      <w:r>
        <w:rPr>
          <w:rFonts w:hint="eastAsia"/>
          <w:color w:val="auto"/>
          <w:highlight w:val="none"/>
          <w:u w:val="none"/>
        </w:rPr>
        <w:t>网址：https://ybj.luohe.gov.cn/</w:t>
      </w:r>
      <w:r>
        <w:rPr>
          <w:color w:val="auto"/>
          <w:highlight w:val="none"/>
        </w:rPr>
        <w:t>）下载相关文件。</w:t>
      </w:r>
      <w:bookmarkEnd w:id="13"/>
    </w:p>
    <w:p>
      <w:pPr>
        <w:pStyle w:val="4"/>
        <w:pageBreakBefore w:val="0"/>
        <w:kinsoku/>
        <w:wordWrap/>
        <w:overflowPunct/>
        <w:topLinePunct w:val="0"/>
        <w:bidi w:val="0"/>
        <w:snapToGrid/>
        <w:spacing w:line="560" w:lineRule="exact"/>
        <w:textAlignment w:val="auto"/>
        <w:rPr>
          <w:rFonts w:hint="default"/>
          <w:color w:val="auto"/>
          <w:lang w:val="en-US" w:eastAsia="zh-CN"/>
        </w:rPr>
      </w:pPr>
      <w:bookmarkStart w:id="14" w:name="_Toc25851"/>
      <w:bookmarkStart w:id="15" w:name="_Toc26726"/>
      <w:r>
        <w:rPr>
          <w:rFonts w:hint="eastAsia"/>
          <w:color w:val="auto"/>
          <w:lang w:val="en-US" w:eastAsia="zh-CN"/>
        </w:rPr>
        <w:t>六、申报方式</w:t>
      </w:r>
      <w:bookmarkEnd w:id="14"/>
      <w:bookmarkEnd w:id="15"/>
    </w:p>
    <w:p>
      <w:pPr>
        <w:pageBreakBefore w:val="0"/>
        <w:kinsoku/>
        <w:wordWrap/>
        <w:overflowPunct/>
        <w:topLinePunct w:val="0"/>
        <w:bidi w:val="0"/>
        <w:snapToGrid/>
        <w:spacing w:line="560" w:lineRule="exact"/>
        <w:textAlignment w:val="auto"/>
        <w:rPr>
          <w:rFonts w:hint="eastAsia"/>
          <w:color w:val="auto"/>
          <w:lang w:val="en-US" w:eastAsia="zh-CN"/>
        </w:rPr>
      </w:pPr>
      <w:r>
        <w:rPr>
          <w:rFonts w:hint="eastAsia" w:ascii="仿宋_GB2312" w:hAnsi="仿宋_GB2312" w:eastAsia="仿宋_GB2312" w:cs="仿宋_GB2312"/>
          <w:color w:val="auto"/>
          <w:kern w:val="2"/>
          <w:sz w:val="32"/>
          <w:szCs w:val="32"/>
          <w:highlight w:val="none"/>
          <w:u w:val="none"/>
          <w:lang w:val="en-US" w:eastAsia="zh-CN" w:bidi="ar-SA"/>
        </w:rPr>
        <w:t>本次医用耗材带量采购产品信息申报和报价采取网上申报的方式进行，通过河南省医药集中采购平台线上进行(网址:http://ypnew.hnggzyjy.cn:9080/cms)。</w:t>
      </w:r>
      <w:r>
        <w:rPr>
          <w:rFonts w:hint="eastAsia"/>
          <w:color w:val="auto"/>
          <w:lang w:val="en-US" w:eastAsia="zh-CN"/>
        </w:rPr>
        <w:t>数字证书是企业网上申报的唯一标识，申报企业需在规定时间内使用数字证书登录河南省医药集中采购平台，进行企业信息维护、产品申报、资料提交等操作。通过资质审核的企业以数字证书方式登录平台进行产品报价、解密操作。</w:t>
      </w:r>
    </w:p>
    <w:p>
      <w:pPr>
        <w:pStyle w:val="4"/>
        <w:bidi w:val="0"/>
        <w:rPr>
          <w:rFonts w:hint="default"/>
          <w:lang w:val="en-US" w:eastAsia="zh-CN"/>
        </w:rPr>
      </w:pPr>
      <w:bookmarkStart w:id="16" w:name="_Toc11730"/>
      <w:bookmarkStart w:id="17" w:name="_Toc12253"/>
      <w:r>
        <w:rPr>
          <w:rFonts w:hint="eastAsia"/>
          <w:color w:val="auto"/>
          <w:lang w:val="en-US" w:eastAsia="zh-CN"/>
        </w:rPr>
        <w:t>七、</w:t>
      </w:r>
      <w:bookmarkEnd w:id="16"/>
      <w:bookmarkStart w:id="18" w:name="_Toc32223"/>
      <w:r>
        <w:rPr>
          <w:rFonts w:hint="eastAsia"/>
          <w:lang w:val="en-US" w:eastAsia="zh-CN"/>
        </w:rPr>
        <w:t>报价时间安排</w:t>
      </w:r>
      <w:bookmarkEnd w:id="17"/>
      <w:bookmarkEnd w:id="18"/>
    </w:p>
    <w:p>
      <w:pPr>
        <w:pStyle w:val="2"/>
        <w:pageBreakBefore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模拟报价时间：</w:t>
      </w:r>
    </w:p>
    <w:p>
      <w:pPr>
        <w:pStyle w:val="2"/>
        <w:pageBreakBefore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模拟解密时间：</w:t>
      </w:r>
    </w:p>
    <w:p>
      <w:pPr>
        <w:pStyle w:val="2"/>
        <w:pageBreakBefore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正式报价时间：</w:t>
      </w:r>
    </w:p>
    <w:p>
      <w:pPr>
        <w:pStyle w:val="2"/>
        <w:pageBreakBefore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正式解密时间：</w:t>
      </w:r>
    </w:p>
    <w:p>
      <w:pPr>
        <w:pStyle w:val="2"/>
        <w:pageBreakBefore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请相关企业做好议价谈判和价格纠偏准备，企业代表须携带本人身份证、法定代表人授权书（见附件2）参加。具体须议价谈判和价格纠偏的企业将于  月  日报价解密后电话进行通知，请被授权人保持通信畅通。</w:t>
      </w:r>
    </w:p>
    <w:p>
      <w:pPr>
        <w:pStyle w:val="2"/>
        <w:pageBreakBefore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议价谈判和价格纠偏时间：</w:t>
      </w:r>
    </w:p>
    <w:p>
      <w:pPr>
        <w:pStyle w:val="2"/>
        <w:pageBreakBefore w:val="0"/>
        <w:kinsoku/>
        <w:wordWrap/>
        <w:overflowPunct/>
        <w:topLinePunct w:val="0"/>
        <w:bidi w:val="0"/>
        <w:snapToGrid/>
        <w:spacing w:line="600" w:lineRule="exact"/>
        <w:ind w:firstLine="640" w:firstLineChars="200"/>
        <w:jc w:val="both"/>
        <w:textAlignment w:val="auto"/>
        <w:rPr>
          <w:rFonts w:ascii="仿宋_GB2312" w:hAnsi="方正小标宋简体" w:eastAsia="仿宋_GB2312"/>
          <w:color w:val="auto"/>
          <w:sz w:val="32"/>
          <w:szCs w:val="32"/>
        </w:rPr>
      </w:pPr>
      <w:r>
        <w:rPr>
          <w:rFonts w:hint="eastAsia" w:ascii="仿宋_GB2312" w:hAnsi="仿宋_GB2312" w:eastAsia="仿宋_GB2312" w:cs="仿宋_GB2312"/>
          <w:color w:val="auto"/>
          <w:kern w:val="2"/>
          <w:sz w:val="32"/>
          <w:szCs w:val="32"/>
          <w:highlight w:val="none"/>
          <w:u w:val="none"/>
          <w:lang w:val="en-US" w:eastAsia="zh-CN" w:bidi="ar-SA"/>
        </w:rPr>
        <w:t>议价谈判和价格纠偏地点：</w:t>
      </w:r>
    </w:p>
    <w:p>
      <w:pPr>
        <w:pStyle w:val="4"/>
        <w:pageBreakBefore w:val="0"/>
        <w:kinsoku/>
        <w:wordWrap/>
        <w:overflowPunct/>
        <w:topLinePunct w:val="0"/>
        <w:bidi w:val="0"/>
        <w:snapToGrid/>
        <w:spacing w:line="560" w:lineRule="exact"/>
        <w:textAlignment w:val="auto"/>
        <w:rPr>
          <w:rFonts w:hint="eastAsia"/>
          <w:color w:val="auto"/>
          <w:lang w:val="en-US" w:eastAsia="zh-CN"/>
        </w:rPr>
      </w:pPr>
      <w:bookmarkStart w:id="19" w:name="_Toc9760"/>
      <w:bookmarkStart w:id="20" w:name="_Toc9058"/>
      <w:r>
        <w:rPr>
          <w:rFonts w:hint="eastAsia"/>
          <w:color w:val="auto"/>
          <w:lang w:val="en-US" w:eastAsia="zh-CN"/>
        </w:rPr>
        <w:t>八、其他</w:t>
      </w:r>
      <w:bookmarkEnd w:id="19"/>
      <w:bookmarkEnd w:id="2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olor w:val="auto"/>
          <w:highlight w:val="none"/>
          <w:u w:val="none"/>
          <w:lang w:val="en-US" w:eastAsia="zh-CN"/>
        </w:rPr>
      </w:pPr>
      <w:r>
        <w:rPr>
          <w:rFonts w:hint="eastAsia"/>
          <w:color w:val="auto"/>
          <w:highlight w:val="none"/>
          <w:u w:val="none"/>
          <w:lang w:val="en-US" w:eastAsia="zh-CN"/>
        </w:rPr>
        <w:t>（一）联盟采购办公室已通过自我审查的方式开展公平竞争审查,本次医用耗材集中带量采购相关文件不具有排除、限制竞争情形。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olor w:val="auto"/>
          <w:highlight w:val="none"/>
          <w:u w:val="none"/>
          <w:lang w:val="en-US" w:eastAsia="zh-CN"/>
        </w:rPr>
      </w:pPr>
      <w:r>
        <w:rPr>
          <w:rFonts w:hint="eastAsia"/>
          <w:color w:val="auto"/>
          <w:highlight w:val="none"/>
          <w:u w:val="none"/>
          <w:lang w:val="en-US" w:eastAsia="zh-CN"/>
        </w:rPr>
        <w:t>（二）联盟各地区按有关工作要求,制定确保中选产品质量、供应、使用以及医疗机构及时回款的配套措施。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olor w:val="auto"/>
          <w:highlight w:val="none"/>
          <w:u w:val="none"/>
          <w:lang w:val="en-US" w:eastAsia="zh-CN"/>
        </w:rPr>
      </w:pPr>
      <w:r>
        <w:rPr>
          <w:rFonts w:hint="eastAsia"/>
          <w:color w:val="auto"/>
          <w:highlight w:val="none"/>
          <w:u w:val="none"/>
          <w:lang w:val="en-US" w:eastAsia="zh-CN"/>
        </w:rPr>
        <w:t>（三）如本次集中带量采购相关工作需进行调整的，由联盟采购办公室另行通知。</w:t>
      </w:r>
    </w:p>
    <w:p>
      <w:pPr>
        <w:rPr>
          <w:rFonts w:hint="eastAsia"/>
          <w:color w:val="auto"/>
          <w:lang w:val="en-US" w:eastAsia="zh-CN"/>
        </w:rPr>
      </w:pPr>
      <w:r>
        <w:rPr>
          <w:rFonts w:hint="eastAsia"/>
          <w:color w:val="auto"/>
          <w:lang w:val="en-US" w:eastAsia="zh-CN"/>
        </w:rPr>
        <w:br w:type="page"/>
      </w:r>
    </w:p>
    <w:p>
      <w:pPr>
        <w:bidi w:val="0"/>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spacing w:before="4680" w:beforeLines="1500" w:line="600" w:lineRule="exact"/>
        <w:ind w:firstLine="0" w:firstLineChars="0"/>
        <w:jc w:val="center"/>
        <w:textAlignment w:val="auto"/>
        <w:outlineLvl w:val="0"/>
        <w:rPr>
          <w:rFonts w:hint="eastAsia" w:ascii="方正小标宋简体" w:hAnsi="方正小标宋简体" w:eastAsia="方正小标宋简体" w:cs="方正小标宋简体"/>
          <w:bCs/>
          <w:color w:val="auto"/>
          <w:sz w:val="56"/>
          <w:szCs w:val="56"/>
          <w:lang w:val="en-US" w:eastAsia="zh-CN"/>
        </w:rPr>
      </w:pPr>
      <w:bookmarkStart w:id="21" w:name="_Toc15544"/>
      <w:bookmarkStart w:id="22" w:name="_Toc13"/>
      <w:r>
        <w:rPr>
          <w:rFonts w:hint="eastAsia" w:ascii="方正小标宋简体" w:hAnsi="方正小标宋简体" w:eastAsia="方正小标宋简体" w:cs="方正小标宋简体"/>
          <w:bCs/>
          <w:color w:val="auto"/>
          <w:sz w:val="56"/>
          <w:szCs w:val="56"/>
          <w:lang w:val="en-US" w:eastAsia="zh-CN"/>
        </w:rPr>
        <w:t>第二部分 申报企业须知</w:t>
      </w:r>
      <w:bookmarkEnd w:id="21"/>
      <w:bookmarkEnd w:id="22"/>
    </w:p>
    <w:p>
      <w:pPr>
        <w:rPr>
          <w:rFonts w:hint="eastAsia" w:ascii="方正小标宋简体" w:hAnsi="方正小标宋简体" w:eastAsia="方正小标宋简体" w:cs="方正小标宋简体"/>
          <w:bCs/>
          <w:color w:val="auto"/>
          <w:sz w:val="56"/>
          <w:szCs w:val="56"/>
          <w:lang w:val="en-US" w:eastAsia="zh-CN"/>
        </w:rPr>
      </w:pPr>
      <w:r>
        <w:rPr>
          <w:rFonts w:hint="eastAsia" w:ascii="方正小标宋简体" w:hAnsi="方正小标宋简体" w:eastAsia="方正小标宋简体" w:cs="方正小标宋简体"/>
          <w:bCs/>
          <w:color w:val="auto"/>
          <w:sz w:val="56"/>
          <w:szCs w:val="56"/>
          <w:lang w:val="en-US" w:eastAsia="zh-CN"/>
        </w:rPr>
        <w:br w:type="page"/>
      </w:r>
    </w:p>
    <w:p>
      <w:pPr>
        <w:pStyle w:val="4"/>
        <w:bidi w:val="0"/>
        <w:rPr>
          <w:rFonts w:hint="eastAsia"/>
          <w:lang w:val="en-US" w:eastAsia="zh-CN"/>
        </w:rPr>
      </w:pPr>
      <w:bookmarkStart w:id="23" w:name="_Toc12929"/>
      <w:bookmarkStart w:id="24" w:name="_Toc5143"/>
      <w:r>
        <w:rPr>
          <w:rFonts w:hint="eastAsia"/>
          <w:lang w:val="en-US" w:eastAsia="zh-CN"/>
        </w:rPr>
        <w:t>一、集中带量采购当事人</w:t>
      </w:r>
      <w:bookmarkEnd w:id="23"/>
      <w:bookmarkEnd w:id="24"/>
    </w:p>
    <w:p>
      <w:pPr>
        <w:pStyle w:val="5"/>
        <w:pageBreakBefore w:val="0"/>
        <w:widowControl w:val="0"/>
        <w:kinsoku/>
        <w:wordWrap/>
        <w:topLinePunct w:val="0"/>
        <w:bidi w:val="0"/>
        <w:adjustRightInd/>
        <w:snapToGrid/>
        <w:spacing w:line="560" w:lineRule="exact"/>
        <w:textAlignment w:val="auto"/>
        <w:rPr>
          <w:color w:val="auto"/>
        </w:rPr>
      </w:pPr>
      <w:r>
        <w:rPr>
          <w:color w:val="auto"/>
          <w:lang w:val="en-US" w:eastAsia="zh-CN"/>
        </w:rPr>
        <w:t>（一）申报企业</w:t>
      </w:r>
    </w:p>
    <w:p>
      <w:pPr>
        <w:keepNext w:val="0"/>
        <w:keepLines w:val="0"/>
        <w:pageBreakBefore w:val="0"/>
        <w:widowControl w:val="0"/>
        <w:kinsoku/>
        <w:wordWrap/>
        <w:topLinePunct w:val="0"/>
        <w:bidi w:val="0"/>
        <w:adjustRightInd/>
        <w:snapToGrid/>
        <w:spacing w:line="600" w:lineRule="exact"/>
        <w:textAlignment w:val="auto"/>
        <w:rPr>
          <w:color w:val="auto"/>
          <w:highlight w:val="none"/>
          <w:u w:val="none"/>
        </w:rPr>
      </w:pPr>
      <w:r>
        <w:rPr>
          <w:color w:val="auto"/>
          <w:highlight w:val="none"/>
          <w:u w:val="none"/>
          <w:lang w:val="en-US" w:eastAsia="zh-CN"/>
        </w:rPr>
        <w:t>1.申报企业参加本次医用耗材</w:t>
      </w:r>
      <w:r>
        <w:rPr>
          <w:rFonts w:hint="eastAsia"/>
          <w:color w:val="auto"/>
          <w:highlight w:val="none"/>
          <w:u w:val="none"/>
          <w:lang w:val="en-US" w:eastAsia="zh-CN"/>
        </w:rPr>
        <w:t>联盟</w:t>
      </w:r>
      <w:r>
        <w:rPr>
          <w:color w:val="auto"/>
          <w:highlight w:val="none"/>
          <w:u w:val="none"/>
          <w:lang w:val="en-US" w:eastAsia="zh-CN"/>
        </w:rPr>
        <w:t>带量采购活动应当</w:t>
      </w:r>
      <w:r>
        <w:rPr>
          <w:rFonts w:hint="eastAsia"/>
          <w:color w:val="auto"/>
          <w:highlight w:val="none"/>
          <w:u w:val="none"/>
          <w:lang w:val="en-US" w:eastAsia="zh-CN"/>
        </w:rPr>
        <w:t>具备以下条件：</w:t>
      </w:r>
    </w:p>
    <w:p>
      <w:pPr>
        <w:keepNext w:val="0"/>
        <w:keepLines w:val="0"/>
        <w:pageBreakBefore w:val="0"/>
        <w:widowControl w:val="0"/>
        <w:kinsoku/>
        <w:wordWrap/>
        <w:topLinePunct w:val="0"/>
        <w:bidi w:val="0"/>
        <w:adjustRightInd/>
        <w:snapToGrid/>
        <w:spacing w:line="600" w:lineRule="exact"/>
        <w:textAlignment w:val="auto"/>
        <w:rPr>
          <w:color w:val="auto"/>
          <w:highlight w:val="none"/>
          <w:u w:val="none"/>
        </w:rPr>
      </w:pPr>
      <w:r>
        <w:rPr>
          <w:rFonts w:hint="eastAsia"/>
          <w:color w:val="auto"/>
          <w:highlight w:val="none"/>
          <w:u w:val="none"/>
          <w:lang w:val="en-US" w:eastAsia="zh-CN"/>
        </w:rPr>
        <w:t>（1）具有履行采购协议必须具备的能力；</w:t>
      </w:r>
    </w:p>
    <w:p>
      <w:pPr>
        <w:keepNext w:val="0"/>
        <w:keepLines w:val="0"/>
        <w:pageBreakBefore w:val="0"/>
        <w:widowControl w:val="0"/>
        <w:kinsoku/>
        <w:wordWrap/>
        <w:overflowPunct w:val="0"/>
        <w:topLinePunct w:val="0"/>
        <w:autoSpaceDE w:val="0"/>
        <w:autoSpaceDN w:val="0"/>
        <w:bidi w:val="0"/>
        <w:adjustRightInd/>
        <w:snapToGrid/>
        <w:spacing w:line="600" w:lineRule="exact"/>
        <w:textAlignment w:val="auto"/>
        <w:rPr>
          <w:color w:val="auto"/>
          <w:highlight w:val="none"/>
          <w:u w:val="none"/>
        </w:rPr>
      </w:pPr>
      <w:r>
        <w:rPr>
          <w:rFonts w:hint="eastAsia"/>
          <w:color w:val="auto"/>
          <w:highlight w:val="none"/>
          <w:u w:val="none"/>
          <w:lang w:val="en-US" w:eastAsia="zh-CN"/>
        </w:rPr>
        <w:t>（2）申报企业和医疗器械注册人（代理人）未被列入当前《全国医药价格和招采失信企业风险警示名单》，未被联盟采购办公室列入当前“违规名单”；</w:t>
      </w:r>
    </w:p>
    <w:p>
      <w:pPr>
        <w:keepNext w:val="0"/>
        <w:keepLines w:val="0"/>
        <w:pageBreakBefore w:val="0"/>
        <w:widowControl w:val="0"/>
        <w:kinsoku/>
        <w:wordWrap/>
        <w:topLinePunct w:val="0"/>
        <w:bidi w:val="0"/>
        <w:adjustRightInd/>
        <w:snapToGrid/>
        <w:spacing w:line="600" w:lineRule="exact"/>
        <w:textAlignment w:val="auto"/>
        <w:rPr>
          <w:color w:val="auto"/>
          <w:highlight w:val="none"/>
          <w:u w:val="none"/>
        </w:rPr>
      </w:pPr>
      <w:r>
        <w:rPr>
          <w:rFonts w:hint="eastAsia"/>
          <w:color w:val="auto"/>
          <w:highlight w:val="none"/>
          <w:u w:val="none"/>
          <w:lang w:val="en-US" w:eastAsia="zh-CN"/>
        </w:rPr>
        <w:t>（3）对申报产品的质量负责，一旦中选，作为供应保障的第一责任人，及时、足量按要求组织生产，并向配送企业发送中选产品，满足医疗机构临床使用需求；</w:t>
      </w:r>
    </w:p>
    <w:p>
      <w:pPr>
        <w:keepNext w:val="0"/>
        <w:keepLines w:val="0"/>
        <w:pageBreakBefore w:val="0"/>
        <w:widowControl w:val="0"/>
        <w:kinsoku/>
        <w:wordWrap/>
        <w:topLinePunct w:val="0"/>
        <w:bidi w:val="0"/>
        <w:adjustRightInd/>
        <w:snapToGrid/>
        <w:spacing w:line="600" w:lineRule="exact"/>
        <w:textAlignment w:val="auto"/>
        <w:rPr>
          <w:color w:val="auto"/>
          <w:highlight w:val="none"/>
          <w:u w:val="none"/>
        </w:rPr>
      </w:pPr>
      <w:r>
        <w:rPr>
          <w:rFonts w:hint="eastAsia"/>
          <w:color w:val="auto"/>
          <w:highlight w:val="none"/>
          <w:u w:val="none"/>
          <w:lang w:val="en-US" w:eastAsia="zh-CN"/>
        </w:rPr>
        <w:t>2.申报企业应按照本采购文件的要求编制申报材料，申报材料应对本采购文件提出的要求和条件作出响应。</w:t>
      </w:r>
    </w:p>
    <w:p>
      <w:pPr>
        <w:pStyle w:val="5"/>
        <w:pageBreakBefore w:val="0"/>
        <w:widowControl w:val="0"/>
        <w:kinsoku/>
        <w:wordWrap/>
        <w:topLinePunct w:val="0"/>
        <w:bidi w:val="0"/>
        <w:adjustRightInd/>
        <w:snapToGrid/>
        <w:spacing w:line="560" w:lineRule="exact"/>
        <w:textAlignment w:val="auto"/>
        <w:rPr>
          <w:color w:val="auto"/>
        </w:rPr>
      </w:pPr>
      <w:r>
        <w:rPr>
          <w:rFonts w:hint="eastAsia"/>
          <w:color w:val="auto"/>
          <w:lang w:val="en-US" w:eastAsia="zh-CN"/>
        </w:rPr>
        <w:t>（二）其他要求</w:t>
      </w:r>
    </w:p>
    <w:p>
      <w:pPr>
        <w:keepNext w:val="0"/>
        <w:keepLines w:val="0"/>
        <w:pageBreakBefore w:val="0"/>
        <w:widowControl w:val="0"/>
        <w:kinsoku/>
        <w:wordWrap/>
        <w:topLinePunct w:val="0"/>
        <w:bidi w:val="0"/>
        <w:adjustRightInd/>
        <w:snapToGrid/>
        <w:spacing w:line="600" w:lineRule="exact"/>
        <w:textAlignment w:val="auto"/>
        <w:rPr>
          <w:color w:val="auto"/>
          <w:highlight w:val="none"/>
          <w:u w:val="none"/>
        </w:rPr>
      </w:pPr>
      <w:bookmarkStart w:id="25" w:name="_Toc31991"/>
      <w:r>
        <w:rPr>
          <w:rFonts w:hint="eastAsia"/>
          <w:color w:val="auto"/>
          <w:highlight w:val="none"/>
          <w:u w:val="none"/>
          <w:lang w:val="en-US" w:eastAsia="zh-CN"/>
        </w:rPr>
        <w:t>1.若申报企业明显不具备申报资格中规定必须满足的全部要求，或涉嫌提供虚假证明材料的，一经确认，联盟采购办公室将视其为无效申报；情节严重的，列入“违规名单”，作出相应处置。</w:t>
      </w:r>
    </w:p>
    <w:p>
      <w:pPr>
        <w:keepNext w:val="0"/>
        <w:keepLines w:val="0"/>
        <w:pageBreakBefore w:val="0"/>
        <w:widowControl w:val="0"/>
        <w:kinsoku/>
        <w:wordWrap/>
        <w:topLinePunct w:val="0"/>
        <w:bidi w:val="0"/>
        <w:adjustRightInd/>
        <w:snapToGrid/>
        <w:spacing w:line="600" w:lineRule="exact"/>
        <w:textAlignment w:val="auto"/>
        <w:rPr>
          <w:color w:val="auto"/>
          <w:highlight w:val="none"/>
          <w:u w:val="none"/>
        </w:rPr>
      </w:pPr>
      <w:r>
        <w:rPr>
          <w:rFonts w:hint="eastAsia"/>
          <w:color w:val="auto"/>
          <w:highlight w:val="none"/>
          <w:u w:val="none"/>
          <w:lang w:val="en-US" w:eastAsia="zh-CN"/>
        </w:rPr>
        <w:t>2.联盟采购办公室根据工作需要可对中选产品生产及中选产品质量进行调查（调查形式根据实际情况确定），中选企业应予以积极配合。</w:t>
      </w:r>
    </w:p>
    <w:p>
      <w:pPr>
        <w:keepNext w:val="0"/>
        <w:keepLines w:val="0"/>
        <w:pageBreakBefore w:val="0"/>
        <w:widowControl w:val="0"/>
        <w:kinsoku/>
        <w:wordWrap/>
        <w:topLinePunct w:val="0"/>
        <w:bidi w:val="0"/>
        <w:adjustRightInd/>
        <w:snapToGrid/>
        <w:spacing w:line="600" w:lineRule="exact"/>
        <w:textAlignment w:val="auto"/>
        <w:rPr>
          <w:color w:val="auto"/>
          <w:highlight w:val="none"/>
          <w:u w:val="none"/>
        </w:rPr>
      </w:pPr>
      <w:r>
        <w:rPr>
          <w:rFonts w:hint="eastAsia"/>
          <w:color w:val="auto"/>
          <w:highlight w:val="none"/>
          <w:u w:val="none"/>
          <w:lang w:val="en-US" w:eastAsia="zh-CN"/>
        </w:rPr>
        <w:t>3.申报企业中选后，须按联盟地区采购要求签订采购协议。</w:t>
      </w:r>
    </w:p>
    <w:p>
      <w:pPr>
        <w:keepNext w:val="0"/>
        <w:keepLines w:val="0"/>
        <w:pageBreakBefore w:val="0"/>
        <w:widowControl w:val="0"/>
        <w:kinsoku/>
        <w:wordWrap/>
        <w:topLinePunct w:val="0"/>
        <w:bidi w:val="0"/>
        <w:adjustRightInd/>
        <w:snapToGrid/>
        <w:spacing w:line="600" w:lineRule="exact"/>
        <w:textAlignment w:val="auto"/>
        <w:rPr>
          <w:rFonts w:hint="default"/>
          <w:color w:val="auto"/>
          <w:highlight w:val="none"/>
          <w:u w:val="none"/>
          <w:lang w:val="en-US"/>
        </w:rPr>
      </w:pPr>
      <w:r>
        <w:rPr>
          <w:rFonts w:hint="eastAsia"/>
          <w:color w:val="auto"/>
          <w:highlight w:val="none"/>
          <w:u w:val="none"/>
          <w:lang w:val="en-US" w:eastAsia="zh-CN"/>
        </w:rPr>
        <w:t>4.在采购协议履行过程中，如遇国家政策调整等不可抗力，影响采购协议履行的，由签订采购协议各方协商解决。</w:t>
      </w:r>
    </w:p>
    <w:p>
      <w:pPr>
        <w:pStyle w:val="4"/>
        <w:pageBreakBefore w:val="0"/>
        <w:widowControl w:val="0"/>
        <w:kinsoku/>
        <w:wordWrap/>
        <w:topLinePunct w:val="0"/>
        <w:bidi w:val="0"/>
        <w:adjustRightInd/>
        <w:snapToGrid/>
        <w:spacing w:line="560" w:lineRule="exact"/>
        <w:textAlignment w:val="auto"/>
        <w:rPr>
          <w:rFonts w:hint="eastAsia"/>
          <w:color w:val="auto"/>
          <w:lang w:val="en-US" w:eastAsia="zh-CN"/>
        </w:rPr>
      </w:pPr>
      <w:bookmarkStart w:id="26" w:name="_Toc10936"/>
      <w:r>
        <w:rPr>
          <w:rFonts w:hint="eastAsia"/>
          <w:color w:val="auto"/>
          <w:lang w:val="en-US" w:eastAsia="zh-CN"/>
        </w:rPr>
        <w:t>二、</w:t>
      </w:r>
      <w:bookmarkEnd w:id="25"/>
      <w:r>
        <w:rPr>
          <w:rFonts w:hint="eastAsia" w:ascii="黑体" w:hAnsi="黑体" w:eastAsia="黑体" w:cs="黑体"/>
          <w:highlight w:val="none"/>
          <w:u w:val="none"/>
          <w:lang w:val="en-US" w:eastAsia="zh-CN"/>
        </w:rPr>
        <w:t>申报</w:t>
      </w:r>
      <w:r>
        <w:rPr>
          <w:rFonts w:hint="eastAsia" w:cs="黑体"/>
          <w:highlight w:val="none"/>
          <w:u w:val="none"/>
          <w:lang w:val="en-US" w:eastAsia="zh-CN"/>
        </w:rPr>
        <w:t>信息提交</w:t>
      </w:r>
      <w:bookmarkEnd w:id="26"/>
    </w:p>
    <w:p>
      <w:pPr>
        <w:keepNext w:val="0"/>
        <w:keepLines w:val="0"/>
        <w:pageBreakBefore w:val="0"/>
        <w:widowControl w:val="0"/>
        <w:kinsoku/>
        <w:wordWrap/>
        <w:topLinePunct w:val="0"/>
        <w:bidi w:val="0"/>
        <w:snapToGrid/>
        <w:spacing w:line="600" w:lineRule="exact"/>
        <w:textAlignment w:val="auto"/>
        <w:rPr>
          <w:rFonts w:hint="eastAsia" w:ascii="楷体_GB2312" w:hAnsi="楷体_GB2312" w:eastAsia="楷体_GB2312" w:cs="楷体_GB2312"/>
          <w:highlight w:val="none"/>
          <w:u w:val="none"/>
          <w:lang w:val="en-US" w:eastAsia="zh-CN"/>
        </w:rPr>
      </w:pPr>
      <w:r>
        <w:rPr>
          <w:rFonts w:hint="eastAsia" w:ascii="楷体_GB2312" w:hAnsi="楷体_GB2312" w:eastAsia="楷体_GB2312" w:cs="楷体_GB2312"/>
          <w:highlight w:val="none"/>
          <w:u w:val="none"/>
          <w:lang w:val="en-US" w:eastAsia="zh-CN"/>
        </w:rPr>
        <w:t>（一）申报要求</w:t>
      </w:r>
    </w:p>
    <w:p>
      <w:pPr>
        <w:keepNext w:val="0"/>
        <w:keepLines w:val="0"/>
        <w:pageBreakBefore w:val="0"/>
        <w:widowControl w:val="0"/>
        <w:kinsoku/>
        <w:wordWrap/>
        <w:topLinePunct w:val="0"/>
        <w:bidi w:val="0"/>
        <w:adjustRightInd/>
        <w:snapToGrid/>
        <w:spacing w:line="600" w:lineRule="exact"/>
        <w:textAlignment w:val="auto"/>
        <w:rPr>
          <w:color w:val="auto"/>
          <w:highlight w:val="none"/>
          <w:u w:val="none"/>
        </w:rPr>
      </w:pPr>
      <w:r>
        <w:rPr>
          <w:rFonts w:hint="eastAsia"/>
          <w:color w:val="auto"/>
          <w:highlight w:val="none"/>
          <w:u w:val="none"/>
          <w:lang w:val="en-US" w:eastAsia="zh-CN"/>
        </w:rPr>
        <w:t>申报企业应仔细阅读本采购文件全部内容，如实提供和填报有关资料，申报材料采用电子文档的方式在网上进行申报，申报材料需使用数字证书加盖电子印章后提交。网上填报时间截止后，不允许企业对其申报材料进行修改。如果由于申报企业没有按照采购文件规定提交完整材料，或者提交的申报材料没有对采购文件做出响应、申报材料内容不实等原因，影响中选结果的，由申报企业自行负责。</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_GB2312" w:hAnsi="楷体_GB2312" w:eastAsia="楷体_GB2312" w:cs="楷体_GB2312"/>
          <w:color w:val="000000"/>
          <w:spacing w:val="0"/>
          <w:sz w:val="32"/>
          <w:szCs w:val="32"/>
          <w:highlight w:val="none"/>
          <w:u w:val="none"/>
          <w:lang w:eastAsia="zh-CN"/>
        </w:rPr>
      </w:pPr>
      <w:r>
        <w:rPr>
          <w:rFonts w:hint="eastAsia" w:ascii="楷体_GB2312" w:hAnsi="楷体_GB2312" w:eastAsia="楷体_GB2312" w:cs="楷体_GB2312"/>
          <w:color w:val="000000"/>
          <w:spacing w:val="0"/>
          <w:sz w:val="32"/>
          <w:szCs w:val="32"/>
          <w:highlight w:val="none"/>
          <w:u w:val="none"/>
        </w:rPr>
        <w:t>（</w:t>
      </w:r>
      <w:r>
        <w:rPr>
          <w:rFonts w:hint="eastAsia" w:ascii="楷体_GB2312" w:hAnsi="楷体_GB2312" w:eastAsia="楷体_GB2312" w:cs="楷体_GB2312"/>
          <w:color w:val="000000"/>
          <w:spacing w:val="0"/>
          <w:sz w:val="32"/>
          <w:szCs w:val="32"/>
          <w:highlight w:val="none"/>
          <w:u w:val="none"/>
          <w:lang w:eastAsia="zh-CN"/>
        </w:rPr>
        <w:t>二</w:t>
      </w:r>
      <w:r>
        <w:rPr>
          <w:rFonts w:hint="eastAsia" w:ascii="楷体_GB2312" w:hAnsi="楷体_GB2312" w:eastAsia="楷体_GB2312" w:cs="楷体_GB2312"/>
          <w:color w:val="000000"/>
          <w:spacing w:val="0"/>
          <w:sz w:val="32"/>
          <w:szCs w:val="32"/>
          <w:highlight w:val="none"/>
          <w:u w:val="none"/>
        </w:rPr>
        <w:t>）申报</w:t>
      </w:r>
      <w:r>
        <w:rPr>
          <w:rFonts w:hint="eastAsia" w:ascii="楷体_GB2312" w:hAnsi="楷体_GB2312" w:eastAsia="楷体_GB2312" w:cs="楷体_GB2312"/>
          <w:color w:val="000000"/>
          <w:spacing w:val="0"/>
          <w:sz w:val="32"/>
          <w:szCs w:val="32"/>
          <w:highlight w:val="none"/>
          <w:u w:val="none"/>
          <w:lang w:eastAsia="zh-CN"/>
        </w:rPr>
        <w:t>信息</w:t>
      </w:r>
    </w:p>
    <w:p>
      <w:pPr>
        <w:keepNext w:val="0"/>
        <w:keepLines w:val="0"/>
        <w:pageBreakBefore w:val="0"/>
        <w:widowControl w:val="0"/>
        <w:kinsoku/>
        <w:wordWrap/>
        <w:topLinePunct w:val="0"/>
        <w:bidi w:val="0"/>
        <w:adjustRightInd/>
        <w:snapToGrid/>
        <w:spacing w:line="600" w:lineRule="exact"/>
        <w:textAlignment w:val="auto"/>
        <w:rPr>
          <w:color w:val="auto"/>
          <w:highlight w:val="none"/>
          <w:u w:val="none"/>
        </w:rPr>
      </w:pPr>
      <w:r>
        <w:rPr>
          <w:rFonts w:hint="eastAsia"/>
          <w:color w:val="auto"/>
          <w:highlight w:val="none"/>
          <w:u w:val="none"/>
          <w:lang w:val="en-US" w:eastAsia="zh-CN"/>
        </w:rPr>
        <w:t>按采购文件中提供的申报材料格式要求，网上提交申报材料并均需加盖企业公章，具体如下：</w:t>
      </w:r>
    </w:p>
    <w:p>
      <w:pPr>
        <w:keepNext w:val="0"/>
        <w:keepLines w:val="0"/>
        <w:pageBreakBefore w:val="0"/>
        <w:widowControl w:val="0"/>
        <w:numPr>
          <w:ilvl w:val="0"/>
          <w:numId w:val="0"/>
        </w:numPr>
        <w:kinsoku/>
        <w:wordWrap/>
        <w:topLinePunct w:val="0"/>
        <w:bidi w:val="0"/>
        <w:adjustRightInd/>
        <w:snapToGrid/>
        <w:spacing w:line="600" w:lineRule="exact"/>
        <w:ind w:firstLine="640" w:firstLineChars="200"/>
        <w:jc w:val="both"/>
        <w:textAlignment w:val="auto"/>
        <w:rPr>
          <w:rFonts w:hint="default"/>
          <w:color w:val="auto"/>
          <w:highlight w:val="none"/>
          <w:u w:val="none"/>
          <w:lang w:val="en-US" w:eastAsia="zh-CN"/>
        </w:rPr>
      </w:pPr>
      <w:r>
        <w:rPr>
          <w:rFonts w:hint="eastAsia"/>
          <w:color w:val="auto"/>
          <w:highlight w:val="none"/>
          <w:u w:val="none"/>
          <w:lang w:val="en-US" w:eastAsia="zh-CN"/>
        </w:rPr>
        <w:t>1.</w:t>
      </w:r>
      <w:r>
        <w:rPr>
          <w:rFonts w:hint="default"/>
          <w:color w:val="auto"/>
          <w:highlight w:val="none"/>
          <w:u w:val="none"/>
          <w:lang w:val="en-US" w:eastAsia="zh-CN"/>
        </w:rPr>
        <w:t>《</w:t>
      </w:r>
      <w:r>
        <w:rPr>
          <w:rFonts w:hint="eastAsia"/>
          <w:color w:val="auto"/>
          <w:highlight w:val="none"/>
          <w:u w:val="none"/>
          <w:lang w:val="en-US" w:eastAsia="zh-CN"/>
        </w:rPr>
        <w:t>医用耗材省际联盟</w:t>
      </w:r>
      <w:r>
        <w:rPr>
          <w:rFonts w:hint="default"/>
          <w:color w:val="auto"/>
          <w:highlight w:val="none"/>
          <w:u w:val="none"/>
          <w:lang w:val="en-US" w:eastAsia="zh-CN"/>
        </w:rPr>
        <w:t>采购申报函》（见附件1）。</w:t>
      </w:r>
    </w:p>
    <w:p>
      <w:pPr>
        <w:keepNext w:val="0"/>
        <w:keepLines w:val="0"/>
        <w:pageBreakBefore w:val="0"/>
        <w:widowControl w:val="0"/>
        <w:numPr>
          <w:ilvl w:val="0"/>
          <w:numId w:val="0"/>
        </w:numPr>
        <w:kinsoku/>
        <w:wordWrap/>
        <w:topLinePunct w:val="0"/>
        <w:bidi w:val="0"/>
        <w:adjustRightInd/>
        <w:snapToGrid/>
        <w:spacing w:line="600" w:lineRule="exact"/>
        <w:ind w:firstLine="640" w:firstLineChars="200"/>
        <w:jc w:val="both"/>
        <w:textAlignment w:val="auto"/>
        <w:rPr>
          <w:rFonts w:hint="default"/>
          <w:color w:val="auto"/>
          <w:highlight w:val="none"/>
          <w:u w:val="none"/>
          <w:lang w:val="en-US" w:eastAsia="zh-CN"/>
        </w:rPr>
      </w:pPr>
      <w:r>
        <w:rPr>
          <w:rFonts w:hint="eastAsia"/>
          <w:color w:val="auto"/>
          <w:highlight w:val="none"/>
          <w:u w:val="none"/>
          <w:lang w:val="en-US" w:eastAsia="zh-CN"/>
        </w:rPr>
        <w:t>2.</w:t>
      </w:r>
      <w:r>
        <w:rPr>
          <w:rFonts w:hint="default"/>
          <w:color w:val="auto"/>
          <w:highlight w:val="none"/>
          <w:u w:val="none"/>
          <w:lang w:val="en-US" w:eastAsia="zh-CN"/>
        </w:rPr>
        <w:t>《法定代表人授权书》（见附件2）。</w:t>
      </w:r>
    </w:p>
    <w:p>
      <w:pPr>
        <w:keepNext w:val="0"/>
        <w:keepLines w:val="0"/>
        <w:pageBreakBefore w:val="0"/>
        <w:widowControl w:val="0"/>
        <w:numPr>
          <w:ilvl w:val="0"/>
          <w:numId w:val="0"/>
        </w:numPr>
        <w:kinsoku/>
        <w:wordWrap/>
        <w:topLinePunct w:val="0"/>
        <w:bidi w:val="0"/>
        <w:adjustRightInd/>
        <w:snapToGrid/>
        <w:spacing w:line="600" w:lineRule="exact"/>
        <w:ind w:firstLine="640" w:firstLineChars="200"/>
        <w:jc w:val="both"/>
        <w:textAlignment w:val="auto"/>
        <w:rPr>
          <w:rFonts w:hint="eastAsia"/>
          <w:color w:val="auto"/>
          <w:highlight w:val="none"/>
          <w:u w:val="none"/>
          <w:lang w:val="en-US" w:eastAsia="zh-CN"/>
        </w:rPr>
      </w:pPr>
      <w:r>
        <w:rPr>
          <w:rFonts w:hint="eastAsia"/>
          <w:color w:val="auto"/>
          <w:highlight w:val="none"/>
          <w:u w:val="none"/>
          <w:lang w:val="en-US" w:eastAsia="zh-CN"/>
        </w:rPr>
        <w:t>3.申报产品价格（具体见操作规范和报价系统）</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spacing w:val="0"/>
          <w:kern w:val="2"/>
          <w:sz w:val="32"/>
          <w:szCs w:val="32"/>
          <w:highlight w:val="none"/>
          <w:u w:val="none"/>
          <w:lang w:val="en-US" w:eastAsia="zh-CN" w:bidi="ar-SA"/>
        </w:rPr>
      </w:pPr>
      <w:r>
        <w:rPr>
          <w:rFonts w:hint="eastAsia" w:ascii="仿宋_GB2312" w:hAnsi="仿宋_GB2312" w:eastAsia="仿宋_GB2312" w:cs="仿宋_GB2312"/>
          <w:color w:val="000000"/>
          <w:spacing w:val="0"/>
          <w:kern w:val="2"/>
          <w:sz w:val="32"/>
          <w:szCs w:val="32"/>
          <w:highlight w:val="none"/>
          <w:u w:val="none"/>
          <w:lang w:val="en-US" w:eastAsia="zh-CN" w:bidi="ar-SA"/>
        </w:rPr>
        <w:t>各生产企业在规定时间内使用数字证书登录河南省公共资源交易中心“河南省医药集中采购平台”，按照操作规范提交《医用耗材省际联盟采购申报函》、《法定代表人授权书》和申报产品价格。附件1和附件2未按规定提交的，将无法进行报价，并视为无效申报企业。</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000000"/>
          <w:spacing w:val="0"/>
          <w:sz w:val="32"/>
          <w:szCs w:val="32"/>
          <w:highlight w:val="none"/>
          <w:u w:val="none"/>
        </w:rPr>
      </w:pPr>
      <w:r>
        <w:rPr>
          <w:rFonts w:hint="eastAsia" w:ascii="仿宋_GB2312" w:hAnsi="仿宋_GB2312" w:eastAsia="仿宋_GB2312" w:cs="仿宋_GB2312"/>
          <w:color w:val="000000"/>
          <w:spacing w:val="0"/>
          <w:sz w:val="32"/>
          <w:szCs w:val="32"/>
          <w:highlight w:val="none"/>
          <w:u w:val="none"/>
        </w:rPr>
        <w:t>医疗器械注册人非同一实际控制人，且不存在控股关系的，如委托同一家企业申报，应分别提交</w:t>
      </w:r>
      <w:r>
        <w:rPr>
          <w:rFonts w:hint="eastAsia" w:cs="仿宋_GB2312"/>
          <w:color w:val="000000"/>
          <w:spacing w:val="0"/>
          <w:sz w:val="32"/>
          <w:szCs w:val="32"/>
          <w:highlight w:val="none"/>
          <w:u w:val="none"/>
          <w:lang w:eastAsia="zh-CN"/>
        </w:rPr>
        <w:t>申报信息</w:t>
      </w:r>
      <w:r>
        <w:rPr>
          <w:rFonts w:hint="eastAsia" w:ascii="仿宋_GB2312" w:hAnsi="仿宋_GB2312" w:eastAsia="仿宋_GB2312" w:cs="仿宋_GB2312"/>
          <w:color w:val="000000"/>
          <w:spacing w:val="0"/>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_GB2312" w:hAnsi="楷体_GB2312" w:eastAsia="楷体_GB2312" w:cs="楷体_GB2312"/>
          <w:color w:val="000000"/>
          <w:spacing w:val="0"/>
          <w:sz w:val="32"/>
          <w:szCs w:val="32"/>
          <w:highlight w:val="none"/>
          <w:u w:val="none"/>
        </w:rPr>
      </w:pPr>
      <w:r>
        <w:rPr>
          <w:rFonts w:hint="eastAsia" w:ascii="楷体_GB2312" w:hAnsi="楷体_GB2312" w:eastAsia="楷体_GB2312" w:cs="楷体_GB2312"/>
          <w:color w:val="000000"/>
          <w:spacing w:val="0"/>
          <w:sz w:val="32"/>
          <w:szCs w:val="32"/>
          <w:highlight w:val="none"/>
          <w:u w:val="none"/>
        </w:rPr>
        <w:t>（</w:t>
      </w:r>
      <w:r>
        <w:rPr>
          <w:rFonts w:hint="eastAsia" w:ascii="楷体_GB2312" w:hAnsi="楷体_GB2312" w:eastAsia="楷体_GB2312" w:cs="楷体_GB2312"/>
          <w:color w:val="000000"/>
          <w:spacing w:val="0"/>
          <w:sz w:val="32"/>
          <w:szCs w:val="32"/>
          <w:highlight w:val="none"/>
          <w:u w:val="none"/>
          <w:lang w:eastAsia="zh-CN"/>
        </w:rPr>
        <w:t>三</w:t>
      </w:r>
      <w:r>
        <w:rPr>
          <w:rFonts w:hint="eastAsia" w:ascii="楷体_GB2312" w:hAnsi="楷体_GB2312" w:eastAsia="楷体_GB2312" w:cs="楷体_GB2312"/>
          <w:color w:val="000000"/>
          <w:spacing w:val="0"/>
          <w:sz w:val="32"/>
          <w:szCs w:val="32"/>
          <w:highlight w:val="none"/>
          <w:u w:val="none"/>
        </w:rPr>
        <w:t>）申报</w:t>
      </w:r>
      <w:r>
        <w:rPr>
          <w:rFonts w:hint="eastAsia" w:ascii="楷体_GB2312" w:hAnsi="楷体_GB2312" w:eastAsia="楷体_GB2312" w:cs="楷体_GB2312"/>
          <w:color w:val="000000"/>
          <w:spacing w:val="0"/>
          <w:sz w:val="32"/>
          <w:szCs w:val="32"/>
          <w:highlight w:val="none"/>
          <w:u w:val="none"/>
          <w:lang w:eastAsia="zh-CN"/>
        </w:rPr>
        <w:t>信息提</w:t>
      </w:r>
      <w:r>
        <w:rPr>
          <w:rFonts w:hint="eastAsia" w:ascii="楷体_GB2312" w:hAnsi="楷体_GB2312" w:eastAsia="楷体_GB2312" w:cs="楷体_GB2312"/>
          <w:color w:val="000000"/>
          <w:spacing w:val="0"/>
          <w:sz w:val="32"/>
          <w:szCs w:val="32"/>
          <w:highlight w:val="none"/>
          <w:u w:val="none"/>
        </w:rPr>
        <w:t>交要求</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000000"/>
          <w:spacing w:val="0"/>
          <w:sz w:val="32"/>
          <w:szCs w:val="32"/>
          <w:highlight w:val="none"/>
          <w:u w:val="none"/>
        </w:rPr>
      </w:pPr>
      <w:r>
        <w:rPr>
          <w:rFonts w:hint="eastAsia" w:ascii="仿宋_GB2312" w:hAnsi="仿宋_GB2312" w:eastAsia="仿宋_GB2312" w:cs="仿宋_GB2312"/>
          <w:color w:val="000000"/>
          <w:spacing w:val="0"/>
          <w:sz w:val="32"/>
          <w:szCs w:val="32"/>
          <w:highlight w:val="none"/>
          <w:u w:val="none"/>
        </w:rPr>
        <w:t>1.申报企业应</w:t>
      </w:r>
      <w:r>
        <w:rPr>
          <w:rFonts w:hint="eastAsia" w:cs="仿宋_GB2312"/>
          <w:color w:val="000000"/>
          <w:spacing w:val="0"/>
          <w:sz w:val="32"/>
          <w:szCs w:val="32"/>
          <w:highlight w:val="none"/>
          <w:u w:val="none"/>
          <w:lang w:eastAsia="zh-CN"/>
        </w:rPr>
        <w:t>按</w:t>
      </w:r>
      <w:r>
        <w:rPr>
          <w:rFonts w:hint="eastAsia" w:ascii="仿宋_GB2312" w:hAnsi="仿宋_GB2312" w:eastAsia="仿宋_GB2312" w:cs="仿宋_GB2312"/>
          <w:color w:val="000000"/>
          <w:spacing w:val="0"/>
          <w:sz w:val="32"/>
          <w:szCs w:val="32"/>
          <w:highlight w:val="none"/>
          <w:u w:val="none"/>
        </w:rPr>
        <w:t>规定时间和</w:t>
      </w:r>
      <w:r>
        <w:rPr>
          <w:rFonts w:hint="eastAsia" w:cs="仿宋_GB2312"/>
          <w:color w:val="000000"/>
          <w:spacing w:val="0"/>
          <w:sz w:val="32"/>
          <w:szCs w:val="32"/>
          <w:highlight w:val="none"/>
          <w:u w:val="none"/>
          <w:lang w:eastAsia="zh-CN"/>
        </w:rPr>
        <w:t>流程</w:t>
      </w:r>
      <w:r>
        <w:rPr>
          <w:rFonts w:hint="eastAsia" w:ascii="仿宋_GB2312" w:hAnsi="仿宋_GB2312" w:eastAsia="仿宋_GB2312" w:cs="仿宋_GB2312"/>
          <w:color w:val="000000"/>
          <w:spacing w:val="0"/>
          <w:sz w:val="32"/>
          <w:szCs w:val="32"/>
          <w:highlight w:val="none"/>
          <w:u w:val="none"/>
        </w:rPr>
        <w:t>递交申报材料。</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000000"/>
          <w:spacing w:val="0"/>
          <w:sz w:val="32"/>
          <w:szCs w:val="32"/>
          <w:highlight w:val="none"/>
        </w:rPr>
      </w:pPr>
      <w:r>
        <w:rPr>
          <w:rFonts w:hint="eastAsia" w:ascii="仿宋_GB2312" w:hAnsi="仿宋_GB2312" w:eastAsia="仿宋_GB2312" w:cs="仿宋_GB2312"/>
          <w:color w:val="000000"/>
          <w:spacing w:val="0"/>
          <w:sz w:val="32"/>
          <w:szCs w:val="32"/>
          <w:highlight w:val="none"/>
        </w:rPr>
        <w:t>2.</w:t>
      </w:r>
      <w:r>
        <w:rPr>
          <w:rFonts w:hint="eastAsia" w:cs="仿宋_GB2312"/>
          <w:color w:val="000000"/>
          <w:spacing w:val="0"/>
          <w:sz w:val="32"/>
          <w:szCs w:val="32"/>
          <w:highlight w:val="none"/>
          <w:lang w:val="en-US" w:eastAsia="zh-CN"/>
        </w:rPr>
        <w:t>联盟</w:t>
      </w:r>
      <w:r>
        <w:rPr>
          <w:rFonts w:hint="eastAsia" w:ascii="仿宋_GB2312" w:hAnsi="仿宋_GB2312" w:eastAsia="仿宋_GB2312" w:cs="仿宋_GB2312"/>
          <w:color w:val="000000"/>
          <w:spacing w:val="0"/>
          <w:sz w:val="32"/>
          <w:szCs w:val="32"/>
          <w:highlight w:val="none"/>
        </w:rPr>
        <w:t>采购办公室拒绝接收在申报截止时间后</w:t>
      </w:r>
      <w:r>
        <w:rPr>
          <w:rFonts w:hint="eastAsia" w:cs="仿宋_GB2312"/>
          <w:color w:val="000000"/>
          <w:spacing w:val="0"/>
          <w:sz w:val="32"/>
          <w:szCs w:val="32"/>
          <w:highlight w:val="none"/>
          <w:lang w:eastAsia="zh-CN"/>
        </w:rPr>
        <w:t>提交</w:t>
      </w:r>
      <w:r>
        <w:rPr>
          <w:rFonts w:hint="eastAsia" w:ascii="仿宋_GB2312" w:hAnsi="仿宋_GB2312" w:eastAsia="仿宋_GB2312" w:cs="仿宋_GB2312"/>
          <w:color w:val="000000"/>
          <w:spacing w:val="0"/>
          <w:sz w:val="32"/>
          <w:szCs w:val="32"/>
          <w:highlight w:val="none"/>
        </w:rPr>
        <w:t>的任何申报及申报材料。</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000000"/>
          <w:spacing w:val="0"/>
          <w:sz w:val="32"/>
          <w:szCs w:val="32"/>
          <w:highlight w:val="none"/>
          <w:u w:val="none"/>
        </w:rPr>
      </w:pPr>
      <w:r>
        <w:rPr>
          <w:rFonts w:hint="eastAsia" w:ascii="仿宋_GB2312" w:hAnsi="仿宋_GB2312" w:eastAsia="仿宋_GB2312" w:cs="仿宋_GB2312"/>
          <w:color w:val="000000"/>
          <w:spacing w:val="0"/>
          <w:sz w:val="32"/>
          <w:szCs w:val="32"/>
          <w:highlight w:val="none"/>
          <w:u w:val="none"/>
        </w:rPr>
        <w:t>3.申报时间截止后，申报企业不得对申报材料做任何修改。</w:t>
      </w:r>
    </w:p>
    <w:p>
      <w:pPr>
        <w:pStyle w:val="2"/>
        <w:bidi w:val="0"/>
        <w:ind w:firstLine="640" w:firstLineChars="200"/>
        <w:rPr>
          <w:rFonts w:hint="eastAsia" w:ascii="仿宋_GB2312" w:hAnsi="仿宋_GB2312" w:eastAsia="楷体_GB2312" w:cstheme="minorBidi"/>
          <w:color w:val="auto"/>
          <w:kern w:val="2"/>
          <w:sz w:val="32"/>
          <w:szCs w:val="24"/>
          <w:lang w:val="en-US" w:eastAsia="zh-CN" w:bidi="ar-SA"/>
        </w:rPr>
      </w:pPr>
      <w:r>
        <w:rPr>
          <w:rFonts w:hint="eastAsia" w:ascii="仿宋_GB2312" w:hAnsi="仿宋_GB2312" w:eastAsia="楷体_GB2312" w:cstheme="minorBidi"/>
          <w:color w:val="auto"/>
          <w:kern w:val="2"/>
          <w:sz w:val="32"/>
          <w:szCs w:val="24"/>
          <w:lang w:val="en-US" w:eastAsia="zh-CN" w:bidi="ar-SA"/>
        </w:rPr>
        <w:t>（四）申报报价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sz w:val="32"/>
          <w:szCs w:val="32"/>
          <w:highlight w:val="none"/>
          <w:u w:val="none"/>
        </w:rPr>
      </w:pPr>
      <w:bookmarkStart w:id="27" w:name="_Toc10612"/>
      <w:r>
        <w:rPr>
          <w:rFonts w:hint="eastAsia"/>
          <w:color w:val="auto"/>
          <w:lang w:val="en-US" w:eastAsia="zh-CN"/>
        </w:rPr>
        <w:t>1.</w:t>
      </w:r>
      <w:r>
        <w:rPr>
          <w:rFonts w:hint="eastAsia"/>
          <w:color w:val="auto"/>
          <w:sz w:val="32"/>
          <w:szCs w:val="32"/>
          <w:highlight w:val="none"/>
          <w:u w:val="none"/>
        </w:rPr>
        <w:t>申报企业按照</w:t>
      </w:r>
      <w:r>
        <w:rPr>
          <w:rFonts w:hint="eastAsia"/>
          <w:color w:val="auto"/>
          <w:sz w:val="32"/>
          <w:szCs w:val="32"/>
          <w:highlight w:val="none"/>
          <w:u w:val="none"/>
          <w:lang w:eastAsia="zh-CN"/>
        </w:rPr>
        <w:t>各二级目录</w:t>
      </w:r>
      <w:r>
        <w:rPr>
          <w:rFonts w:hint="eastAsia"/>
          <w:color w:val="auto"/>
          <w:sz w:val="32"/>
          <w:szCs w:val="32"/>
          <w:highlight w:val="none"/>
          <w:u w:val="none"/>
        </w:rPr>
        <w:t>的最小竞价单位</w:t>
      </w:r>
      <w:r>
        <w:rPr>
          <w:rFonts w:hint="eastAsia"/>
          <w:color w:val="auto"/>
          <w:sz w:val="32"/>
          <w:szCs w:val="32"/>
          <w:highlight w:val="none"/>
          <w:u w:val="none"/>
          <w:lang w:eastAsia="zh-CN"/>
        </w:rPr>
        <w:t>申报价格</w:t>
      </w:r>
      <w:r>
        <w:rPr>
          <w:rFonts w:hint="eastAsia"/>
          <w:color w:val="auto"/>
          <w:sz w:val="32"/>
          <w:szCs w:val="32"/>
          <w:highlight w:val="none"/>
          <w:u w:val="none"/>
        </w:rPr>
        <w:t>，</w:t>
      </w:r>
      <w:bookmarkStart w:id="28" w:name="_Hlk121316927"/>
      <w:r>
        <w:rPr>
          <w:rFonts w:hint="eastAsia"/>
          <w:color w:val="auto"/>
          <w:sz w:val="32"/>
          <w:szCs w:val="32"/>
          <w:highlight w:val="none"/>
          <w:u w:val="none"/>
        </w:rPr>
        <w:t>根据拟中选规则产生拟中选</w:t>
      </w:r>
      <w:r>
        <w:rPr>
          <w:rFonts w:hint="eastAsia"/>
          <w:color w:val="auto"/>
          <w:sz w:val="32"/>
          <w:szCs w:val="32"/>
          <w:highlight w:val="none"/>
          <w:u w:val="none"/>
          <w:lang w:eastAsia="zh-CN"/>
        </w:rPr>
        <w:t>结果</w:t>
      </w:r>
      <w:r>
        <w:rPr>
          <w:rFonts w:hint="eastAsia"/>
          <w:color w:val="auto"/>
          <w:sz w:val="32"/>
          <w:szCs w:val="32"/>
          <w:highlight w:val="none"/>
          <w:u w:val="none"/>
        </w:rPr>
        <w:t>。</w:t>
      </w:r>
      <w:bookmarkEnd w:id="28"/>
    </w:p>
    <w:p>
      <w:pPr>
        <w:keepNext w:val="0"/>
        <w:keepLines w:val="0"/>
        <w:pageBreakBefore w:val="0"/>
        <w:widowControl w:val="0"/>
        <w:kinsoku/>
        <w:wordWrap/>
        <w:overflowPunct/>
        <w:topLinePunct w:val="0"/>
        <w:bidi w:val="0"/>
        <w:snapToGrid/>
        <w:spacing w:line="600" w:lineRule="exact"/>
        <w:ind w:firstLine="640"/>
        <w:jc w:val="both"/>
        <w:textAlignment w:val="auto"/>
        <w:rPr>
          <w:rFonts w:hint="eastAsia" w:cs="仿宋_GB2312"/>
          <w:color w:val="auto"/>
          <w:szCs w:val="32"/>
          <w:highlight w:val="none"/>
          <w:u w:val="none"/>
        </w:rPr>
      </w:pPr>
      <w:r>
        <w:rPr>
          <w:rFonts w:hint="eastAsia"/>
          <w:color w:val="auto"/>
          <w:lang w:val="en-US" w:eastAsia="zh-CN"/>
        </w:rPr>
        <w:t>2.</w:t>
      </w:r>
      <w:r>
        <w:rPr>
          <w:rFonts w:hint="eastAsia" w:cs="仿宋_GB2312"/>
          <w:color w:val="auto"/>
          <w:szCs w:val="32"/>
          <w:highlight w:val="none"/>
          <w:u w:val="none"/>
        </w:rPr>
        <w:t>企业申报价以人民币填报，单位为“元”，</w:t>
      </w:r>
      <w:r>
        <w:rPr>
          <w:rFonts w:hint="eastAsia" w:cs="仿宋_GB2312"/>
          <w:color w:val="auto"/>
          <w:szCs w:val="32"/>
          <w:highlight w:val="none"/>
          <w:u w:val="none"/>
          <w:lang w:eastAsia="zh-CN"/>
        </w:rPr>
        <w:t>至多</w:t>
      </w:r>
      <w:r>
        <w:rPr>
          <w:rFonts w:hint="eastAsia" w:cs="仿宋_GB2312"/>
          <w:color w:val="auto"/>
          <w:szCs w:val="32"/>
          <w:highlight w:val="none"/>
          <w:u w:val="none"/>
        </w:rPr>
        <w:t>保留</w:t>
      </w:r>
      <w:r>
        <w:rPr>
          <w:rFonts w:hint="eastAsia" w:cs="仿宋_GB2312"/>
          <w:color w:val="auto"/>
          <w:szCs w:val="32"/>
          <w:highlight w:val="none"/>
          <w:u w:val="none"/>
          <w:lang w:eastAsia="zh-CN"/>
        </w:rPr>
        <w:t>两位</w:t>
      </w:r>
      <w:r>
        <w:rPr>
          <w:rFonts w:hint="eastAsia" w:cs="仿宋_GB2312"/>
          <w:color w:val="auto"/>
          <w:szCs w:val="32"/>
          <w:highlight w:val="none"/>
          <w:u w:val="none"/>
        </w:rPr>
        <w:t>小数。申报企业应在规定时间内进行价格信息申报。未在规定时间内完成报价</w:t>
      </w:r>
      <w:r>
        <w:rPr>
          <w:rFonts w:hint="eastAsia" w:cs="仿宋_GB2312"/>
          <w:color w:val="auto"/>
          <w:szCs w:val="32"/>
          <w:highlight w:val="none"/>
          <w:u w:val="none"/>
          <w:lang w:eastAsia="zh-CN"/>
        </w:rPr>
        <w:t>解密，</w:t>
      </w:r>
      <w:r>
        <w:rPr>
          <w:rFonts w:hint="eastAsia" w:cs="仿宋_GB2312"/>
          <w:color w:val="auto"/>
          <w:szCs w:val="32"/>
          <w:highlight w:val="none"/>
          <w:u w:val="none"/>
          <w:lang w:val="en-US" w:eastAsia="zh-CN"/>
        </w:rPr>
        <w:t>或者报价</w:t>
      </w:r>
      <w:r>
        <w:rPr>
          <w:rFonts w:hint="eastAsia" w:cs="仿宋_GB2312"/>
          <w:color w:val="auto"/>
          <w:szCs w:val="32"/>
          <w:highlight w:val="none"/>
          <w:u w:val="none"/>
        </w:rPr>
        <w:t>为零</w:t>
      </w:r>
      <w:r>
        <w:rPr>
          <w:rFonts w:hint="eastAsia" w:cs="仿宋_GB2312"/>
          <w:color w:val="auto"/>
          <w:szCs w:val="32"/>
          <w:highlight w:val="none"/>
          <w:u w:val="none"/>
          <w:lang w:eastAsia="zh-CN"/>
        </w:rPr>
        <w:t>，</w:t>
      </w:r>
      <w:r>
        <w:rPr>
          <w:rFonts w:hint="eastAsia" w:cs="仿宋_GB2312"/>
          <w:color w:val="auto"/>
          <w:szCs w:val="32"/>
          <w:highlight w:val="none"/>
          <w:u w:val="none"/>
          <w:lang w:val="en-US" w:eastAsia="zh-CN"/>
        </w:rPr>
        <w:t>以及报价高于同目录分组</w:t>
      </w:r>
      <w:r>
        <w:rPr>
          <w:rFonts w:hint="eastAsia" w:ascii="仿宋_GB2312" w:hAnsi="仿宋_GB2312" w:eastAsia="仿宋_GB2312" w:cs="仿宋_GB2312"/>
          <w:color w:val="auto"/>
          <w:spacing w:val="0"/>
          <w:sz w:val="32"/>
          <w:highlight w:val="none"/>
          <w:u w:val="none"/>
        </w:rPr>
        <w:t>最高有效申报价</w:t>
      </w:r>
      <w:r>
        <w:rPr>
          <w:rFonts w:hint="eastAsia" w:cs="仿宋_GB2312"/>
          <w:color w:val="auto"/>
          <w:szCs w:val="32"/>
          <w:highlight w:val="none"/>
          <w:u w:val="none"/>
          <w:lang w:val="en-US" w:eastAsia="zh-CN"/>
        </w:rPr>
        <w:t>的</w:t>
      </w:r>
      <w:r>
        <w:rPr>
          <w:rFonts w:hint="eastAsia" w:cs="仿宋_GB2312"/>
          <w:color w:val="auto"/>
          <w:szCs w:val="32"/>
          <w:highlight w:val="none"/>
          <w:u w:val="none"/>
          <w:lang w:eastAsia="zh-CN"/>
        </w:rPr>
        <w:t>，视为无效申报企业</w:t>
      </w:r>
      <w:r>
        <w:rPr>
          <w:rFonts w:hint="eastAsia" w:cs="仿宋_GB2312"/>
          <w:color w:val="auto"/>
          <w:szCs w:val="32"/>
          <w:highlight w:val="none"/>
          <w:u w:val="none"/>
        </w:rPr>
        <w:t>。同时，企业报价不得高于本企业在各省级医药采购平台上最低挂网（中标）价、已开展集中带量采购的中选价格。</w:t>
      </w:r>
    </w:p>
    <w:p>
      <w:pPr>
        <w:keepNext w:val="0"/>
        <w:keepLines w:val="0"/>
        <w:pageBreakBefore w:val="0"/>
        <w:widowControl w:val="0"/>
        <w:kinsoku/>
        <w:wordWrap/>
        <w:overflowPunct/>
        <w:topLinePunct w:val="0"/>
        <w:bidi w:val="0"/>
        <w:snapToGrid/>
        <w:spacing w:line="600" w:lineRule="exact"/>
        <w:ind w:firstLine="640"/>
        <w:jc w:val="both"/>
        <w:textAlignment w:val="auto"/>
        <w:rPr>
          <w:rFonts w:hint="eastAsia" w:cs="仿宋_GB2312"/>
          <w:color w:val="auto"/>
          <w:szCs w:val="32"/>
          <w:highlight w:val="none"/>
          <w:u w:val="none"/>
          <w:lang w:val="en-US" w:eastAsia="zh-CN"/>
        </w:rPr>
      </w:pPr>
      <w:r>
        <w:rPr>
          <w:rFonts w:hint="eastAsia" w:cs="仿宋_GB2312"/>
          <w:color w:val="auto"/>
          <w:szCs w:val="32"/>
          <w:highlight w:val="none"/>
          <w:u w:val="none"/>
          <w:lang w:val="en-US" w:eastAsia="zh-CN"/>
        </w:rPr>
        <w:t>3.申报产品的申报价为满足临床使用的实际供应价，应包含税费、产品正常损耗、相关配件和配送等所有费用。</w:t>
      </w:r>
    </w:p>
    <w:p>
      <w:pPr>
        <w:keepNext w:val="0"/>
        <w:keepLines w:val="0"/>
        <w:pageBreakBefore w:val="0"/>
        <w:widowControl w:val="0"/>
        <w:numPr>
          <w:ilvl w:val="0"/>
          <w:numId w:val="0"/>
        </w:numPr>
        <w:kinsoku/>
        <w:wordWrap/>
        <w:overflowPunct/>
        <w:topLinePunct w:val="0"/>
        <w:bidi w:val="0"/>
        <w:snapToGrid/>
        <w:spacing w:line="600" w:lineRule="exact"/>
        <w:ind w:firstLine="640" w:firstLineChars="200"/>
        <w:jc w:val="both"/>
        <w:textAlignment w:val="auto"/>
        <w:rPr>
          <w:rFonts w:hint="eastAsia" w:cs="仿宋_GB2312"/>
          <w:color w:val="auto"/>
          <w:szCs w:val="32"/>
          <w:highlight w:val="none"/>
          <w:u w:val="none"/>
        </w:rPr>
      </w:pPr>
      <w:r>
        <w:rPr>
          <w:rFonts w:hint="eastAsia" w:cs="仿宋_GB2312"/>
          <w:color w:val="auto"/>
          <w:szCs w:val="32"/>
          <w:highlight w:val="none"/>
          <w:u w:val="none"/>
          <w:lang w:eastAsia="zh-CN"/>
        </w:rPr>
        <w:t>各分组目录内存在关联关系的企业，可同时投标，分别提交申报信息，并分别计算为该组有效申报企业数，</w:t>
      </w:r>
      <w:r>
        <w:rPr>
          <w:rFonts w:hint="eastAsia" w:cs="仿宋_GB2312"/>
          <w:color w:val="auto"/>
          <w:szCs w:val="32"/>
          <w:highlight w:val="none"/>
          <w:u w:val="none"/>
        </w:rPr>
        <w:t>但应按同一价格申报。</w:t>
      </w:r>
      <w:r>
        <w:rPr>
          <w:rFonts w:hint="eastAsia" w:cs="仿宋_GB2312"/>
          <w:color w:val="auto"/>
          <w:szCs w:val="32"/>
          <w:highlight w:val="none"/>
          <w:u w:val="none"/>
          <w:lang w:eastAsia="zh-CN"/>
        </w:rPr>
        <w:t>若申报价格不同，以</w:t>
      </w:r>
      <w:r>
        <w:rPr>
          <w:rFonts w:hint="eastAsia" w:cs="仿宋_GB2312"/>
          <w:color w:val="auto"/>
          <w:szCs w:val="32"/>
          <w:highlight w:val="none"/>
          <w:u w:val="none"/>
          <w:lang w:val="en-US" w:eastAsia="zh-CN"/>
        </w:rPr>
        <w:t>较低价格作为</w:t>
      </w:r>
      <w:r>
        <w:rPr>
          <w:rFonts w:hint="eastAsia" w:cs="仿宋_GB2312"/>
          <w:color w:val="auto"/>
          <w:szCs w:val="32"/>
          <w:highlight w:val="none"/>
          <w:u w:val="none"/>
          <w:lang w:eastAsia="zh-CN"/>
        </w:rPr>
        <w:t>有效申报</w:t>
      </w:r>
      <w:r>
        <w:rPr>
          <w:rFonts w:hint="eastAsia" w:cs="仿宋_GB2312"/>
          <w:color w:val="auto"/>
          <w:szCs w:val="32"/>
          <w:highlight w:val="none"/>
          <w:u w:val="none"/>
          <w:lang w:val="en-US" w:eastAsia="zh-CN"/>
        </w:rPr>
        <w:t>价格。</w:t>
      </w:r>
      <w:r>
        <w:rPr>
          <w:rFonts w:hint="eastAsia" w:cs="仿宋_GB2312"/>
          <w:color w:val="auto"/>
          <w:szCs w:val="32"/>
          <w:highlight w:val="none"/>
          <w:u w:val="none"/>
        </w:rPr>
        <w:t>若中选，各企业独立计算中选名额。</w:t>
      </w:r>
    </w:p>
    <w:p>
      <w:pPr>
        <w:keepNext w:val="0"/>
        <w:keepLines w:val="0"/>
        <w:pageBreakBefore w:val="0"/>
        <w:widowControl w:val="0"/>
        <w:numPr>
          <w:ilvl w:val="0"/>
          <w:numId w:val="0"/>
        </w:numPr>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cs="仿宋_GB2312"/>
          <w:color w:val="auto"/>
          <w:szCs w:val="32"/>
          <w:highlight w:val="none"/>
          <w:u w:val="none"/>
          <w:lang w:val="en-US" w:eastAsia="zh-CN"/>
        </w:rPr>
        <w:t>4</w:t>
      </w:r>
      <w:r>
        <w:rPr>
          <w:rFonts w:hint="eastAsia" w:cs="仿宋_GB2312"/>
          <w:color w:val="auto"/>
          <w:kern w:val="2"/>
          <w:sz w:val="32"/>
          <w:szCs w:val="32"/>
          <w:highlight w:val="none"/>
          <w:u w:val="none"/>
          <w:lang w:val="en-US" w:eastAsia="zh-CN" w:bidi="ar-SA"/>
        </w:rPr>
        <w:t>.</w:t>
      </w:r>
      <w:r>
        <w:rPr>
          <w:rFonts w:hint="eastAsia" w:ascii="仿宋_GB2312" w:hAnsi="仿宋_GB2312" w:eastAsia="仿宋_GB2312" w:cs="仿宋_GB2312"/>
          <w:color w:val="auto"/>
          <w:kern w:val="2"/>
          <w:sz w:val="32"/>
          <w:szCs w:val="32"/>
          <w:highlight w:val="none"/>
          <w:u w:val="none"/>
          <w:lang w:val="en-US" w:eastAsia="zh-CN" w:bidi="ar-SA"/>
        </w:rPr>
        <w:t>在规定时间内未申报或未按文件要求申报的,申报结束后不得补报或修改,由此引起的一切后果由申报企业自行负责。</w:t>
      </w:r>
    </w:p>
    <w:p>
      <w:pPr>
        <w:pStyle w:val="4"/>
        <w:keepNext w:val="0"/>
        <w:keepLines w:val="0"/>
        <w:pageBreakBefore w:val="0"/>
        <w:widowControl w:val="0"/>
        <w:kinsoku/>
        <w:wordWrap/>
        <w:topLinePunct w:val="0"/>
        <w:bidi w:val="0"/>
        <w:snapToGrid/>
        <w:spacing w:beforeLines="0" w:afterLines="0" w:line="600" w:lineRule="exact"/>
        <w:textAlignment w:val="auto"/>
        <w:rPr>
          <w:rFonts w:hint="eastAsia" w:ascii="黑体" w:hAnsi="黑体" w:eastAsia="黑体" w:cs="黑体"/>
          <w:color w:val="auto"/>
          <w:highlight w:val="none"/>
          <w:u w:val="none"/>
          <w:lang w:val="en-US" w:eastAsia="zh-CN"/>
        </w:rPr>
      </w:pPr>
      <w:bookmarkStart w:id="29" w:name="_Toc30926"/>
      <w:bookmarkStart w:id="30" w:name="_Toc1544"/>
      <w:r>
        <w:rPr>
          <w:rFonts w:hint="eastAsia" w:cs="黑体"/>
          <w:color w:val="auto"/>
          <w:highlight w:val="none"/>
          <w:u w:val="none"/>
          <w:lang w:val="en-US" w:eastAsia="zh-CN"/>
        </w:rPr>
        <w:t>三</w:t>
      </w:r>
      <w:r>
        <w:rPr>
          <w:rFonts w:hint="eastAsia" w:ascii="黑体" w:hAnsi="黑体" w:eastAsia="黑体" w:cs="黑体"/>
          <w:color w:val="auto"/>
          <w:highlight w:val="none"/>
          <w:u w:val="none"/>
          <w:lang w:val="en-US" w:eastAsia="zh-CN"/>
        </w:rPr>
        <w:t>、申报信息公开</w:t>
      </w:r>
      <w:bookmarkEnd w:id="29"/>
      <w:bookmarkEnd w:id="30"/>
    </w:p>
    <w:p>
      <w:pPr>
        <w:pStyle w:val="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lang w:val="en-US" w:eastAsia="zh-CN"/>
        </w:rPr>
      </w:pPr>
      <w:r>
        <w:rPr>
          <w:rFonts w:hint="eastAsia" w:ascii="仿宋_GB2312" w:hAnsi="仿宋_GB2312" w:eastAsia="仿宋_GB2312" w:cs="仿宋_GB2312"/>
          <w:color w:val="auto"/>
          <w:spacing w:val="0"/>
          <w:kern w:val="2"/>
          <w:sz w:val="32"/>
          <w:szCs w:val="32"/>
          <w:highlight w:val="none"/>
          <w:u w:val="none"/>
          <w:lang w:val="en-US" w:eastAsia="zh-CN" w:bidi="ar-SA"/>
        </w:rPr>
        <w:t>申报信息公开时邀请有关部门参加，对申报信息公开的全过程进行监督。</w:t>
      </w:r>
    </w:p>
    <w:p>
      <w:pPr>
        <w:pStyle w:val="4"/>
        <w:bidi w:val="0"/>
        <w:rPr>
          <w:rFonts w:hint="eastAsia"/>
          <w:lang w:val="en-US" w:eastAsia="zh-CN"/>
        </w:rPr>
      </w:pPr>
      <w:bookmarkStart w:id="31" w:name="_Toc4144"/>
      <w:r>
        <w:rPr>
          <w:rFonts w:hint="eastAsia"/>
          <w:lang w:val="en-US" w:eastAsia="zh-CN"/>
        </w:rPr>
        <w:t>四、拟中选企业确定</w:t>
      </w:r>
      <w:bookmarkEnd w:id="27"/>
      <w:bookmarkEnd w:id="31"/>
    </w:p>
    <w:p>
      <w:pPr>
        <w:pStyle w:val="2"/>
        <w:bidi w:val="0"/>
        <w:ind w:firstLine="640" w:firstLineChars="200"/>
        <w:rPr>
          <w:rFonts w:hint="eastAsia" w:ascii="仿宋_GB2312" w:hAnsi="仿宋_GB2312" w:eastAsia="仿宋_GB2312" w:cstheme="minorBidi"/>
          <w:color w:val="auto"/>
          <w:kern w:val="2"/>
          <w:sz w:val="32"/>
          <w:szCs w:val="24"/>
          <w:lang w:val="en-US" w:eastAsia="zh-CN" w:bidi="ar-SA"/>
        </w:rPr>
      </w:pPr>
      <w:r>
        <w:rPr>
          <w:rFonts w:hint="eastAsia" w:ascii="仿宋_GB2312" w:hAnsi="仿宋_GB2312" w:eastAsia="仿宋_GB2312" w:cstheme="minorBidi"/>
          <w:color w:val="auto"/>
          <w:kern w:val="2"/>
          <w:sz w:val="32"/>
          <w:szCs w:val="24"/>
          <w:lang w:val="en-US" w:eastAsia="zh-CN" w:bidi="ar-SA"/>
        </w:rPr>
        <w:t>（一）拟中选企业数</w:t>
      </w:r>
    </w:p>
    <w:p>
      <w:pPr>
        <w:keepNext w:val="0"/>
        <w:keepLines w:val="0"/>
        <w:pageBreakBefore w:val="0"/>
        <w:widowControl w:val="0"/>
        <w:kinsoku/>
        <w:wordWrap/>
        <w:overflowPunct/>
        <w:topLinePunct w:val="0"/>
        <w:bidi w:val="0"/>
        <w:snapToGrid/>
        <w:spacing w:line="600" w:lineRule="exact"/>
        <w:ind w:firstLine="640"/>
        <w:textAlignment w:val="auto"/>
        <w:rPr>
          <w:rFonts w:hint="eastAsia"/>
        </w:rPr>
      </w:pPr>
      <w:r>
        <w:rPr>
          <w:rFonts w:hint="eastAsia"/>
          <w:color w:val="auto"/>
          <w:highlight w:val="none"/>
          <w:u w:val="none"/>
        </w:rPr>
        <w:t>采购目录中，各组最多</w:t>
      </w:r>
      <w:r>
        <w:rPr>
          <w:rFonts w:hint="eastAsia"/>
          <w:color w:val="auto"/>
          <w:highlight w:val="none"/>
          <w:u w:val="none"/>
          <w:lang w:eastAsia="zh-CN"/>
        </w:rPr>
        <w:t>拟中选</w:t>
      </w:r>
      <w:r>
        <w:rPr>
          <w:rFonts w:hint="eastAsia"/>
          <w:color w:val="auto"/>
          <w:highlight w:val="none"/>
          <w:u w:val="none"/>
        </w:rPr>
        <w:t>企业数根据符合要求的</w:t>
      </w:r>
      <w:r>
        <w:rPr>
          <w:rFonts w:hint="eastAsia"/>
          <w:color w:val="auto"/>
          <w:highlight w:val="none"/>
          <w:u w:val="none"/>
          <w:lang w:eastAsia="zh-CN"/>
        </w:rPr>
        <w:t>有效</w:t>
      </w:r>
      <w:r>
        <w:rPr>
          <w:rFonts w:hint="eastAsia"/>
          <w:color w:val="auto"/>
          <w:highlight w:val="none"/>
          <w:u w:val="none"/>
        </w:rPr>
        <w:t>申报企业数确定，详见下表。</w:t>
      </w:r>
    </w:p>
    <w:tbl>
      <w:tblPr>
        <w:tblStyle w:val="12"/>
        <w:tblpPr w:leftFromText="180" w:rightFromText="180" w:vertAnchor="text" w:horzAnchor="page" w:tblpX="1359" w:tblpY="57"/>
        <w:tblOverlap w:val="never"/>
        <w:tblW w:w="9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265"/>
        <w:gridCol w:w="2265"/>
        <w:gridCol w:w="2265"/>
        <w:gridCol w:w="22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2265" w:type="dxa"/>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leftChars="0" w:right="153" w:firstLine="0" w:firstLineChars="0"/>
              <w:jc w:val="center"/>
              <w:textAlignment w:val="auto"/>
              <w:rPr>
                <w:rFonts w:hint="eastAsia" w:ascii="黑体" w:hAnsi="黑体" w:eastAsia="黑体" w:cs="黑体"/>
                <w:color w:val="auto"/>
                <w:kern w:val="2"/>
                <w:sz w:val="24"/>
                <w:szCs w:val="24"/>
                <w:highlight w:val="none"/>
                <w:u w:val="none"/>
                <w:lang w:val="en-US" w:eastAsia="zh-CN" w:bidi="ar-SA"/>
              </w:rPr>
            </w:pPr>
            <w:r>
              <w:rPr>
                <w:rFonts w:hint="eastAsia" w:ascii="黑体" w:hAnsi="黑体" w:eastAsia="黑体" w:cs="黑体"/>
                <w:color w:val="auto"/>
                <w:kern w:val="2"/>
                <w:sz w:val="24"/>
                <w:szCs w:val="24"/>
                <w:highlight w:val="none"/>
                <w:u w:val="none"/>
                <w:lang w:val="en-US" w:eastAsia="zh-CN" w:bidi="ar-SA"/>
              </w:rPr>
              <w:t>有效申报</w:t>
            </w:r>
          </w:p>
          <w:p>
            <w:pPr>
              <w:pStyle w:val="20"/>
              <w:keepNext w:val="0"/>
              <w:keepLines w:val="0"/>
              <w:pageBreakBefore w:val="0"/>
              <w:widowControl w:val="0"/>
              <w:kinsoku/>
              <w:wordWrap/>
              <w:overflowPunct/>
              <w:topLinePunct w:val="0"/>
              <w:autoSpaceDE/>
              <w:autoSpaceDN/>
              <w:bidi w:val="0"/>
              <w:adjustRightInd/>
              <w:snapToGrid/>
              <w:spacing w:before="0" w:line="300" w:lineRule="exact"/>
              <w:ind w:left="0" w:leftChars="0" w:right="153" w:firstLine="0" w:firstLineChars="0"/>
              <w:jc w:val="center"/>
              <w:textAlignment w:val="auto"/>
              <w:rPr>
                <w:rFonts w:hint="eastAsia" w:ascii="黑体" w:hAnsi="黑体" w:eastAsia="黑体" w:cs="黑体"/>
                <w:color w:val="auto"/>
                <w:kern w:val="2"/>
                <w:sz w:val="24"/>
                <w:szCs w:val="24"/>
                <w:highlight w:val="none"/>
                <w:u w:val="none"/>
                <w:lang w:val="en-US" w:eastAsia="zh-CN" w:bidi="ar-SA"/>
              </w:rPr>
            </w:pPr>
            <w:r>
              <w:rPr>
                <w:rFonts w:hint="eastAsia" w:ascii="黑体" w:hAnsi="黑体" w:eastAsia="黑体" w:cs="黑体"/>
                <w:color w:val="auto"/>
                <w:kern w:val="2"/>
                <w:sz w:val="24"/>
                <w:szCs w:val="24"/>
                <w:highlight w:val="none"/>
                <w:u w:val="none"/>
                <w:lang w:val="en-US" w:eastAsia="zh-CN" w:bidi="ar-SA"/>
              </w:rPr>
              <w:t>企业数</w:t>
            </w:r>
          </w:p>
        </w:tc>
        <w:tc>
          <w:tcPr>
            <w:tcW w:w="2265" w:type="dxa"/>
            <w:tcBorders>
              <w:right w:val="double" w:color="000000" w:sz="0"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leftChars="0" w:right="93" w:firstLine="0" w:firstLineChars="0"/>
              <w:jc w:val="center"/>
              <w:textAlignment w:val="auto"/>
              <w:rPr>
                <w:rFonts w:hint="eastAsia" w:ascii="黑体" w:hAnsi="黑体" w:eastAsia="黑体" w:cs="黑体"/>
                <w:color w:val="auto"/>
                <w:kern w:val="2"/>
                <w:sz w:val="24"/>
                <w:szCs w:val="24"/>
                <w:highlight w:val="none"/>
                <w:u w:val="none"/>
                <w:lang w:val="en-US" w:eastAsia="zh-CN" w:bidi="ar-SA"/>
              </w:rPr>
            </w:pPr>
            <w:r>
              <w:rPr>
                <w:rFonts w:hint="eastAsia" w:ascii="黑体" w:hAnsi="黑体" w:eastAsia="黑体" w:cs="黑体"/>
                <w:color w:val="auto"/>
                <w:kern w:val="2"/>
                <w:sz w:val="24"/>
                <w:szCs w:val="24"/>
                <w:highlight w:val="none"/>
                <w:u w:val="none"/>
                <w:lang w:val="en-US" w:eastAsia="zh-CN" w:bidi="ar-SA"/>
              </w:rPr>
              <w:t>最多拟中选</w:t>
            </w:r>
          </w:p>
          <w:p>
            <w:pPr>
              <w:pStyle w:val="20"/>
              <w:keepNext w:val="0"/>
              <w:keepLines w:val="0"/>
              <w:pageBreakBefore w:val="0"/>
              <w:widowControl w:val="0"/>
              <w:kinsoku/>
              <w:wordWrap/>
              <w:overflowPunct/>
              <w:topLinePunct w:val="0"/>
              <w:autoSpaceDE/>
              <w:autoSpaceDN/>
              <w:bidi w:val="0"/>
              <w:adjustRightInd/>
              <w:snapToGrid/>
              <w:spacing w:before="0" w:line="300" w:lineRule="exact"/>
              <w:ind w:left="0" w:leftChars="0" w:right="93" w:firstLine="0" w:firstLineChars="0"/>
              <w:jc w:val="center"/>
              <w:textAlignment w:val="auto"/>
              <w:rPr>
                <w:rFonts w:hint="eastAsia" w:ascii="黑体" w:hAnsi="黑体" w:eastAsia="黑体" w:cs="黑体"/>
                <w:i w:val="0"/>
                <w:iCs w:val="0"/>
                <w:color w:val="auto"/>
                <w:kern w:val="0"/>
                <w:sz w:val="24"/>
                <w:szCs w:val="24"/>
                <w:highlight w:val="none"/>
                <w:u w:val="none"/>
                <w:lang w:val="en-US" w:eastAsia="zh-CN" w:bidi="ar"/>
              </w:rPr>
            </w:pPr>
            <w:r>
              <w:rPr>
                <w:rFonts w:hint="eastAsia" w:ascii="黑体" w:hAnsi="黑体" w:eastAsia="黑体" w:cs="黑体"/>
                <w:color w:val="auto"/>
                <w:kern w:val="2"/>
                <w:sz w:val="24"/>
                <w:szCs w:val="24"/>
                <w:highlight w:val="none"/>
                <w:u w:val="none"/>
                <w:lang w:val="en-US" w:eastAsia="zh-CN" w:bidi="ar-SA"/>
              </w:rPr>
              <w:t>企业数额</w:t>
            </w:r>
          </w:p>
        </w:tc>
        <w:tc>
          <w:tcPr>
            <w:tcW w:w="2265" w:type="dxa"/>
            <w:tcBorders>
              <w:left w:val="double" w:color="000000" w:sz="0" w:space="0"/>
              <w:right w:val="single" w:color="auto"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leftChars="0" w:right="127" w:firstLine="0" w:firstLineChars="0"/>
              <w:jc w:val="center"/>
              <w:textAlignment w:val="auto"/>
              <w:rPr>
                <w:rFonts w:hint="eastAsia" w:ascii="黑体" w:hAnsi="黑体" w:eastAsia="黑体" w:cs="黑体"/>
                <w:color w:val="auto"/>
                <w:kern w:val="2"/>
                <w:sz w:val="24"/>
                <w:szCs w:val="24"/>
                <w:highlight w:val="none"/>
                <w:u w:val="none"/>
                <w:lang w:val="en-US" w:eastAsia="zh-CN" w:bidi="ar-SA"/>
              </w:rPr>
            </w:pPr>
            <w:r>
              <w:rPr>
                <w:rFonts w:hint="eastAsia" w:ascii="黑体" w:hAnsi="黑体" w:eastAsia="黑体" w:cs="黑体"/>
                <w:color w:val="auto"/>
                <w:kern w:val="2"/>
                <w:sz w:val="24"/>
                <w:szCs w:val="24"/>
                <w:highlight w:val="none"/>
                <w:u w:val="none"/>
                <w:lang w:val="en-US" w:eastAsia="zh-CN" w:bidi="ar-SA"/>
              </w:rPr>
              <w:t>有效申报</w:t>
            </w:r>
          </w:p>
          <w:p>
            <w:pPr>
              <w:pStyle w:val="20"/>
              <w:keepNext w:val="0"/>
              <w:keepLines w:val="0"/>
              <w:pageBreakBefore w:val="0"/>
              <w:widowControl w:val="0"/>
              <w:kinsoku/>
              <w:wordWrap/>
              <w:overflowPunct/>
              <w:topLinePunct w:val="0"/>
              <w:autoSpaceDE/>
              <w:autoSpaceDN/>
              <w:bidi w:val="0"/>
              <w:adjustRightInd/>
              <w:snapToGrid/>
              <w:spacing w:before="0" w:line="300" w:lineRule="exact"/>
              <w:ind w:left="0" w:leftChars="0" w:right="127" w:firstLine="0" w:firstLineChars="0"/>
              <w:jc w:val="center"/>
              <w:textAlignment w:val="auto"/>
              <w:rPr>
                <w:rFonts w:hint="eastAsia" w:ascii="黑体" w:hAnsi="黑体" w:eastAsia="黑体" w:cs="黑体"/>
                <w:color w:val="auto"/>
                <w:kern w:val="2"/>
                <w:sz w:val="24"/>
                <w:szCs w:val="24"/>
                <w:highlight w:val="none"/>
                <w:u w:val="none"/>
                <w:lang w:val="en-US" w:eastAsia="zh-CN" w:bidi="ar-SA"/>
              </w:rPr>
            </w:pPr>
            <w:r>
              <w:rPr>
                <w:rFonts w:hint="eastAsia" w:ascii="黑体" w:hAnsi="黑体" w:eastAsia="黑体" w:cs="黑体"/>
                <w:color w:val="auto"/>
                <w:kern w:val="2"/>
                <w:sz w:val="24"/>
                <w:szCs w:val="24"/>
                <w:highlight w:val="none"/>
                <w:u w:val="none"/>
                <w:lang w:val="en-US" w:eastAsia="zh-CN" w:bidi="ar-SA"/>
              </w:rPr>
              <w:t>企业数</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leftChars="0" w:right="93" w:firstLine="0" w:firstLineChars="0"/>
              <w:jc w:val="center"/>
              <w:textAlignment w:val="auto"/>
              <w:rPr>
                <w:rFonts w:hint="eastAsia" w:ascii="黑体" w:hAnsi="黑体" w:eastAsia="黑体" w:cs="黑体"/>
                <w:color w:val="auto"/>
                <w:kern w:val="2"/>
                <w:sz w:val="24"/>
                <w:szCs w:val="24"/>
                <w:highlight w:val="none"/>
                <w:u w:val="none"/>
                <w:lang w:val="en-US" w:eastAsia="zh-CN" w:bidi="ar-SA"/>
              </w:rPr>
            </w:pPr>
            <w:r>
              <w:rPr>
                <w:rFonts w:hint="eastAsia" w:ascii="黑体" w:hAnsi="黑体" w:eastAsia="黑体" w:cs="黑体"/>
                <w:color w:val="auto"/>
                <w:kern w:val="2"/>
                <w:sz w:val="24"/>
                <w:szCs w:val="24"/>
                <w:highlight w:val="none"/>
                <w:u w:val="none"/>
                <w:lang w:val="en-US" w:eastAsia="zh-CN" w:bidi="ar-SA"/>
              </w:rPr>
              <w:t>最多拟中选</w:t>
            </w:r>
          </w:p>
          <w:p>
            <w:pPr>
              <w:pStyle w:val="20"/>
              <w:keepNext w:val="0"/>
              <w:keepLines w:val="0"/>
              <w:pageBreakBefore w:val="0"/>
              <w:widowControl w:val="0"/>
              <w:kinsoku/>
              <w:wordWrap/>
              <w:overflowPunct/>
              <w:topLinePunct w:val="0"/>
              <w:autoSpaceDE/>
              <w:autoSpaceDN/>
              <w:bidi w:val="0"/>
              <w:adjustRightInd/>
              <w:snapToGrid/>
              <w:spacing w:before="0" w:line="300" w:lineRule="exact"/>
              <w:ind w:left="0" w:leftChars="0" w:right="119" w:firstLine="0" w:firstLineChars="0"/>
              <w:jc w:val="center"/>
              <w:textAlignment w:val="auto"/>
              <w:rPr>
                <w:rFonts w:hint="eastAsia" w:ascii="黑体" w:hAnsi="黑体" w:eastAsia="黑体" w:cs="黑体"/>
                <w:color w:val="auto"/>
                <w:kern w:val="2"/>
                <w:sz w:val="24"/>
                <w:szCs w:val="24"/>
                <w:highlight w:val="none"/>
                <w:u w:val="none"/>
                <w:lang w:val="en-US" w:eastAsia="zh-CN" w:bidi="ar-SA"/>
              </w:rPr>
            </w:pPr>
            <w:r>
              <w:rPr>
                <w:rFonts w:hint="eastAsia" w:ascii="黑体" w:hAnsi="黑体" w:eastAsia="黑体" w:cs="黑体"/>
                <w:color w:val="auto"/>
                <w:kern w:val="2"/>
                <w:sz w:val="24"/>
                <w:szCs w:val="24"/>
                <w:highlight w:val="none"/>
                <w:u w:val="none"/>
                <w:lang w:val="en-US" w:eastAsia="zh-CN" w:bidi="ar-SA"/>
              </w:rPr>
              <w:t>企业数额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65" w:type="dxa"/>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2265" w:type="dxa"/>
            <w:tcBorders>
              <w:right w:val="double" w:color="000000" w:sz="0"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2265" w:type="dxa"/>
            <w:tcBorders>
              <w:left w:val="double" w:color="000000" w:sz="0" w:space="0"/>
              <w:right w:val="single" w:color="auto"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16</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65" w:type="dxa"/>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2265" w:type="dxa"/>
            <w:tcBorders>
              <w:right w:val="double" w:color="000000" w:sz="0"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2265" w:type="dxa"/>
            <w:tcBorders>
              <w:left w:val="double" w:color="000000" w:sz="0" w:space="0"/>
              <w:right w:val="single" w:color="auto"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17</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65" w:type="dxa"/>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2265" w:type="dxa"/>
            <w:tcBorders>
              <w:right w:val="double" w:color="000000" w:sz="0"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 w:eastAsia="zh-CN" w:bidi="ar"/>
              </w:rPr>
            </w:pPr>
            <w:r>
              <w:rPr>
                <w:rFonts w:hint="eastAsia" w:ascii="宋体" w:hAnsi="宋体" w:eastAsia="宋体" w:cs="宋体"/>
                <w:i w:val="0"/>
                <w:iCs w:val="0"/>
                <w:color w:val="auto"/>
                <w:kern w:val="0"/>
                <w:sz w:val="24"/>
                <w:szCs w:val="24"/>
                <w:highlight w:val="none"/>
                <w:u w:val="none"/>
                <w:lang w:val="en" w:eastAsia="zh-CN" w:bidi="ar"/>
              </w:rPr>
              <w:t>2</w:t>
            </w:r>
          </w:p>
        </w:tc>
        <w:tc>
          <w:tcPr>
            <w:tcW w:w="2265" w:type="dxa"/>
            <w:tcBorders>
              <w:left w:val="double" w:color="000000" w:sz="0" w:space="0"/>
              <w:right w:val="single" w:color="auto"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18</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65" w:type="dxa"/>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2265" w:type="dxa"/>
            <w:tcBorders>
              <w:right w:val="double" w:color="000000" w:sz="0"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2265" w:type="dxa"/>
            <w:tcBorders>
              <w:left w:val="double" w:color="000000" w:sz="0" w:space="0"/>
              <w:right w:val="single" w:color="auto"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19</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65" w:type="dxa"/>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2265" w:type="dxa"/>
            <w:tcBorders>
              <w:right w:val="double" w:color="000000" w:sz="0"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2265" w:type="dxa"/>
            <w:tcBorders>
              <w:left w:val="double" w:color="000000" w:sz="0" w:space="0"/>
              <w:right w:val="single" w:color="auto"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65" w:type="dxa"/>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2265" w:type="dxa"/>
            <w:tcBorders>
              <w:right w:val="double" w:color="000000" w:sz="0"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2265" w:type="dxa"/>
            <w:tcBorders>
              <w:left w:val="double" w:color="000000" w:sz="0" w:space="0"/>
              <w:right w:val="single" w:color="auto"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21</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65" w:type="dxa"/>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w:t>
            </w:r>
          </w:p>
        </w:tc>
        <w:tc>
          <w:tcPr>
            <w:tcW w:w="2265" w:type="dxa"/>
            <w:tcBorders>
              <w:right w:val="double" w:color="000000" w:sz="0"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2265" w:type="dxa"/>
            <w:tcBorders>
              <w:left w:val="double" w:color="000000" w:sz="0" w:space="0"/>
              <w:right w:val="single" w:color="auto"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22</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65" w:type="dxa"/>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2265" w:type="dxa"/>
            <w:tcBorders>
              <w:right w:val="double" w:color="000000" w:sz="0"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2265" w:type="dxa"/>
            <w:tcBorders>
              <w:left w:val="double" w:color="000000" w:sz="0" w:space="0"/>
              <w:right w:val="single" w:color="auto"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23</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65" w:type="dxa"/>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w:t>
            </w:r>
          </w:p>
        </w:tc>
        <w:tc>
          <w:tcPr>
            <w:tcW w:w="2265" w:type="dxa"/>
            <w:tcBorders>
              <w:right w:val="double" w:color="000000" w:sz="0"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w:t>
            </w:r>
          </w:p>
        </w:tc>
        <w:tc>
          <w:tcPr>
            <w:tcW w:w="2265" w:type="dxa"/>
            <w:tcBorders>
              <w:left w:val="double" w:color="000000" w:sz="0" w:space="0"/>
              <w:right w:val="single" w:color="auto"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24</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65" w:type="dxa"/>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2265" w:type="dxa"/>
            <w:tcBorders>
              <w:right w:val="double" w:color="000000" w:sz="0"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2265" w:type="dxa"/>
            <w:tcBorders>
              <w:left w:val="double" w:color="000000" w:sz="0" w:space="0"/>
              <w:right w:val="single" w:color="auto"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25</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65" w:type="dxa"/>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w:t>
            </w:r>
          </w:p>
        </w:tc>
        <w:tc>
          <w:tcPr>
            <w:tcW w:w="2265" w:type="dxa"/>
            <w:tcBorders>
              <w:right w:val="double" w:color="000000" w:sz="0"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2265" w:type="dxa"/>
            <w:tcBorders>
              <w:left w:val="double" w:color="000000" w:sz="0" w:space="0"/>
              <w:right w:val="single" w:color="auto"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26</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65" w:type="dxa"/>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w:t>
            </w:r>
          </w:p>
        </w:tc>
        <w:tc>
          <w:tcPr>
            <w:tcW w:w="2265" w:type="dxa"/>
            <w:tcBorders>
              <w:right w:val="double" w:color="000000" w:sz="0"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2265" w:type="dxa"/>
            <w:tcBorders>
              <w:left w:val="double" w:color="000000" w:sz="0" w:space="0"/>
              <w:right w:val="single" w:color="auto"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27</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65" w:type="dxa"/>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w:t>
            </w:r>
          </w:p>
        </w:tc>
        <w:tc>
          <w:tcPr>
            <w:tcW w:w="2265" w:type="dxa"/>
            <w:tcBorders>
              <w:right w:val="double" w:color="000000" w:sz="0"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2265" w:type="dxa"/>
            <w:tcBorders>
              <w:left w:val="double" w:color="000000" w:sz="0" w:space="0"/>
              <w:right w:val="single" w:color="auto"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28</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65" w:type="dxa"/>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w:t>
            </w:r>
          </w:p>
        </w:tc>
        <w:tc>
          <w:tcPr>
            <w:tcW w:w="2265" w:type="dxa"/>
            <w:tcBorders>
              <w:right w:val="double" w:color="000000" w:sz="0"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w:t>
            </w:r>
          </w:p>
        </w:tc>
        <w:tc>
          <w:tcPr>
            <w:tcW w:w="2265" w:type="dxa"/>
            <w:tcBorders>
              <w:left w:val="double" w:color="000000" w:sz="0" w:space="0"/>
              <w:right w:val="single" w:color="auto"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29</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2265" w:type="dxa"/>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w:t>
            </w:r>
          </w:p>
        </w:tc>
        <w:tc>
          <w:tcPr>
            <w:tcW w:w="2265" w:type="dxa"/>
            <w:tcBorders>
              <w:right w:val="double" w:color="000000" w:sz="0"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w:t>
            </w:r>
          </w:p>
        </w:tc>
        <w:tc>
          <w:tcPr>
            <w:tcW w:w="2265" w:type="dxa"/>
            <w:tcBorders>
              <w:left w:val="double" w:color="000000" w:sz="0" w:space="0"/>
              <w:right w:val="single" w:color="auto"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24</w:t>
            </w:r>
          </w:p>
        </w:tc>
      </w:tr>
    </w:tbl>
    <w:p>
      <w:pPr>
        <w:pStyle w:val="2"/>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auto"/>
          <w:kern w:val="2"/>
          <w:sz w:val="32"/>
          <w:highlight w:val="none"/>
          <w:u w:val="none"/>
        </w:rPr>
      </w:pPr>
      <w:r>
        <w:rPr>
          <w:rFonts w:hint="eastAsia" w:ascii="仿宋_GB2312" w:hAnsi="仿宋_GB2312" w:eastAsia="仿宋_GB2312" w:cs="仿宋_GB2312"/>
          <w:color w:val="auto"/>
          <w:kern w:val="2"/>
          <w:sz w:val="32"/>
          <w:highlight w:val="none"/>
          <w:u w:val="none"/>
        </w:rPr>
        <w:t>同组内，依据企业申报价格按照由低到高的顺序确定排名，申报价格最低的为第一名，次低的为第二名，依此类推。申报价格相同的情况，按照以下规则依次确定排名：</w:t>
      </w:r>
    </w:p>
    <w:p>
      <w:pPr>
        <w:pStyle w:val="2"/>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auto"/>
          <w:kern w:val="2"/>
          <w:sz w:val="32"/>
          <w:highlight w:val="none"/>
          <w:u w:val="none"/>
        </w:rPr>
      </w:pPr>
      <w:r>
        <w:rPr>
          <w:rFonts w:hint="eastAsia" w:ascii="仿宋_GB2312" w:hAnsi="仿宋_GB2312" w:eastAsia="仿宋_GB2312" w:cs="仿宋_GB2312"/>
          <w:color w:val="auto"/>
          <w:kern w:val="2"/>
          <w:sz w:val="32"/>
          <w:highlight w:val="none"/>
          <w:u w:val="none"/>
        </w:rPr>
        <w:t>1.未被任意一省依据医药价格和招采信用评价制度评定为“中等”“严重”或“特别严重”失信等级的企业优先；</w:t>
      </w:r>
    </w:p>
    <w:p>
      <w:pPr>
        <w:pStyle w:val="2"/>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auto"/>
          <w:kern w:val="2"/>
          <w:sz w:val="32"/>
          <w:highlight w:val="none"/>
          <w:u w:val="none"/>
          <w:lang w:eastAsia="zh-CN"/>
        </w:rPr>
      </w:pPr>
      <w:r>
        <w:rPr>
          <w:rFonts w:hint="eastAsia" w:ascii="仿宋_GB2312" w:hAnsi="仿宋_GB2312" w:eastAsia="仿宋_GB2312" w:cs="仿宋_GB2312"/>
          <w:color w:val="auto"/>
          <w:kern w:val="2"/>
          <w:sz w:val="32"/>
          <w:highlight w:val="none"/>
          <w:u w:val="none"/>
        </w:rPr>
        <w:t>2.同</w:t>
      </w:r>
      <w:r>
        <w:rPr>
          <w:rFonts w:hint="eastAsia" w:ascii="仿宋_GB2312" w:hAnsi="仿宋_GB2312" w:eastAsia="仿宋_GB2312" w:cs="仿宋_GB2312"/>
          <w:color w:val="auto"/>
          <w:kern w:val="2"/>
          <w:sz w:val="32"/>
          <w:highlight w:val="none"/>
        </w:rPr>
        <w:t>组</w:t>
      </w:r>
      <w:r>
        <w:rPr>
          <w:rFonts w:hint="eastAsia" w:ascii="仿宋_GB2312" w:hAnsi="仿宋_GB2312" w:eastAsia="仿宋_GB2312" w:cs="仿宋_GB2312"/>
          <w:color w:val="auto"/>
          <w:kern w:val="2"/>
          <w:sz w:val="32"/>
          <w:highlight w:val="none"/>
          <w:u w:val="none"/>
        </w:rPr>
        <w:t>内，医疗机构采购需求量大的企业优先</w:t>
      </w:r>
      <w:r>
        <w:rPr>
          <w:rFonts w:hint="eastAsia" w:ascii="仿宋_GB2312" w:hAnsi="仿宋_GB2312" w:eastAsia="仿宋_GB2312" w:cs="仿宋_GB2312"/>
          <w:color w:val="auto"/>
          <w:kern w:val="2"/>
          <w:sz w:val="32"/>
          <w:highlight w:val="none"/>
          <w:u w:val="none"/>
          <w:lang w:eastAsia="zh-CN"/>
        </w:rPr>
        <w:t>；</w:t>
      </w:r>
    </w:p>
    <w:p>
      <w:pPr>
        <w:pStyle w:val="2"/>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auto"/>
          <w:kern w:val="2"/>
          <w:sz w:val="32"/>
          <w:highlight w:val="none"/>
          <w:u w:val="none"/>
          <w:lang w:val="en-US" w:eastAsia="zh-CN"/>
        </w:rPr>
      </w:pPr>
      <w:r>
        <w:rPr>
          <w:rFonts w:hint="eastAsia" w:ascii="仿宋_GB2312" w:hAnsi="仿宋_GB2312" w:eastAsia="仿宋_GB2312" w:cs="仿宋_GB2312"/>
          <w:color w:val="auto"/>
          <w:kern w:val="2"/>
          <w:sz w:val="32"/>
          <w:highlight w:val="none"/>
          <w:u w:val="none"/>
          <w:lang w:val="en-US" w:eastAsia="zh-CN"/>
        </w:rPr>
        <w:t>同组内，若企业申报同一价格时，出现一家拟中选和一家未中选情况，则视未中选为拟中选。</w:t>
      </w:r>
    </w:p>
    <w:p>
      <w:pPr>
        <w:keepNext w:val="0"/>
        <w:keepLines w:val="0"/>
        <w:pageBreakBefore w:val="0"/>
        <w:widowControl w:val="0"/>
        <w:kinsoku/>
        <w:wordWrap/>
        <w:overflowPunct/>
        <w:topLinePunct w:val="0"/>
        <w:bidi w:val="0"/>
        <w:snapToGrid/>
        <w:spacing w:line="600" w:lineRule="exact"/>
        <w:textAlignment w:val="auto"/>
        <w:rPr>
          <w:rFonts w:hint="eastAsia" w:ascii="楷体_GB2312" w:hAnsi="楷体_GB2312" w:eastAsia="楷体_GB2312" w:cs="楷体_GB2312"/>
          <w:highlight w:val="none"/>
          <w:u w:val="none"/>
          <w:lang w:val="en-US" w:eastAsia="zh-CN"/>
        </w:rPr>
      </w:pPr>
      <w:r>
        <w:rPr>
          <w:rFonts w:hint="eastAsia" w:ascii="楷体_GB2312" w:hAnsi="楷体_GB2312" w:eastAsia="楷体_GB2312" w:cs="楷体_GB2312"/>
          <w:highlight w:val="none"/>
          <w:u w:val="none"/>
          <w:lang w:val="en-US" w:eastAsia="zh-CN"/>
        </w:rPr>
        <w:t>（二）拟中选规则</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bookmarkStart w:id="32" w:name="_Toc20904"/>
      <w:r>
        <w:rPr>
          <w:rFonts w:hint="eastAsia" w:ascii="仿宋_GB2312" w:hAnsi="仿宋_GB2312" w:eastAsia="仿宋_GB2312" w:cs="仿宋_GB2312"/>
          <w:color w:val="auto"/>
          <w:sz w:val="32"/>
          <w:szCs w:val="32"/>
          <w:highlight w:val="none"/>
          <w:u w:val="none"/>
        </w:rPr>
        <w:t>符合申报要求的企业实际申报数为</w:t>
      </w:r>
      <w:r>
        <w:rPr>
          <w:rFonts w:hint="eastAsia"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rPr>
        <w:t>家及以上的，采取竞价的方式产生中选结果；实际申报数为1家</w:t>
      </w:r>
      <w:r>
        <w:rPr>
          <w:rFonts w:hint="eastAsia" w:cs="仿宋_GB2312"/>
          <w:color w:val="auto"/>
          <w:sz w:val="32"/>
          <w:szCs w:val="32"/>
          <w:highlight w:val="none"/>
          <w:u w:val="none"/>
          <w:lang w:eastAsia="zh-CN"/>
        </w:rPr>
        <w:t>和</w:t>
      </w:r>
      <w:r>
        <w:rPr>
          <w:rFonts w:hint="eastAsia" w:cs="仿宋_GB2312"/>
          <w:color w:val="auto"/>
          <w:sz w:val="32"/>
          <w:szCs w:val="32"/>
          <w:highlight w:val="none"/>
          <w:u w:val="none"/>
          <w:lang w:val="en-US" w:eastAsia="zh-CN"/>
        </w:rPr>
        <w:t>2家</w:t>
      </w:r>
      <w:r>
        <w:rPr>
          <w:rFonts w:hint="eastAsia" w:ascii="仿宋_GB2312" w:hAnsi="仿宋_GB2312" w:eastAsia="仿宋_GB2312" w:cs="仿宋_GB2312"/>
          <w:color w:val="auto"/>
          <w:sz w:val="32"/>
          <w:szCs w:val="32"/>
          <w:highlight w:val="none"/>
          <w:u w:val="none"/>
        </w:rPr>
        <w:t>的，采取议价谈判的方式产生中选结果。</w:t>
      </w:r>
    </w:p>
    <w:p>
      <w:pPr>
        <w:keepNext w:val="0"/>
        <w:keepLines w:val="0"/>
        <w:pageBreakBefore w:val="0"/>
        <w:widowControl w:val="0"/>
        <w:kinsoku/>
        <w:wordWrap/>
        <w:overflowPunct/>
        <w:topLinePunct w:val="0"/>
        <w:bidi w:val="0"/>
        <w:snapToGrid/>
        <w:spacing w:line="600" w:lineRule="exact"/>
        <w:ind w:firstLine="640"/>
        <w:jc w:val="both"/>
        <w:textAlignment w:val="auto"/>
        <w:rPr>
          <w:rFonts w:hint="eastAsia"/>
          <w:b w:val="0"/>
          <w:bCs w:val="0"/>
          <w:color w:val="auto"/>
          <w:highlight w:val="none"/>
          <w:u w:val="none"/>
          <w:lang w:val="en-US" w:eastAsia="zh-CN"/>
        </w:rPr>
      </w:pPr>
      <w:r>
        <w:rPr>
          <w:rFonts w:hint="eastAsia"/>
          <w:b w:val="0"/>
          <w:bCs w:val="0"/>
          <w:color w:val="auto"/>
          <w:highlight w:val="none"/>
          <w:u w:val="none"/>
          <w:lang w:val="en-US" w:eastAsia="zh-CN"/>
        </w:rPr>
        <w:t>1.竞价中选</w:t>
      </w:r>
    </w:p>
    <w:p>
      <w:pPr>
        <w:keepNext w:val="0"/>
        <w:keepLines w:val="0"/>
        <w:pageBreakBefore w:val="0"/>
        <w:widowControl w:val="0"/>
        <w:kinsoku/>
        <w:wordWrap/>
        <w:overflowPunct/>
        <w:topLinePunct w:val="0"/>
        <w:bidi w:val="0"/>
        <w:snapToGrid/>
        <w:spacing w:line="600" w:lineRule="exact"/>
        <w:ind w:firstLine="640"/>
        <w:jc w:val="both"/>
        <w:textAlignment w:val="auto"/>
        <w:rPr>
          <w:rFonts w:hint="eastAsia"/>
          <w:b w:val="0"/>
          <w:bCs w:val="0"/>
          <w:color w:val="auto"/>
          <w:highlight w:val="none"/>
          <w:u w:val="none"/>
          <w:lang w:val="en-US" w:eastAsia="zh-CN"/>
        </w:rPr>
      </w:pPr>
      <w:r>
        <w:rPr>
          <w:rFonts w:hint="eastAsia"/>
          <w:b w:val="0"/>
          <w:bCs w:val="0"/>
          <w:color w:val="auto"/>
          <w:highlight w:val="none"/>
          <w:u w:val="none"/>
          <w:lang w:val="en-US" w:eastAsia="zh-CN"/>
        </w:rPr>
        <w:t>在各组最大拟中选数额内，按报价由低到高顺序，满足以下条件之一的方可获得拟中选资格，直至达到最大拟中选数额。</w:t>
      </w:r>
    </w:p>
    <w:p>
      <w:pPr>
        <w:keepNext w:val="0"/>
        <w:keepLines w:val="0"/>
        <w:pageBreakBefore w:val="0"/>
        <w:widowControl w:val="0"/>
        <w:kinsoku/>
        <w:wordWrap/>
        <w:overflowPunct/>
        <w:topLinePunct w:val="0"/>
        <w:bidi w:val="0"/>
        <w:snapToGrid/>
        <w:spacing w:line="600" w:lineRule="exact"/>
        <w:ind w:firstLine="640"/>
        <w:jc w:val="both"/>
        <w:textAlignment w:val="auto"/>
        <w:rPr>
          <w:rFonts w:hint="eastAsia"/>
          <w:b w:val="0"/>
          <w:bCs w:val="0"/>
          <w:color w:val="auto"/>
          <w:highlight w:val="none"/>
          <w:u w:val="none"/>
          <w:lang w:val="en-US" w:eastAsia="zh-CN"/>
        </w:rPr>
      </w:pPr>
      <w:r>
        <w:rPr>
          <w:rFonts w:hint="eastAsia"/>
          <w:b w:val="0"/>
          <w:bCs w:val="0"/>
          <w:color w:val="auto"/>
          <w:highlight w:val="none"/>
          <w:u w:val="none"/>
          <w:lang w:val="en-US" w:eastAsia="zh-CN"/>
        </w:rPr>
        <w:t xml:space="preserve"> ①同竞价组内申报价格不高于本组最低申报价格1.5倍的产品。</w:t>
      </w:r>
    </w:p>
    <w:p>
      <w:pPr>
        <w:keepNext w:val="0"/>
        <w:keepLines w:val="0"/>
        <w:pageBreakBefore w:val="0"/>
        <w:widowControl w:val="0"/>
        <w:kinsoku/>
        <w:wordWrap/>
        <w:overflowPunct/>
        <w:topLinePunct w:val="0"/>
        <w:bidi w:val="0"/>
        <w:snapToGrid/>
        <w:spacing w:line="600" w:lineRule="exact"/>
        <w:ind w:firstLine="640"/>
        <w:jc w:val="both"/>
        <w:textAlignment w:val="auto"/>
        <w:rPr>
          <w:rFonts w:hint="eastAsia"/>
          <w:b w:val="0"/>
          <w:bCs w:val="0"/>
          <w:color w:val="auto"/>
          <w:highlight w:val="none"/>
          <w:u w:val="none"/>
          <w:lang w:val="en-US" w:eastAsia="zh-CN"/>
        </w:rPr>
      </w:pPr>
      <w:r>
        <w:rPr>
          <w:rFonts w:hint="eastAsia"/>
          <w:b w:val="0"/>
          <w:bCs w:val="0"/>
          <w:color w:val="auto"/>
          <w:highlight w:val="none"/>
          <w:u w:val="none"/>
          <w:lang w:val="en-US" w:eastAsia="zh-CN"/>
        </w:rPr>
        <w:t xml:space="preserve"> ②以</w:t>
      </w:r>
      <w:r>
        <w:rPr>
          <w:rFonts w:hint="eastAsia" w:cs="仿宋_GB2312"/>
          <w:snapToGrid/>
          <w:color w:val="auto"/>
          <w:kern w:val="2"/>
          <w:sz w:val="32"/>
          <w:szCs w:val="32"/>
          <w:highlight w:val="none"/>
          <w:u w:val="none"/>
          <w:lang w:val="en-US" w:eastAsia="zh-CN" w:bidi="ar-SA"/>
        </w:rPr>
        <w:t>分组目录</w:t>
      </w:r>
      <w:r>
        <w:rPr>
          <w:rFonts w:hint="eastAsia"/>
          <w:b w:val="0"/>
          <w:bCs w:val="0"/>
          <w:color w:val="auto"/>
          <w:highlight w:val="none"/>
          <w:u w:val="none"/>
          <w:lang w:val="en-US" w:eastAsia="zh-CN"/>
        </w:rPr>
        <w:t>最高有效申报价为基数进行计算，申报产品的降幅不低于50%。</w:t>
      </w:r>
    </w:p>
    <w:p>
      <w:pPr>
        <w:keepNext w:val="0"/>
        <w:keepLines w:val="0"/>
        <w:pageBreakBefore w:val="0"/>
        <w:widowControl w:val="0"/>
        <w:kinsoku/>
        <w:wordWrap/>
        <w:overflowPunct/>
        <w:topLinePunct w:val="0"/>
        <w:bidi w:val="0"/>
        <w:snapToGrid/>
        <w:spacing w:line="600" w:lineRule="exact"/>
        <w:ind w:firstLine="640"/>
        <w:jc w:val="both"/>
        <w:textAlignment w:val="auto"/>
        <w:rPr>
          <w:rFonts w:hint="eastAsia"/>
          <w:b w:val="0"/>
          <w:bCs w:val="0"/>
          <w:color w:val="auto"/>
          <w:highlight w:val="none"/>
          <w:u w:val="none"/>
          <w:lang w:val="en-US" w:eastAsia="zh-CN"/>
        </w:rPr>
      </w:pPr>
      <w:r>
        <w:rPr>
          <w:rFonts w:hint="eastAsia"/>
          <w:b w:val="0"/>
          <w:bCs w:val="0"/>
          <w:color w:val="auto"/>
          <w:highlight w:val="none"/>
          <w:u w:val="none"/>
          <w:lang w:val="en-US" w:eastAsia="zh-CN"/>
        </w:rPr>
        <w:t>2.复活中选</w:t>
      </w:r>
    </w:p>
    <w:p>
      <w:pPr>
        <w:keepNext w:val="0"/>
        <w:keepLines w:val="0"/>
        <w:pageBreakBefore w:val="0"/>
        <w:widowControl w:val="0"/>
        <w:kinsoku/>
        <w:wordWrap/>
        <w:overflowPunct/>
        <w:topLinePunct w:val="0"/>
        <w:bidi w:val="0"/>
        <w:snapToGrid/>
        <w:spacing w:line="600" w:lineRule="exact"/>
        <w:ind w:firstLine="640"/>
        <w:jc w:val="both"/>
        <w:textAlignment w:val="auto"/>
        <w:rPr>
          <w:rFonts w:hint="eastAsia"/>
          <w:b w:val="0"/>
          <w:bCs w:val="0"/>
          <w:color w:val="auto"/>
          <w:highlight w:val="none"/>
          <w:u w:val="none"/>
          <w:lang w:val="en-US" w:eastAsia="zh-CN"/>
        </w:rPr>
      </w:pPr>
      <w:r>
        <w:rPr>
          <w:rFonts w:hint="eastAsia"/>
          <w:b w:val="0"/>
          <w:bCs w:val="0"/>
          <w:color w:val="auto"/>
          <w:highlight w:val="none"/>
          <w:u w:val="none"/>
          <w:lang w:val="en-US" w:eastAsia="zh-CN"/>
        </w:rPr>
        <w:t>各品种以企业报价和</w:t>
      </w:r>
      <w:r>
        <w:rPr>
          <w:rFonts w:hint="eastAsia" w:cs="仿宋_GB2312"/>
          <w:snapToGrid/>
          <w:color w:val="auto"/>
          <w:kern w:val="2"/>
          <w:sz w:val="32"/>
          <w:szCs w:val="32"/>
          <w:highlight w:val="none"/>
          <w:u w:val="none"/>
          <w:lang w:val="en-US" w:eastAsia="zh-CN" w:bidi="ar-SA"/>
        </w:rPr>
        <w:t>同分组目录</w:t>
      </w:r>
      <w:r>
        <w:rPr>
          <w:rFonts w:hint="eastAsia"/>
          <w:b w:val="0"/>
          <w:bCs w:val="0"/>
          <w:color w:val="auto"/>
          <w:highlight w:val="none"/>
          <w:u w:val="none"/>
          <w:lang w:val="en-US" w:eastAsia="zh-CN"/>
        </w:rPr>
        <w:t>最高有效申报价为基数计算，产品降幅不低于60</w:t>
      </w:r>
      <w:r>
        <w:rPr>
          <w:rFonts w:hint="eastAsia"/>
          <w:b w:val="0"/>
          <w:bCs w:val="0"/>
          <w:color w:val="auto"/>
          <w:highlight w:val="none"/>
          <w:u w:val="none"/>
          <w:lang w:val="en-US" w:eastAsia="zh-CN"/>
        </w:rPr>
        <w:t>%但竞价未中选的，可不受最大拟中选数额限制，复活中选。</w:t>
      </w:r>
    </w:p>
    <w:p>
      <w:pPr>
        <w:keepNext w:val="0"/>
        <w:keepLines w:val="0"/>
        <w:pageBreakBefore w:val="0"/>
        <w:widowControl w:val="0"/>
        <w:kinsoku/>
        <w:wordWrap/>
        <w:overflowPunct/>
        <w:topLinePunct w:val="0"/>
        <w:bidi w:val="0"/>
        <w:snapToGrid/>
        <w:spacing w:line="600" w:lineRule="exact"/>
        <w:ind w:firstLine="640"/>
        <w:jc w:val="both"/>
        <w:textAlignment w:val="auto"/>
        <w:rPr>
          <w:rFonts w:hint="eastAsia"/>
          <w:b w:val="0"/>
          <w:bCs w:val="0"/>
          <w:color w:val="auto"/>
          <w:highlight w:val="none"/>
          <w:u w:val="none"/>
          <w:lang w:val="en-US" w:eastAsia="zh-CN"/>
        </w:rPr>
      </w:pPr>
      <w:r>
        <w:rPr>
          <w:rFonts w:hint="eastAsia"/>
          <w:b w:val="0"/>
          <w:bCs w:val="0"/>
          <w:color w:val="auto"/>
          <w:highlight w:val="none"/>
          <w:u w:val="none"/>
          <w:lang w:val="en-US" w:eastAsia="zh-CN"/>
        </w:rPr>
        <w:t>3.议价中选</w:t>
      </w:r>
    </w:p>
    <w:p>
      <w:pPr>
        <w:keepNext w:val="0"/>
        <w:keepLines w:val="0"/>
        <w:pageBreakBefore w:val="0"/>
        <w:widowControl w:val="0"/>
        <w:kinsoku/>
        <w:wordWrap/>
        <w:overflowPunct/>
        <w:topLinePunct w:val="0"/>
        <w:bidi w:val="0"/>
        <w:snapToGrid/>
        <w:spacing w:line="600" w:lineRule="exact"/>
        <w:ind w:firstLine="640"/>
        <w:jc w:val="both"/>
        <w:textAlignment w:val="auto"/>
        <w:rPr>
          <w:rFonts w:hint="eastAsia"/>
          <w:b w:val="0"/>
          <w:bCs w:val="0"/>
          <w:color w:val="auto"/>
          <w:highlight w:val="none"/>
          <w:u w:val="none"/>
          <w:lang w:val="en-US" w:eastAsia="zh-CN"/>
        </w:rPr>
      </w:pPr>
      <w:r>
        <w:rPr>
          <w:rFonts w:hint="eastAsia"/>
          <w:b w:val="0"/>
          <w:bCs w:val="0"/>
          <w:color w:val="auto"/>
          <w:highlight w:val="none"/>
          <w:u w:val="none"/>
          <w:lang w:val="en-US" w:eastAsia="zh-CN"/>
        </w:rPr>
        <w:t>同组内符合申报资格的实际有效申报企业数为1家或2家的，参考所有竞价组拟中选产品平均降幅，不低于该降幅的确定为拟中选产品；小于该降幅的，由专家参考该降幅进行谈判议价。</w:t>
      </w:r>
    </w:p>
    <w:p>
      <w:pPr>
        <w:keepNext w:val="0"/>
        <w:keepLines w:val="0"/>
        <w:pageBreakBefore w:val="0"/>
        <w:widowControl w:val="0"/>
        <w:kinsoku/>
        <w:wordWrap/>
        <w:overflowPunct/>
        <w:topLinePunct w:val="0"/>
        <w:bidi w:val="0"/>
        <w:snapToGrid/>
        <w:spacing w:line="600" w:lineRule="exact"/>
        <w:ind w:firstLine="640"/>
        <w:jc w:val="both"/>
        <w:textAlignment w:val="auto"/>
        <w:rPr>
          <w:rFonts w:hint="eastAsia"/>
          <w:b w:val="0"/>
          <w:bCs w:val="0"/>
          <w:color w:val="auto"/>
          <w:highlight w:val="none"/>
          <w:u w:val="none"/>
          <w:lang w:val="en-US" w:eastAsia="zh-CN"/>
        </w:rPr>
      </w:pPr>
      <w:r>
        <w:rPr>
          <w:rFonts w:hint="eastAsia"/>
          <w:b w:val="0"/>
          <w:bCs w:val="0"/>
          <w:color w:val="auto"/>
          <w:highlight w:val="none"/>
          <w:u w:val="none"/>
          <w:lang w:val="en-US" w:eastAsia="zh-CN"/>
        </w:rPr>
        <w:t>4.价格纠偏</w:t>
      </w:r>
    </w:p>
    <w:bookmarkEnd w:id="32"/>
    <w:p>
      <w:pPr>
        <w:pStyle w:val="7"/>
        <w:keepNext w:val="0"/>
        <w:keepLines w:val="0"/>
        <w:pageBreakBefore w:val="0"/>
        <w:widowControl w:val="0"/>
        <w:kinsoku/>
        <w:wordWrap/>
        <w:overflowPunct/>
        <w:topLinePunct w:val="0"/>
        <w:bidi w:val="0"/>
        <w:snapToGrid/>
        <w:spacing w:line="600" w:lineRule="exact"/>
        <w:ind w:left="0" w:firstLine="640"/>
        <w:jc w:val="both"/>
        <w:textAlignment w:val="auto"/>
        <w:rPr>
          <w:rFonts w:hint="eastAsia" w:ascii="仿宋_GB2312" w:hAnsi="仿宋_GB2312" w:eastAsia="仿宋_GB2312" w:cs="仿宋_GB2312"/>
          <w:snapToGrid/>
          <w:color w:val="auto"/>
          <w:kern w:val="2"/>
          <w:sz w:val="32"/>
          <w:szCs w:val="32"/>
          <w:highlight w:val="none"/>
          <w:u w:val="none"/>
          <w:lang w:val="en-US" w:eastAsia="zh-CN" w:bidi="ar-SA"/>
        </w:rPr>
      </w:pPr>
      <w:bookmarkStart w:id="33" w:name="_Toc28767"/>
      <w:bookmarkStart w:id="34" w:name="_Toc32437"/>
      <w:r>
        <w:rPr>
          <w:rFonts w:hint="eastAsia"/>
          <w:color w:val="auto"/>
          <w:highlight w:val="none"/>
          <w:u w:val="none"/>
        </w:rPr>
        <w:t>各品种拟中选降幅</w:t>
      </w:r>
      <w:r>
        <w:rPr>
          <w:rFonts w:hint="eastAsia"/>
          <w:color w:val="auto"/>
          <w:highlight w:val="none"/>
          <w:u w:val="none"/>
          <w:lang w:val="en-US" w:eastAsia="zh-CN"/>
        </w:rPr>
        <w:t>和</w:t>
      </w:r>
      <w:r>
        <w:rPr>
          <w:rFonts w:hint="eastAsia"/>
          <w:color w:val="auto"/>
          <w:highlight w:val="none"/>
          <w:u w:val="none"/>
        </w:rPr>
        <w:t>平均降幅差距较大</w:t>
      </w:r>
      <w:r>
        <w:rPr>
          <w:rFonts w:hint="eastAsia"/>
          <w:color w:val="auto"/>
          <w:highlight w:val="none"/>
          <w:u w:val="none"/>
          <w:lang w:val="en-US" w:eastAsia="zh-CN"/>
        </w:rPr>
        <w:t>的以及</w:t>
      </w:r>
      <w:r>
        <w:rPr>
          <w:rFonts w:hint="eastAsia" w:cs="仿宋_GB2312"/>
          <w:snapToGrid/>
          <w:color w:val="auto"/>
          <w:kern w:val="2"/>
          <w:sz w:val="32"/>
          <w:szCs w:val="32"/>
          <w:highlight w:val="none"/>
          <w:u w:val="none"/>
          <w:lang w:val="en-US" w:eastAsia="zh-CN" w:bidi="ar-SA"/>
        </w:rPr>
        <w:t>同分组目录</w:t>
      </w:r>
      <w:r>
        <w:rPr>
          <w:rFonts w:hint="eastAsia"/>
          <w:color w:val="auto"/>
          <w:highlight w:val="none"/>
          <w:u w:val="none"/>
          <w:lang w:val="en-US" w:eastAsia="zh-CN"/>
        </w:rPr>
        <w:t>内降幅差距较大</w:t>
      </w:r>
      <w:r>
        <w:rPr>
          <w:rFonts w:hint="eastAsia"/>
          <w:color w:val="auto"/>
          <w:highlight w:val="none"/>
          <w:u w:val="none"/>
        </w:rPr>
        <w:t>，组织专家进行价格纠偏。不接受价格纠偏的,取消其拟中选资格。</w:t>
      </w:r>
    </w:p>
    <w:p>
      <w:pPr>
        <w:pStyle w:val="4"/>
        <w:bidi w:val="0"/>
        <w:rPr>
          <w:rFonts w:hint="eastAsia"/>
        </w:rPr>
      </w:pPr>
      <w:r>
        <w:rPr>
          <w:rFonts w:hint="eastAsia"/>
          <w:lang w:val="en-US" w:eastAsia="zh-CN"/>
        </w:rPr>
        <w:t>五</w:t>
      </w:r>
      <w:r>
        <w:rPr>
          <w:rFonts w:hint="eastAsia"/>
        </w:rPr>
        <w:t>、拟中选价格确定</w:t>
      </w:r>
      <w:bookmarkEnd w:id="33"/>
    </w:p>
    <w:p>
      <w:pPr>
        <w:bidi w:val="0"/>
        <w:rPr>
          <w:rFonts w:hint="eastAsia"/>
          <w:lang w:val="en-US" w:eastAsia="zh-CN"/>
        </w:rPr>
      </w:pPr>
      <w:r>
        <w:rPr>
          <w:rFonts w:hint="eastAsia"/>
          <w:lang w:val="en-US" w:eastAsia="zh-CN"/>
        </w:rPr>
        <w:t>各分组目录拟中选企业产生后，拟中选企业申报价格即为该企业在该分组内所有注册证产品价格。</w:t>
      </w:r>
    </w:p>
    <w:p>
      <w:pPr>
        <w:bidi w:val="0"/>
        <w:rPr>
          <w:rFonts w:hint="eastAsia"/>
          <w:lang w:eastAsia="zh-CN"/>
        </w:rPr>
      </w:pPr>
      <w:r>
        <w:rPr>
          <w:rFonts w:hint="eastAsia"/>
          <w:lang w:val="en-US" w:eastAsia="zh-CN"/>
        </w:rPr>
        <w:t>其中，一次性乳头切开刀存在比价关系。</w:t>
      </w:r>
      <w:r>
        <w:rPr>
          <w:rFonts w:hint="eastAsia"/>
        </w:rPr>
        <w:t>以系数为1</w:t>
      </w:r>
      <w:r>
        <w:rPr>
          <w:rFonts w:hint="eastAsia"/>
          <w:lang w:val="en-US" w:eastAsia="zh-CN"/>
        </w:rPr>
        <w:t>的分包目录为</w:t>
      </w:r>
      <w:r>
        <w:rPr>
          <w:rFonts w:hint="eastAsia"/>
          <w:lang w:eastAsia="zh-CN"/>
        </w:rPr>
        <w:t>指定竞价组。</w:t>
      </w:r>
      <w:r>
        <w:rPr>
          <w:rFonts w:hint="eastAsia"/>
        </w:rPr>
        <w:t>以</w:t>
      </w:r>
      <w:r>
        <w:rPr>
          <w:rFonts w:hint="eastAsia"/>
          <w:lang w:eastAsia="zh-CN"/>
        </w:rPr>
        <w:t>指定竞价组</w:t>
      </w:r>
      <w:r>
        <w:rPr>
          <w:rFonts w:hint="eastAsia"/>
        </w:rPr>
        <w:t>的拟中选价格为基准，按比价系数相乘，计算其他组拟中选价格具体比价关系如下表</w:t>
      </w:r>
      <w:r>
        <w:rPr>
          <w:rFonts w:hint="eastAsia"/>
          <w:lang w:eastAsia="zh-CN"/>
        </w:rPr>
        <w: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5"/>
        <w:gridCol w:w="3096"/>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95"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r>
              <w:rPr>
                <w:rFonts w:hint="eastAsia" w:ascii="黑体" w:hAnsi="黑体" w:eastAsia="黑体" w:cs="黑体"/>
                <w:i w:val="0"/>
                <w:color w:val="000000"/>
                <w:kern w:val="0"/>
                <w:sz w:val="24"/>
                <w:szCs w:val="24"/>
                <w:u w:val="none"/>
                <w:lang w:val="en-US" w:eastAsia="zh-CN" w:bidi="ar"/>
              </w:rPr>
              <w:t>一级目录</w:t>
            </w:r>
          </w:p>
        </w:tc>
        <w:tc>
          <w:tcPr>
            <w:tcW w:w="3096"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r>
              <w:rPr>
                <w:rFonts w:hint="eastAsia" w:ascii="黑体" w:hAnsi="黑体" w:eastAsia="黑体" w:cs="黑体"/>
                <w:i w:val="0"/>
                <w:color w:val="000000"/>
                <w:kern w:val="0"/>
                <w:sz w:val="24"/>
                <w:szCs w:val="24"/>
                <w:u w:val="none"/>
                <w:lang w:val="en-US" w:eastAsia="zh-CN" w:bidi="ar"/>
              </w:rPr>
              <w:t>二级目录</w:t>
            </w:r>
          </w:p>
        </w:tc>
        <w:tc>
          <w:tcPr>
            <w:tcW w:w="3096" w:type="dxa"/>
            <w:vAlign w:val="center"/>
          </w:tcPr>
          <w:p>
            <w:pPr>
              <w:pStyle w:val="2"/>
              <w:jc w:val="center"/>
              <w:rPr>
                <w:rFonts w:hint="eastAsia"/>
                <w:vertAlign w:val="baseline"/>
                <w:lang w:val="en-US" w:eastAsia="zh-CN"/>
              </w:rPr>
            </w:pPr>
            <w:r>
              <w:rPr>
                <w:rFonts w:hint="eastAsia" w:ascii="黑体" w:hAnsi="黑体" w:eastAsia="黑体" w:cs="黑体"/>
                <w:i w:val="0"/>
                <w:color w:val="000000"/>
                <w:kern w:val="0"/>
                <w:sz w:val="24"/>
                <w:szCs w:val="24"/>
                <w:u w:val="none"/>
                <w:lang w:val="en-US" w:eastAsia="zh-CN" w:bidi="ar"/>
              </w:rPr>
              <w:t>比价系数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vertAlign w:val="baseline"/>
                <w:lang w:val="en-US" w:eastAsia="zh-CN"/>
              </w:rPr>
            </w:pPr>
            <w:r>
              <w:rPr>
                <w:rFonts w:hint="eastAsia"/>
                <w:color w:val="auto"/>
                <w:sz w:val="24"/>
                <w:szCs w:val="21"/>
                <w:lang w:val="en-US" w:eastAsia="zh-CN"/>
              </w:rPr>
              <w:t>一次性乳头切开刀</w:t>
            </w:r>
          </w:p>
        </w:tc>
        <w:tc>
          <w:tcPr>
            <w:tcW w:w="309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vertAlign w:val="baseline"/>
                <w:lang w:val="en-US" w:eastAsia="zh-CN"/>
              </w:rPr>
            </w:pPr>
            <w:r>
              <w:rPr>
                <w:rFonts w:hint="eastAsia"/>
                <w:color w:val="auto"/>
                <w:sz w:val="24"/>
                <w:szCs w:val="21"/>
                <w:lang w:val="en-US" w:eastAsia="zh-CN"/>
              </w:rPr>
              <w:t>双腔</w:t>
            </w:r>
          </w:p>
        </w:tc>
        <w:tc>
          <w:tcPr>
            <w:tcW w:w="3096" w:type="dxa"/>
          </w:tcPr>
          <w:p>
            <w:pPr>
              <w:pStyle w:val="2"/>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09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vertAlign w:val="baseline"/>
                <w:lang w:val="en-US" w:eastAsia="zh-CN"/>
              </w:rPr>
            </w:pPr>
          </w:p>
        </w:tc>
        <w:tc>
          <w:tcPr>
            <w:tcW w:w="309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vertAlign w:val="baseline"/>
                <w:lang w:val="en-US" w:eastAsia="zh-CN"/>
              </w:rPr>
            </w:pPr>
            <w:r>
              <w:rPr>
                <w:rFonts w:hint="eastAsia"/>
                <w:color w:val="auto"/>
                <w:sz w:val="24"/>
                <w:szCs w:val="21"/>
                <w:lang w:val="en-US" w:eastAsia="zh-CN"/>
              </w:rPr>
              <w:t>三腔</w:t>
            </w:r>
          </w:p>
        </w:tc>
        <w:tc>
          <w:tcPr>
            <w:tcW w:w="3096" w:type="dxa"/>
            <w:vAlign w:val="center"/>
          </w:tcPr>
          <w:p>
            <w:pPr>
              <w:pStyle w:val="2"/>
              <w:jc w:val="center"/>
              <w:rPr>
                <w:rFonts w:hint="default"/>
                <w:vertAlign w:val="baseline"/>
                <w:lang w:val="en-US" w:eastAsia="zh-CN"/>
              </w:rPr>
            </w:pPr>
            <w:r>
              <w:rPr>
                <w:rFonts w:hint="eastAsia" w:ascii="仿宋_GB2312" w:hAnsi="仿宋_GB2312" w:eastAsia="仿宋_GB2312" w:cstheme="minorBidi"/>
                <w:color w:val="auto"/>
                <w:kern w:val="2"/>
                <w:sz w:val="24"/>
                <w:szCs w:val="21"/>
                <w:lang w:val="en-US" w:eastAsia="zh-CN" w:bidi="ar-SA"/>
              </w:rPr>
              <w:t>1</w:t>
            </w:r>
          </w:p>
        </w:tc>
      </w:tr>
    </w:tbl>
    <w:p>
      <w:pPr>
        <w:bidi w:val="0"/>
        <w:rPr>
          <w:rFonts w:hint="eastAsia"/>
          <w:lang w:val="en-US" w:eastAsia="zh-CN"/>
        </w:rPr>
      </w:pPr>
      <w:r>
        <w:rPr>
          <w:rFonts w:hint="eastAsia"/>
          <w:lang w:val="en-US" w:eastAsia="zh-CN"/>
        </w:rPr>
        <w:t>按照上述原则确定的拟中选价格，如果高于该产品在各省级医药采购平台上最低挂网（中标）价、已开展集中带量采购的中选价格的，企业应主动申请价格调整。</w:t>
      </w:r>
    </w:p>
    <w:p>
      <w:pPr>
        <w:pStyle w:val="4"/>
        <w:pageBreakBefore w:val="0"/>
        <w:widowControl w:val="0"/>
        <w:kinsoku/>
        <w:wordWrap/>
        <w:overflowPunct/>
        <w:topLinePunct w:val="0"/>
        <w:bidi w:val="0"/>
        <w:snapToGrid/>
        <w:spacing w:beforeLines="0" w:afterLines="0" w:line="600" w:lineRule="exact"/>
        <w:textAlignment w:val="auto"/>
        <w:rPr>
          <w:rFonts w:hint="eastAsia" w:ascii="黑体" w:hAnsi="黑体" w:eastAsia="黑体" w:cs="黑体"/>
          <w:color w:val="auto"/>
          <w:highlight w:val="none"/>
          <w:u w:val="none"/>
          <w:lang w:val="en-US" w:eastAsia="zh-CN"/>
        </w:rPr>
      </w:pPr>
      <w:bookmarkStart w:id="35" w:name="_Toc6924"/>
      <w:r>
        <w:rPr>
          <w:rFonts w:hint="eastAsia" w:cs="黑体"/>
          <w:color w:val="auto"/>
          <w:highlight w:val="none"/>
          <w:u w:val="none"/>
          <w:lang w:val="en-US" w:eastAsia="zh-CN"/>
        </w:rPr>
        <w:t>六</w:t>
      </w:r>
      <w:r>
        <w:rPr>
          <w:rFonts w:hint="eastAsia" w:ascii="黑体" w:hAnsi="黑体" w:eastAsia="黑体" w:cs="黑体"/>
          <w:color w:val="auto"/>
          <w:highlight w:val="none"/>
          <w:u w:val="none"/>
          <w:lang w:val="en-US" w:eastAsia="zh-CN"/>
        </w:rPr>
        <w:t>、中选产品确定</w:t>
      </w:r>
      <w:bookmarkEnd w:id="34"/>
      <w:bookmarkEnd w:id="35"/>
    </w:p>
    <w:p>
      <w:pPr>
        <w:pStyle w:val="5"/>
        <w:bidi w:val="0"/>
        <w:rPr>
          <w:rFonts w:hint="eastAsia"/>
        </w:rPr>
      </w:pPr>
      <w:r>
        <w:rPr>
          <w:rFonts w:hint="eastAsia"/>
        </w:rPr>
        <w:t>（一）拟中选结果公示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sz w:val="32"/>
          <w:szCs w:val="32"/>
          <w:highlight w:val="none"/>
          <w:u w:val="none"/>
        </w:rPr>
      </w:pPr>
      <w:r>
        <w:rPr>
          <w:rFonts w:hint="eastAsia" w:ascii="仿宋_GB2312" w:hAnsi="仿宋_GB2312" w:eastAsia="仿宋_GB2312" w:cs="仿宋_GB2312"/>
          <w:color w:val="auto"/>
          <w:spacing w:val="0"/>
          <w:sz w:val="32"/>
          <w:szCs w:val="32"/>
          <w:highlight w:val="none"/>
          <w:u w:val="none"/>
        </w:rPr>
        <w:t>拟中选结果产生后，在</w:t>
      </w:r>
      <w:r>
        <w:rPr>
          <w:rFonts w:hint="eastAsia" w:ascii="仿宋_GB2312" w:hAnsi="仿宋_GB2312" w:eastAsia="仿宋_GB2312" w:cs="仿宋_GB2312"/>
          <w:color w:val="auto"/>
          <w:sz w:val="32"/>
          <w:szCs w:val="32"/>
          <w:highlight w:val="none"/>
          <w:u w:val="none"/>
        </w:rPr>
        <w:t>河南省</w:t>
      </w:r>
      <w:r>
        <w:rPr>
          <w:rFonts w:hint="eastAsia" w:cs="仿宋_GB2312"/>
          <w:color w:val="auto"/>
          <w:sz w:val="32"/>
          <w:szCs w:val="32"/>
          <w:highlight w:val="none"/>
          <w:u w:val="none"/>
          <w:lang w:eastAsia="zh-CN"/>
        </w:rPr>
        <w:t>医疗保障局或</w:t>
      </w:r>
      <w:r>
        <w:rPr>
          <w:rFonts w:hint="eastAsia" w:ascii="仿宋_GB2312" w:hAnsi="仿宋_GB2312" w:eastAsia="仿宋_GB2312" w:cs="仿宋_GB2312"/>
          <w:color w:val="auto"/>
          <w:kern w:val="2"/>
          <w:sz w:val="32"/>
          <w:szCs w:val="32"/>
          <w:highlight w:val="none"/>
          <w:u w:val="none"/>
          <w:lang w:val="en-US" w:eastAsia="zh-CN" w:bidi="ar-SA"/>
        </w:rPr>
        <w:t>河南省医药集中采购平台</w:t>
      </w:r>
      <w:r>
        <w:rPr>
          <w:rFonts w:hint="eastAsia" w:ascii="仿宋_GB2312" w:hAnsi="仿宋_GB2312" w:eastAsia="仿宋_GB2312" w:cs="仿宋_GB2312"/>
          <w:color w:val="auto"/>
          <w:spacing w:val="0"/>
          <w:sz w:val="32"/>
          <w:szCs w:val="32"/>
          <w:highlight w:val="none"/>
          <w:u w:val="none"/>
        </w:rPr>
        <w:t>进行公示</w:t>
      </w:r>
      <w:r>
        <w:rPr>
          <w:rFonts w:hint="eastAsia" w:ascii="仿宋_GB2312" w:hAnsi="仿宋_GB2312" w:eastAsia="仿宋_GB2312" w:cs="仿宋_GB2312"/>
          <w:color w:val="auto"/>
          <w:spacing w:val="0"/>
          <w:sz w:val="32"/>
          <w:szCs w:val="32"/>
          <w:highlight w:val="none"/>
          <w:u w:val="none"/>
        </w:rPr>
        <w:t>，由</w:t>
      </w:r>
      <w:r>
        <w:rPr>
          <w:rFonts w:hint="eastAsia" w:cs="仿宋_GB2312"/>
          <w:color w:val="auto"/>
          <w:spacing w:val="0"/>
          <w:sz w:val="32"/>
          <w:szCs w:val="32"/>
          <w:highlight w:val="none"/>
          <w:u w:val="none"/>
          <w:lang w:val="en-US" w:eastAsia="zh-CN"/>
        </w:rPr>
        <w:t>联盟</w:t>
      </w:r>
      <w:r>
        <w:rPr>
          <w:rFonts w:hint="eastAsia" w:ascii="仿宋_GB2312" w:hAnsi="仿宋_GB2312" w:eastAsia="仿宋_GB2312" w:cs="仿宋_GB2312"/>
          <w:color w:val="auto"/>
          <w:spacing w:val="0"/>
          <w:sz w:val="32"/>
          <w:szCs w:val="32"/>
          <w:highlight w:val="none"/>
          <w:u w:val="none"/>
        </w:rPr>
        <w:t>采购办公室接受复核申请。复核申请应在公示期间内提出，并依法依规提供合法有效证明材料。未提供相应证明材料的，不予受理。经公示，如拟中选企业被取消中选资格，不递补拟中选企业，不影响其他企业中选。</w:t>
      </w:r>
    </w:p>
    <w:p>
      <w:pPr>
        <w:pStyle w:val="5"/>
        <w:bidi w:val="0"/>
        <w:rPr>
          <w:rFonts w:hint="eastAsia"/>
        </w:rPr>
      </w:pPr>
      <w:r>
        <w:rPr>
          <w:rFonts w:hint="eastAsia"/>
        </w:rPr>
        <w:t>（二）中选结果公布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sz w:val="32"/>
          <w:szCs w:val="32"/>
          <w:highlight w:val="none"/>
          <w:u w:val="none"/>
        </w:rPr>
      </w:pPr>
      <w:r>
        <w:rPr>
          <w:rFonts w:hint="eastAsia" w:ascii="仿宋_GB2312" w:hAnsi="仿宋_GB2312" w:eastAsia="仿宋_GB2312" w:cs="仿宋_GB2312"/>
          <w:color w:val="auto"/>
          <w:spacing w:val="0"/>
          <w:sz w:val="32"/>
          <w:szCs w:val="32"/>
          <w:highlight w:val="none"/>
          <w:u w:val="none"/>
        </w:rPr>
        <w:t>拟中选结果公示无异议后，由</w:t>
      </w:r>
      <w:r>
        <w:rPr>
          <w:rFonts w:hint="eastAsia" w:cs="仿宋_GB2312"/>
          <w:color w:val="auto"/>
          <w:spacing w:val="0"/>
          <w:sz w:val="32"/>
          <w:szCs w:val="32"/>
          <w:highlight w:val="none"/>
          <w:u w:val="none"/>
          <w:lang w:val="en-US" w:eastAsia="zh-CN"/>
        </w:rPr>
        <w:t>联盟</w:t>
      </w:r>
      <w:r>
        <w:rPr>
          <w:rFonts w:hint="eastAsia" w:ascii="仿宋_GB2312" w:hAnsi="仿宋_GB2312" w:eastAsia="仿宋_GB2312" w:cs="仿宋_GB2312"/>
          <w:color w:val="auto"/>
          <w:spacing w:val="0"/>
          <w:sz w:val="32"/>
          <w:szCs w:val="32"/>
          <w:highlight w:val="none"/>
          <w:u w:val="none"/>
        </w:rPr>
        <w:t>采购办公室在</w:t>
      </w:r>
      <w:r>
        <w:rPr>
          <w:rFonts w:hint="eastAsia" w:ascii="仿宋_GB2312" w:hAnsi="仿宋_GB2312" w:eastAsia="仿宋_GB2312" w:cs="仿宋_GB2312"/>
          <w:color w:val="auto"/>
          <w:sz w:val="32"/>
          <w:szCs w:val="32"/>
          <w:highlight w:val="none"/>
          <w:u w:val="none"/>
        </w:rPr>
        <w:t>河南省</w:t>
      </w:r>
      <w:r>
        <w:rPr>
          <w:rFonts w:hint="eastAsia" w:cs="仿宋_GB2312"/>
          <w:color w:val="auto"/>
          <w:sz w:val="32"/>
          <w:szCs w:val="32"/>
          <w:highlight w:val="none"/>
          <w:u w:val="none"/>
          <w:lang w:eastAsia="zh-CN"/>
        </w:rPr>
        <w:t>医疗</w:t>
      </w:r>
      <w:r>
        <w:rPr>
          <w:rFonts w:hint="eastAsia" w:cs="仿宋_GB2312"/>
          <w:color w:val="auto"/>
          <w:spacing w:val="-6"/>
          <w:sz w:val="32"/>
          <w:szCs w:val="32"/>
          <w:highlight w:val="none"/>
          <w:u w:val="none"/>
          <w:lang w:eastAsia="zh-CN"/>
        </w:rPr>
        <w:t>保障局、</w:t>
      </w:r>
      <w:r>
        <w:rPr>
          <w:rFonts w:hint="eastAsia" w:ascii="仿宋_GB2312" w:hAnsi="仿宋_GB2312" w:eastAsia="仿宋_GB2312" w:cs="仿宋_GB2312"/>
          <w:color w:val="auto"/>
          <w:spacing w:val="-6"/>
          <w:sz w:val="32"/>
          <w:szCs w:val="32"/>
          <w:highlight w:val="none"/>
          <w:u w:val="none"/>
        </w:rPr>
        <w:t>河南省</w:t>
      </w:r>
      <w:r>
        <w:rPr>
          <w:rFonts w:hint="eastAsia" w:ascii="仿宋_GB2312" w:hAnsi="仿宋_GB2312" w:eastAsia="仿宋_GB2312" w:cs="仿宋_GB2312"/>
          <w:color w:val="auto"/>
          <w:spacing w:val="-6"/>
          <w:sz w:val="32"/>
          <w:szCs w:val="32"/>
          <w:highlight w:val="none"/>
          <w:u w:val="none"/>
          <w:lang w:val="en-US" w:eastAsia="zh-CN"/>
        </w:rPr>
        <w:t>医药采购平台</w:t>
      </w:r>
      <w:r>
        <w:rPr>
          <w:rFonts w:hint="eastAsia" w:cs="仿宋_GB2312"/>
          <w:color w:val="auto"/>
          <w:spacing w:val="-6"/>
          <w:sz w:val="32"/>
          <w:szCs w:val="32"/>
          <w:highlight w:val="none"/>
          <w:u w:val="none"/>
          <w:lang w:val="en-US" w:eastAsia="zh-CN"/>
        </w:rPr>
        <w:t>或</w:t>
      </w:r>
      <w:r>
        <w:rPr>
          <w:rFonts w:hint="eastAsia" w:ascii="仿宋_GB2312" w:hAnsi="仿宋_GB2312" w:eastAsia="仿宋_GB2312" w:cs="仿宋_GB2312"/>
          <w:color w:val="auto"/>
          <w:spacing w:val="-6"/>
          <w:sz w:val="32"/>
          <w:szCs w:val="32"/>
          <w:highlight w:val="none"/>
          <w:u w:val="none"/>
        </w:rPr>
        <w:t>联盟地区指定网站公布中选结果。</w:t>
      </w:r>
    </w:p>
    <w:p>
      <w:pPr>
        <w:pStyle w:val="5"/>
        <w:bidi w:val="0"/>
        <w:rPr>
          <w:rFonts w:hint="eastAsia"/>
        </w:rPr>
      </w:pPr>
      <w:r>
        <w:rPr>
          <w:rFonts w:hint="eastAsia"/>
        </w:rPr>
        <w:t>（三）网上信息维护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sz w:val="32"/>
          <w:szCs w:val="32"/>
          <w:highlight w:val="none"/>
          <w:u w:val="none"/>
        </w:rPr>
      </w:pPr>
      <w:r>
        <w:rPr>
          <w:rFonts w:hint="eastAsia" w:ascii="仿宋_GB2312" w:hAnsi="仿宋_GB2312" w:eastAsia="仿宋_GB2312" w:cs="仿宋_GB2312"/>
          <w:color w:val="auto"/>
          <w:spacing w:val="0"/>
          <w:sz w:val="32"/>
          <w:szCs w:val="32"/>
          <w:highlight w:val="none"/>
          <w:u w:val="none"/>
        </w:rPr>
        <w:t>为做好采购协议签订等后续工作，中选企业需使用数字证书登录</w:t>
      </w:r>
      <w:r>
        <w:rPr>
          <w:rFonts w:hint="eastAsia" w:ascii="仿宋_GB2312" w:hAnsi="仿宋_GB2312" w:eastAsia="仿宋_GB2312" w:cs="仿宋_GB2312"/>
          <w:color w:val="auto"/>
          <w:sz w:val="32"/>
          <w:szCs w:val="32"/>
          <w:highlight w:val="none"/>
          <w:u w:val="none"/>
        </w:rPr>
        <w:t>河南省</w:t>
      </w:r>
      <w:r>
        <w:rPr>
          <w:rFonts w:hint="eastAsia" w:ascii="仿宋_GB2312" w:hAnsi="仿宋_GB2312" w:eastAsia="仿宋_GB2312" w:cs="仿宋_GB2312"/>
          <w:color w:val="auto"/>
          <w:sz w:val="32"/>
          <w:szCs w:val="32"/>
          <w:highlight w:val="none"/>
          <w:u w:val="none"/>
          <w:lang w:val="en-US" w:eastAsia="zh-CN"/>
        </w:rPr>
        <w:t>医药集中采购平台</w:t>
      </w:r>
      <w:r>
        <w:rPr>
          <w:rFonts w:hint="eastAsia" w:ascii="仿宋_GB2312" w:hAnsi="仿宋_GB2312" w:eastAsia="仿宋_GB2312" w:cs="仿宋_GB2312"/>
          <w:color w:val="auto"/>
          <w:spacing w:val="0"/>
          <w:sz w:val="32"/>
          <w:szCs w:val="32"/>
          <w:highlight w:val="none"/>
          <w:u w:val="none"/>
        </w:rPr>
        <w:t>，维护企业及产品信息。</w:t>
      </w:r>
    </w:p>
    <w:p>
      <w:pPr>
        <w:pStyle w:val="4"/>
        <w:numPr>
          <w:ilvl w:val="0"/>
          <w:numId w:val="1"/>
        </w:numPr>
        <w:bidi w:val="0"/>
        <w:rPr>
          <w:rFonts w:hint="eastAsia"/>
          <w:lang w:val="en-US" w:eastAsia="zh-CN"/>
        </w:rPr>
      </w:pPr>
      <w:bookmarkStart w:id="36" w:name="_Toc9165"/>
      <w:r>
        <w:rPr>
          <w:rFonts w:hint="eastAsia"/>
          <w:lang w:val="en-US" w:eastAsia="zh-CN"/>
        </w:rPr>
        <w:t>约定采购量分配</w:t>
      </w:r>
      <w:bookmarkEnd w:id="36"/>
    </w:p>
    <w:p>
      <w:pPr>
        <w:pStyle w:val="2"/>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bookmarkStart w:id="37" w:name="_Toc24617"/>
      <w:bookmarkStart w:id="38" w:name="_Toc30393"/>
      <w:r>
        <w:rPr>
          <w:rFonts w:hint="eastAsia" w:ascii="仿宋_GB2312" w:hAnsi="仿宋_GB2312" w:eastAsia="仿宋_GB2312" w:cs="仿宋_GB2312"/>
          <w:sz w:val="32"/>
          <w:szCs w:val="32"/>
          <w:lang w:val="en-US" w:eastAsia="zh-CN"/>
        </w:rPr>
        <w:t>集中采购结果执行周期内，根据各医疗机构填报的采购需求</w:t>
      </w:r>
    </w:p>
    <w:p>
      <w:pPr>
        <w:pStyle w:val="2"/>
        <w:keepNext w:val="0"/>
        <w:keepLines w:val="0"/>
        <w:pageBreakBefore w:val="0"/>
        <w:kinsoku/>
        <w:wordWrap/>
        <w:overflowPunct/>
        <w:topLinePunct w:val="0"/>
        <w:bidi w:val="0"/>
        <w:snapToGrid/>
        <w:spacing w:line="56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量，将中选产品协议采购量分配给对应中选企业。</w:t>
      </w:r>
    </w:p>
    <w:p>
      <w:pPr>
        <w:pStyle w:val="2"/>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1.医疗机构报量的企业若在中选范围，对应产品采购需求量的100%直接计入该中选企业的协议采购量；按照</w:t>
      </w:r>
      <w:r>
        <w:rPr>
          <w:rFonts w:hint="eastAsia" w:ascii="仿宋_GB2312" w:hAnsi="仿宋_GB2312" w:eastAsia="仿宋_GB2312" w:cs="仿宋_GB2312"/>
          <w:b w:val="0"/>
          <w:bCs w:val="0"/>
          <w:snapToGrid/>
          <w:color w:val="auto"/>
          <w:kern w:val="2"/>
          <w:sz w:val="32"/>
          <w:szCs w:val="32"/>
          <w:highlight w:val="none"/>
          <w:u w:val="none"/>
          <w:lang w:val="en-US" w:eastAsia="zh-CN" w:bidi="ar-SA"/>
        </w:rPr>
        <w:t>复活</w:t>
      </w:r>
      <w:r>
        <w:rPr>
          <w:rFonts w:hint="eastAsia" w:ascii="仿宋_GB2312" w:hAnsi="仿宋_GB2312" w:eastAsia="仿宋_GB2312" w:cs="仿宋_GB2312"/>
          <w:sz w:val="32"/>
          <w:szCs w:val="32"/>
          <w:lang w:val="en-US" w:eastAsia="zh-CN"/>
        </w:rPr>
        <w:t>中选的企业对应产品采购需求量的50%（如出现非整数则向上取整至个位）直接计入该中选企业的协议采购量。</w:t>
      </w:r>
    </w:p>
    <w:p>
      <w:pPr>
        <w:keepNext w:val="0"/>
        <w:keepLines w:val="0"/>
        <w:pageBreakBefore w:val="0"/>
        <w:widowControl/>
        <w:suppressLineNumbers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2.医疗机构报量但未中选企业产品采购需求量的100%以及</w:t>
      </w:r>
      <w:r>
        <w:rPr>
          <w:rFonts w:hint="eastAsia" w:ascii="仿宋_GB2312" w:hAnsi="仿宋_GB2312" w:eastAsia="仿宋_GB2312" w:cs="仿宋_GB2312"/>
          <w:b w:val="0"/>
          <w:bCs w:val="0"/>
          <w:snapToGrid/>
          <w:color w:val="auto"/>
          <w:kern w:val="2"/>
          <w:sz w:val="32"/>
          <w:szCs w:val="32"/>
          <w:highlight w:val="none"/>
          <w:u w:val="none"/>
          <w:lang w:val="en-US" w:eastAsia="zh-CN" w:bidi="ar-SA"/>
        </w:rPr>
        <w:t>复活</w:t>
      </w:r>
      <w:r>
        <w:rPr>
          <w:rFonts w:hint="eastAsia" w:ascii="仿宋_GB2312" w:hAnsi="仿宋_GB2312" w:eastAsia="仿宋_GB2312" w:cs="仿宋_GB2312"/>
          <w:color w:val="000000"/>
          <w:kern w:val="0"/>
          <w:sz w:val="32"/>
          <w:szCs w:val="32"/>
          <w:lang w:val="en-US" w:eastAsia="zh-CN" w:bidi="ar"/>
        </w:rPr>
        <w:t xml:space="preserve">中选企业中选产品采购需求量的50%（如出现非整数则向下取整至个位）共同组成剩余量，剩余量分配原则如下： </w:t>
      </w:r>
    </w:p>
    <w:p>
      <w:pPr>
        <w:keepNext w:val="0"/>
        <w:keepLines w:val="0"/>
        <w:pageBreakBefore w:val="0"/>
        <w:widowControl/>
        <w:suppressLineNumbers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（1）如某医疗机构报量中有同二级目录中选价格最低的中选</w:t>
      </w:r>
    </w:p>
    <w:p>
      <w:pPr>
        <w:keepNext w:val="0"/>
        <w:keepLines w:val="0"/>
        <w:pageBreakBefore w:val="0"/>
        <w:widowControl/>
        <w:suppressLineNumbers w:val="0"/>
        <w:kinsoku/>
        <w:wordWrap/>
        <w:overflowPunct/>
        <w:topLinePunct w:val="0"/>
        <w:bidi w:val="0"/>
        <w:snapToGrid/>
        <w:spacing w:line="56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企业（不包含</w:t>
      </w:r>
      <w:r>
        <w:rPr>
          <w:rFonts w:hint="eastAsia" w:ascii="仿宋_GB2312" w:hAnsi="仿宋_GB2312" w:eastAsia="仿宋_GB2312" w:cs="仿宋_GB2312"/>
          <w:b w:val="0"/>
          <w:bCs w:val="0"/>
          <w:snapToGrid/>
          <w:color w:val="auto"/>
          <w:kern w:val="2"/>
          <w:sz w:val="32"/>
          <w:szCs w:val="32"/>
          <w:highlight w:val="none"/>
          <w:u w:val="none"/>
          <w:lang w:val="en-US" w:eastAsia="zh-CN" w:bidi="ar-SA"/>
        </w:rPr>
        <w:t>复活</w:t>
      </w:r>
      <w:r>
        <w:rPr>
          <w:rFonts w:hint="eastAsia" w:ascii="仿宋_GB2312" w:hAnsi="仿宋_GB2312" w:eastAsia="仿宋_GB2312" w:cs="仿宋_GB2312"/>
          <w:color w:val="000000"/>
          <w:kern w:val="0"/>
          <w:sz w:val="32"/>
          <w:szCs w:val="32"/>
          <w:lang w:val="en-US" w:eastAsia="zh-CN" w:bidi="ar"/>
        </w:rPr>
        <w:t>中选企业），则此医疗机构该二级目录剩余量</w:t>
      </w:r>
      <w:r>
        <w:rPr>
          <w:rFonts w:hint="eastAsia" w:ascii="仿宋_GB2312" w:hAnsi="仿宋_GB2312" w:eastAsia="仿宋_GB2312" w:cs="仿宋_GB2312"/>
          <w:color w:val="000000"/>
          <w:kern w:val="0"/>
          <w:sz w:val="32"/>
          <w:szCs w:val="32"/>
          <w:highlight w:val="none"/>
          <w:lang w:val="en-US" w:eastAsia="zh-CN" w:bidi="ar"/>
        </w:rPr>
        <w:t>的</w:t>
      </w:r>
      <w:r>
        <w:rPr>
          <w:rFonts w:hint="eastAsia" w:cs="仿宋_GB2312"/>
          <w:color w:val="000000"/>
          <w:kern w:val="0"/>
          <w:sz w:val="32"/>
          <w:szCs w:val="32"/>
          <w:highlight w:val="none"/>
          <w:lang w:val="en-US" w:eastAsia="zh-CN" w:bidi="ar"/>
        </w:rPr>
        <w:t>3</w:t>
      </w:r>
      <w:r>
        <w:rPr>
          <w:rFonts w:hint="eastAsia" w:ascii="仿宋_GB2312" w:hAnsi="仿宋_GB2312" w:eastAsia="仿宋_GB2312" w:cs="仿宋_GB2312"/>
          <w:color w:val="000000"/>
          <w:kern w:val="0"/>
          <w:sz w:val="32"/>
          <w:szCs w:val="32"/>
          <w:highlight w:val="none"/>
          <w:lang w:val="en-US" w:eastAsia="zh-CN" w:bidi="ar"/>
        </w:rPr>
        <w:t>0%（</w:t>
      </w:r>
      <w:r>
        <w:rPr>
          <w:rFonts w:hint="eastAsia" w:ascii="仿宋_GB2312" w:hAnsi="仿宋_GB2312" w:eastAsia="仿宋_GB2312" w:cs="仿宋_GB2312"/>
          <w:color w:val="000000"/>
          <w:kern w:val="0"/>
          <w:sz w:val="32"/>
          <w:szCs w:val="32"/>
          <w:lang w:val="en-US" w:eastAsia="zh-CN" w:bidi="ar"/>
        </w:rPr>
        <w:t xml:space="preserve">如出现非整数则向上取整至个位）分配给中选价格最低的中选企业。其余量，可优先使用中选价格最低的中选企业产品，也可从所有中选企业产品中自主选择使用。 </w:t>
      </w:r>
    </w:p>
    <w:p>
      <w:pPr>
        <w:keepNext w:val="0"/>
        <w:keepLines w:val="0"/>
        <w:pageBreakBefore w:val="0"/>
        <w:widowControl/>
        <w:suppressLineNumbers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（2）如某医疗机构报量中没有同二级目录中选价格最低的中</w:t>
      </w:r>
    </w:p>
    <w:p>
      <w:pPr>
        <w:keepNext w:val="0"/>
        <w:keepLines w:val="0"/>
        <w:pageBreakBefore w:val="0"/>
        <w:widowControl/>
        <w:suppressLineNumbers w:val="0"/>
        <w:kinsoku/>
        <w:wordWrap/>
        <w:overflowPunct/>
        <w:topLinePunct w:val="0"/>
        <w:bidi w:val="0"/>
        <w:snapToGrid/>
        <w:spacing w:line="56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选企业，则此医疗机构该二级目录剩余量，可优先使用中选价格最低的中选企业产品，也可从所有中选企业产品中自主选择使用。</w:t>
      </w:r>
    </w:p>
    <w:bookmarkEnd w:id="37"/>
    <w:bookmarkEnd w:id="38"/>
    <w:p>
      <w:pPr>
        <w:pStyle w:val="4"/>
        <w:pageBreakBefore w:val="0"/>
        <w:widowControl w:val="0"/>
        <w:kinsoku/>
        <w:wordWrap/>
        <w:overflowPunct/>
        <w:topLinePunct w:val="0"/>
        <w:bidi w:val="0"/>
        <w:snapToGrid/>
        <w:spacing w:beforeLines="0" w:afterLines="0" w:line="600" w:lineRule="exact"/>
        <w:textAlignment w:val="auto"/>
        <w:rPr>
          <w:rFonts w:hint="eastAsia" w:ascii="黑体" w:hAnsi="黑体" w:eastAsia="黑体" w:cs="黑体"/>
          <w:color w:val="auto"/>
          <w:highlight w:val="none"/>
          <w:u w:val="none"/>
          <w:lang w:val="en-US" w:eastAsia="zh-CN"/>
        </w:rPr>
      </w:pPr>
      <w:bookmarkStart w:id="39" w:name="_Toc25811"/>
      <w:bookmarkStart w:id="40" w:name="_Toc28639"/>
      <w:bookmarkStart w:id="41" w:name="_Toc32238"/>
      <w:r>
        <w:rPr>
          <w:rFonts w:hint="eastAsia" w:cs="黑体"/>
          <w:color w:val="auto"/>
          <w:highlight w:val="none"/>
          <w:u w:val="none"/>
          <w:lang w:val="en-US" w:eastAsia="zh-CN"/>
        </w:rPr>
        <w:t>八</w:t>
      </w:r>
      <w:r>
        <w:rPr>
          <w:rFonts w:hint="eastAsia" w:ascii="黑体" w:hAnsi="黑体" w:eastAsia="黑体" w:cs="黑体"/>
          <w:color w:val="auto"/>
          <w:highlight w:val="none"/>
          <w:u w:val="none"/>
          <w:lang w:val="en-US" w:eastAsia="zh-CN"/>
        </w:rPr>
        <w:t>、采购协议签订</w:t>
      </w:r>
      <w:bookmarkEnd w:id="39"/>
      <w:bookmarkEnd w:id="40"/>
    </w:p>
    <w:p>
      <w:pPr>
        <w:pageBreakBefore w:val="0"/>
        <w:widowControl w:val="0"/>
        <w:tabs>
          <w:tab w:val="left" w:pos="2013"/>
        </w:tabs>
        <w:kinsoku/>
        <w:wordWrap/>
        <w:overflowPunct/>
        <w:topLinePunct w:val="0"/>
        <w:bidi w:val="0"/>
        <w:snapToGrid/>
        <w:spacing w:line="600" w:lineRule="exact"/>
        <w:ind w:firstLine="640" w:firstLineChars="200"/>
        <w:jc w:val="both"/>
        <w:textAlignment w:val="auto"/>
        <w:rPr>
          <w:rFonts w:hint="eastAsia"/>
          <w:spacing w:val="4"/>
          <w:w w:val="95"/>
          <w:sz w:val="32"/>
          <w:highlight w:val="none"/>
          <w:u w:val="none"/>
        </w:rPr>
      </w:pPr>
      <w:r>
        <w:rPr>
          <w:rFonts w:hint="eastAsia"/>
          <w:color w:val="auto"/>
          <w:highlight w:val="none"/>
          <w:u w:val="none"/>
          <w:lang w:val="en-US" w:eastAsia="zh-CN"/>
        </w:rPr>
        <w:t>1.联盟</w:t>
      </w:r>
      <w:r>
        <w:rPr>
          <w:color w:val="auto"/>
          <w:highlight w:val="none"/>
          <w:u w:val="none"/>
          <w:lang w:val="en-US" w:eastAsia="zh-CN"/>
        </w:rPr>
        <w:t>采购办公室公布中选结果后，</w:t>
      </w:r>
      <w:r>
        <w:rPr>
          <w:rFonts w:hint="eastAsia"/>
          <w:spacing w:val="4"/>
          <w:w w:val="95"/>
          <w:sz w:val="32"/>
          <w:highlight w:val="none"/>
          <w:u w:val="none"/>
        </w:rPr>
        <w:t>各中选企业应按照中选供应产品清单及中选价格与配送企业、医疗机构签订带量采购协议，并严格履行购销协议，切实保障医用耗材质量和供应。</w:t>
      </w:r>
    </w:p>
    <w:p>
      <w:pPr>
        <w:pageBreakBefore w:val="0"/>
        <w:widowControl w:val="0"/>
        <w:tabs>
          <w:tab w:val="left" w:pos="2013"/>
        </w:tabs>
        <w:kinsoku/>
        <w:wordWrap/>
        <w:overflowPunct/>
        <w:topLinePunct w:val="0"/>
        <w:bidi w:val="0"/>
        <w:snapToGrid/>
        <w:spacing w:line="600" w:lineRule="exact"/>
        <w:ind w:firstLine="640" w:firstLineChars="200"/>
        <w:jc w:val="both"/>
        <w:textAlignment w:val="auto"/>
        <w:rPr>
          <w:rFonts w:hint="eastAsia" w:eastAsia="仿宋_GB2312"/>
          <w:color w:val="auto"/>
          <w:highlight w:val="none"/>
          <w:u w:val="none"/>
          <w:lang w:val="en-US" w:eastAsia="zh-CN"/>
        </w:rPr>
      </w:pPr>
      <w:r>
        <w:rPr>
          <w:rFonts w:hint="eastAsia"/>
          <w:color w:val="auto"/>
          <w:highlight w:val="none"/>
          <w:u w:val="none"/>
          <w:lang w:val="en-US" w:eastAsia="zh-CN"/>
        </w:rPr>
        <w:t>2.采购协议必须如实反映实际供应价格和采购量，</w:t>
      </w:r>
      <w:r>
        <w:rPr>
          <w:rFonts w:hint="eastAsia"/>
          <w:spacing w:val="6"/>
          <w:w w:val="95"/>
          <w:sz w:val="32"/>
          <w:highlight w:val="none"/>
          <w:u w:val="none"/>
        </w:rPr>
        <w:t>采购方应当根据协议的约定及时回款，不得拖欠。</w:t>
      </w:r>
    </w:p>
    <w:p>
      <w:pPr>
        <w:pageBreakBefore w:val="0"/>
        <w:widowControl w:val="0"/>
        <w:kinsoku/>
        <w:wordWrap/>
        <w:overflowPunct/>
        <w:topLinePunct w:val="0"/>
        <w:autoSpaceDE/>
        <w:autoSpaceDN/>
        <w:bidi w:val="0"/>
        <w:adjustRightInd/>
        <w:snapToGrid/>
        <w:spacing w:line="600" w:lineRule="exact"/>
        <w:textAlignment w:val="auto"/>
        <w:rPr>
          <w:rFonts w:hint="eastAsia"/>
          <w:color w:val="auto"/>
          <w:highlight w:val="none"/>
          <w:u w:val="none"/>
          <w:lang w:val="en-US" w:eastAsia="zh-CN"/>
        </w:rPr>
      </w:pPr>
      <w:r>
        <w:rPr>
          <w:rFonts w:hint="eastAsia"/>
          <w:color w:val="auto"/>
          <w:highlight w:val="none"/>
          <w:u w:val="none"/>
          <w:lang w:val="en-US" w:eastAsia="zh-CN"/>
        </w:rPr>
        <w:t>3.采购协议签订后，医疗机构与中选企业不得再订立背离协议实质性内容的其他协议，或提出除协议之外的任何利益性要求。</w:t>
      </w:r>
    </w:p>
    <w:p>
      <w:pPr>
        <w:pageBreakBefore w:val="0"/>
        <w:widowControl w:val="0"/>
        <w:tabs>
          <w:tab w:val="left" w:pos="2013"/>
        </w:tabs>
        <w:kinsoku/>
        <w:wordWrap/>
        <w:overflowPunct/>
        <w:topLinePunct w:val="0"/>
        <w:bidi w:val="0"/>
        <w:snapToGrid/>
        <w:spacing w:line="600" w:lineRule="exact"/>
        <w:ind w:firstLine="640" w:firstLineChars="200"/>
        <w:jc w:val="both"/>
        <w:textAlignment w:val="auto"/>
        <w:rPr>
          <w:rFonts w:hint="eastAsia" w:eastAsia="仿宋_GB2312"/>
          <w:color w:val="auto"/>
          <w:highlight w:val="none"/>
          <w:u w:val="none"/>
          <w:lang w:eastAsia="zh-CN"/>
        </w:rPr>
      </w:pPr>
      <w:r>
        <w:rPr>
          <w:rFonts w:hint="eastAsia"/>
          <w:color w:val="auto"/>
          <w:highlight w:val="none"/>
          <w:u w:val="none"/>
          <w:lang w:val="en-US" w:eastAsia="zh-CN"/>
        </w:rPr>
        <w:t>4.自联盟地区</w:t>
      </w:r>
      <w:r>
        <w:rPr>
          <w:rFonts w:hint="eastAsia"/>
          <w:spacing w:val="4"/>
          <w:w w:val="95"/>
          <w:sz w:val="32"/>
          <w:highlight w:val="none"/>
          <w:u w:val="none"/>
          <w:lang w:eastAsia="zh-CN"/>
        </w:rPr>
        <w:t>采购周期执行日起，超过三个月未按照要求与医疗机构签订采购协议且不供应、不配送等不能按时满足医疗机构采购需求的中选企业，由联盟地区结合实际情况，按照程序中止其中选资格，并按照信用评价相关规定处理。</w:t>
      </w:r>
    </w:p>
    <w:bookmarkEnd w:id="41"/>
    <w:p>
      <w:pPr>
        <w:pStyle w:val="4"/>
        <w:pageBreakBefore w:val="0"/>
        <w:widowControl w:val="0"/>
        <w:kinsoku/>
        <w:wordWrap/>
        <w:overflowPunct/>
        <w:topLinePunct w:val="0"/>
        <w:bidi w:val="0"/>
        <w:snapToGrid/>
        <w:spacing w:beforeLines="0" w:afterLines="0" w:line="600" w:lineRule="exact"/>
        <w:textAlignment w:val="auto"/>
        <w:rPr>
          <w:rFonts w:hint="eastAsia" w:ascii="黑体" w:hAnsi="黑体" w:eastAsia="黑体" w:cs="黑体"/>
          <w:color w:val="auto"/>
          <w:highlight w:val="none"/>
          <w:u w:val="none"/>
          <w:lang w:val="en-US" w:eastAsia="zh-CN"/>
        </w:rPr>
      </w:pPr>
      <w:bookmarkStart w:id="42" w:name="_Toc5783"/>
      <w:bookmarkStart w:id="43" w:name="_Toc26233"/>
      <w:r>
        <w:rPr>
          <w:rFonts w:hint="eastAsia" w:cs="黑体"/>
          <w:color w:val="auto"/>
          <w:highlight w:val="none"/>
          <w:u w:val="none"/>
          <w:lang w:val="en-US" w:eastAsia="zh-CN"/>
        </w:rPr>
        <w:t>九</w:t>
      </w:r>
      <w:r>
        <w:rPr>
          <w:rFonts w:hint="eastAsia" w:ascii="黑体" w:hAnsi="黑体" w:eastAsia="黑体" w:cs="黑体"/>
          <w:color w:val="auto"/>
          <w:highlight w:val="none"/>
          <w:u w:val="none"/>
          <w:lang w:val="en-US" w:eastAsia="zh-CN"/>
        </w:rPr>
        <w:t>、采购协议履行及有关问题处理</w:t>
      </w:r>
      <w:bookmarkEnd w:id="42"/>
      <w:bookmarkEnd w:id="43"/>
    </w:p>
    <w:p>
      <w:pPr>
        <w:pageBreakBefore w:val="0"/>
        <w:widowControl w:val="0"/>
        <w:kinsoku/>
        <w:wordWrap/>
        <w:overflowPunct/>
        <w:topLinePunct w:val="0"/>
        <w:bidi w:val="0"/>
        <w:snapToGrid/>
        <w:spacing w:line="600" w:lineRule="exact"/>
        <w:textAlignment w:val="auto"/>
        <w:rPr>
          <w:rFonts w:hint="eastAsia" w:ascii="楷体_GB2312" w:hAnsi="楷体_GB2312" w:eastAsia="楷体_GB2312" w:cs="楷体_GB2312"/>
          <w:color w:val="auto"/>
          <w:highlight w:val="none"/>
          <w:u w:val="none"/>
          <w:lang w:val="en-US" w:eastAsia="zh-CN"/>
        </w:rPr>
      </w:pPr>
      <w:r>
        <w:rPr>
          <w:rFonts w:hint="eastAsia" w:ascii="楷体_GB2312" w:hAnsi="楷体_GB2312" w:eastAsia="楷体_GB2312" w:cs="楷体_GB2312"/>
          <w:color w:val="auto"/>
          <w:highlight w:val="none"/>
          <w:u w:val="none"/>
          <w:lang w:val="en-US" w:eastAsia="zh-CN"/>
        </w:rPr>
        <w:t>（一）中选企业应严格履行协议，依法参与集中采购，合理选择配送企业，保障供应</w:t>
      </w:r>
    </w:p>
    <w:p>
      <w:pPr>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color w:val="auto"/>
          <w:spacing w:val="0"/>
          <w:sz w:val="32"/>
          <w:szCs w:val="32"/>
          <w:highlight w:val="none"/>
          <w:u w:val="none"/>
          <w:lang w:eastAsia="zh-CN"/>
        </w:rPr>
      </w:pPr>
      <w:r>
        <w:rPr>
          <w:rFonts w:hint="eastAsia" w:ascii="仿宋_GB2312" w:hAnsi="仿宋_GB2312" w:eastAsia="仿宋_GB2312" w:cs="仿宋_GB2312"/>
          <w:color w:val="auto"/>
          <w:spacing w:val="0"/>
          <w:sz w:val="32"/>
          <w:szCs w:val="32"/>
          <w:highlight w:val="none"/>
          <w:u w:val="none"/>
          <w:lang w:val="en-US" w:eastAsia="zh-CN"/>
        </w:rPr>
        <w:t>1.</w:t>
      </w:r>
      <w:r>
        <w:rPr>
          <w:rFonts w:hint="eastAsia" w:ascii="仿宋_GB2312" w:hAnsi="仿宋_GB2312" w:eastAsia="仿宋_GB2312" w:cs="仿宋_GB2312"/>
          <w:color w:val="auto"/>
          <w:spacing w:val="0"/>
          <w:sz w:val="32"/>
          <w:szCs w:val="32"/>
          <w:highlight w:val="none"/>
          <w:u w:val="none"/>
          <w:lang w:eastAsia="zh-CN"/>
        </w:rPr>
        <w:t>申报企业按要求</w:t>
      </w:r>
      <w:r>
        <w:rPr>
          <w:rFonts w:hint="eastAsia" w:cs="仿宋_GB2312"/>
          <w:color w:val="auto"/>
          <w:spacing w:val="0"/>
          <w:sz w:val="32"/>
          <w:szCs w:val="32"/>
          <w:highlight w:val="none"/>
          <w:u w:val="none"/>
          <w:lang w:eastAsia="zh-CN"/>
        </w:rPr>
        <w:t>足量供应联盟地区医疗机构</w:t>
      </w:r>
      <w:r>
        <w:rPr>
          <w:rFonts w:hint="eastAsia" w:ascii="仿宋_GB2312" w:hAnsi="仿宋_GB2312" w:eastAsia="仿宋_GB2312" w:cs="仿宋_GB2312"/>
          <w:color w:val="auto"/>
          <w:spacing w:val="0"/>
          <w:sz w:val="32"/>
          <w:szCs w:val="32"/>
          <w:highlight w:val="none"/>
          <w:u w:val="none"/>
          <w:lang w:eastAsia="zh-CN"/>
        </w:rPr>
        <w:t>，并确保质量。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sz w:val="32"/>
          <w:szCs w:val="32"/>
          <w:highlight w:val="none"/>
          <w:u w:val="none"/>
          <w:lang w:eastAsia="zh-CN"/>
        </w:rPr>
      </w:pPr>
      <w:r>
        <w:rPr>
          <w:rFonts w:hint="eastAsia" w:ascii="仿宋_GB2312" w:hAnsi="仿宋_GB2312" w:eastAsia="仿宋_GB2312" w:cs="仿宋_GB2312"/>
          <w:color w:val="auto"/>
          <w:spacing w:val="0"/>
          <w:sz w:val="32"/>
          <w:szCs w:val="32"/>
          <w:highlight w:val="none"/>
          <w:u w:val="none"/>
          <w:lang w:eastAsia="zh-CN"/>
        </w:rPr>
        <w:t>2.保证供应配送，并按照采购协议提供伴随服务。</w:t>
      </w:r>
    </w:p>
    <w:p>
      <w:pPr>
        <w:pageBreakBefore w:val="0"/>
        <w:widowControl w:val="0"/>
        <w:kinsoku/>
        <w:wordWrap/>
        <w:overflowPunct/>
        <w:topLinePunct w:val="0"/>
        <w:bidi w:val="0"/>
        <w:snapToGrid/>
        <w:spacing w:line="600" w:lineRule="exact"/>
        <w:textAlignment w:val="auto"/>
        <w:rPr>
          <w:rFonts w:hint="eastAsia" w:ascii="楷体_GB2312" w:hAnsi="楷体_GB2312" w:eastAsia="楷体_GB2312" w:cs="楷体_GB2312"/>
          <w:b w:val="0"/>
          <w:bCs w:val="0"/>
          <w:color w:val="auto"/>
          <w:highlight w:val="none"/>
          <w:u w:val="none"/>
          <w:lang w:val="en-US" w:eastAsia="zh-CN"/>
        </w:rPr>
      </w:pPr>
      <w:r>
        <w:rPr>
          <w:rFonts w:hint="eastAsia" w:ascii="楷体_GB2312" w:hAnsi="楷体_GB2312" w:eastAsia="楷体_GB2312" w:cs="楷体_GB2312"/>
          <w:color w:val="auto"/>
          <w:highlight w:val="none"/>
          <w:u w:val="none"/>
          <w:lang w:val="en-US" w:eastAsia="zh-CN"/>
        </w:rPr>
        <w:t>（二）申报企业、中选企业、配送企业如有以下行为，经有</w:t>
      </w:r>
      <w:r>
        <w:rPr>
          <w:rFonts w:hint="eastAsia" w:ascii="楷体_GB2312" w:hAnsi="楷体_GB2312" w:eastAsia="楷体_GB2312" w:cs="楷体_GB2312"/>
          <w:b w:val="0"/>
          <w:bCs w:val="0"/>
          <w:color w:val="auto"/>
          <w:highlight w:val="none"/>
          <w:u w:val="none"/>
          <w:lang w:val="en-US" w:eastAsia="zh-CN"/>
        </w:rPr>
        <w:t>关</w:t>
      </w:r>
      <w:r>
        <w:rPr>
          <w:rFonts w:hint="eastAsia" w:ascii="楷体_GB2312" w:hAnsi="楷体_GB2312" w:eastAsia="楷体_GB2312" w:cs="楷体_GB2312"/>
          <w:color w:val="auto"/>
          <w:highlight w:val="none"/>
          <w:u w:val="none"/>
          <w:lang w:val="en-US" w:eastAsia="zh-CN"/>
        </w:rPr>
        <w:t>部</w:t>
      </w:r>
      <w:r>
        <w:rPr>
          <w:rFonts w:hint="eastAsia" w:ascii="楷体_GB2312" w:hAnsi="楷体_GB2312" w:eastAsia="楷体_GB2312" w:cs="楷体_GB2312"/>
          <w:b w:val="0"/>
          <w:bCs w:val="0"/>
          <w:color w:val="auto"/>
          <w:highlight w:val="none"/>
          <w:u w:val="none"/>
          <w:lang w:val="en-US" w:eastAsia="zh-CN"/>
        </w:rPr>
        <w:t>门认定情节严重的将被列入“违规名单”</w:t>
      </w:r>
    </w:p>
    <w:p>
      <w:pPr>
        <w:pageBreakBefore w:val="0"/>
        <w:widowControl w:val="0"/>
        <w:kinsoku/>
        <w:wordWrap/>
        <w:overflowPunct/>
        <w:topLinePunct w:val="0"/>
        <w:autoSpaceDE/>
        <w:autoSpaceDN/>
        <w:bidi w:val="0"/>
        <w:adjustRightInd/>
        <w:snapToGrid/>
        <w:spacing w:line="600" w:lineRule="exact"/>
        <w:textAlignment w:val="auto"/>
        <w:rPr>
          <w:rFonts w:hint="eastAsia"/>
          <w:color w:val="auto"/>
          <w:highlight w:val="none"/>
          <w:u w:val="none"/>
          <w:lang w:val="en-US" w:eastAsia="zh-CN"/>
        </w:rPr>
      </w:pPr>
      <w:r>
        <w:rPr>
          <w:color w:val="auto"/>
          <w:highlight w:val="none"/>
          <w:u w:val="none"/>
          <w:lang w:val="en-US" w:eastAsia="zh-CN"/>
        </w:rPr>
        <w:t>1.申报产品不符合“申报产品资格”</w:t>
      </w:r>
      <w:r>
        <w:rPr>
          <w:rFonts w:hint="eastAsia" w:ascii="仿宋_GB2312" w:hAnsi="仿宋_GB2312" w:eastAsia="仿宋_GB2312" w:cs="仿宋_GB2312"/>
          <w:color w:val="auto"/>
          <w:spacing w:val="0"/>
          <w:sz w:val="32"/>
          <w:szCs w:val="32"/>
          <w:highlight w:val="none"/>
          <w:u w:val="none"/>
          <w:lang w:eastAsia="zh-CN"/>
        </w:rPr>
        <w:t>或</w:t>
      </w:r>
      <w:r>
        <w:rPr>
          <w:color w:val="auto"/>
          <w:highlight w:val="none"/>
          <w:u w:val="none"/>
          <w:lang w:val="en-US" w:eastAsia="zh-CN"/>
        </w:rPr>
        <w:t>涉嫌不如实提供材</w:t>
      </w:r>
      <w:r>
        <w:rPr>
          <w:rFonts w:hint="eastAsia"/>
          <w:color w:val="auto"/>
          <w:highlight w:val="none"/>
          <w:u w:val="none"/>
          <w:lang w:val="en-US" w:eastAsia="zh-CN"/>
        </w:rPr>
        <w:t>料。</w:t>
      </w:r>
    </w:p>
    <w:p>
      <w:pPr>
        <w:pageBreakBefore w:val="0"/>
        <w:widowControl w:val="0"/>
        <w:kinsoku/>
        <w:wordWrap/>
        <w:overflowPunct/>
        <w:topLinePunct w:val="0"/>
        <w:autoSpaceDE/>
        <w:autoSpaceDN/>
        <w:bidi w:val="0"/>
        <w:adjustRightInd/>
        <w:snapToGrid/>
        <w:spacing w:line="600" w:lineRule="exact"/>
        <w:textAlignment w:val="auto"/>
        <w:rPr>
          <w:rFonts w:hint="default"/>
          <w:color w:val="auto"/>
          <w:highlight w:val="none"/>
          <w:u w:val="none"/>
          <w:lang w:val="en-US" w:eastAsia="zh-CN"/>
        </w:rPr>
      </w:pPr>
      <w:r>
        <w:rPr>
          <w:rFonts w:hint="eastAsia"/>
          <w:color w:val="auto"/>
          <w:highlight w:val="none"/>
          <w:u w:val="none"/>
          <w:lang w:val="en-US" w:eastAsia="zh-CN"/>
        </w:rPr>
        <w:t>2.提供商业贿赂，进行非法促销活动。</w:t>
      </w:r>
    </w:p>
    <w:p>
      <w:pPr>
        <w:pageBreakBefore w:val="0"/>
        <w:widowControl w:val="0"/>
        <w:kinsoku/>
        <w:wordWrap/>
        <w:overflowPunct/>
        <w:topLinePunct w:val="0"/>
        <w:autoSpaceDE/>
        <w:autoSpaceDN/>
        <w:bidi w:val="0"/>
        <w:adjustRightInd/>
        <w:snapToGrid/>
        <w:spacing w:line="600" w:lineRule="exact"/>
        <w:textAlignment w:val="auto"/>
        <w:rPr>
          <w:color w:val="auto"/>
          <w:highlight w:val="none"/>
          <w:u w:val="none"/>
        </w:rPr>
      </w:pPr>
      <w:r>
        <w:rPr>
          <w:rFonts w:hint="eastAsia"/>
          <w:color w:val="auto"/>
          <w:highlight w:val="none"/>
          <w:u w:val="none"/>
          <w:lang w:val="en-US" w:eastAsia="zh-CN"/>
        </w:rPr>
        <w:t>3.以低于成本的价格恶意申报，扰乱市场秩序。</w:t>
      </w:r>
    </w:p>
    <w:p>
      <w:pPr>
        <w:pageBreakBefore w:val="0"/>
        <w:widowControl w:val="0"/>
        <w:kinsoku/>
        <w:wordWrap/>
        <w:overflowPunct/>
        <w:topLinePunct w:val="0"/>
        <w:autoSpaceDE/>
        <w:autoSpaceDN/>
        <w:bidi w:val="0"/>
        <w:adjustRightInd/>
        <w:snapToGrid/>
        <w:spacing w:line="600" w:lineRule="exact"/>
        <w:textAlignment w:val="auto"/>
        <w:rPr>
          <w:color w:val="auto"/>
          <w:highlight w:val="none"/>
          <w:u w:val="none"/>
        </w:rPr>
      </w:pPr>
      <w:r>
        <w:rPr>
          <w:rFonts w:hint="eastAsia"/>
          <w:color w:val="auto"/>
          <w:highlight w:val="none"/>
          <w:u w:val="none"/>
          <w:lang w:val="en-US" w:eastAsia="zh-CN"/>
        </w:rPr>
        <w:t>4.相互串通申报、协商报价，排斥其他申报企业的公平竞争，损害医疗机构或者其他申报企业的合法利益。</w:t>
      </w:r>
    </w:p>
    <w:p>
      <w:pPr>
        <w:pageBreakBefore w:val="0"/>
        <w:widowControl w:val="0"/>
        <w:kinsoku/>
        <w:wordWrap/>
        <w:overflowPunct/>
        <w:topLinePunct w:val="0"/>
        <w:autoSpaceDE/>
        <w:autoSpaceDN/>
        <w:bidi w:val="0"/>
        <w:adjustRightInd/>
        <w:snapToGrid/>
        <w:spacing w:line="600" w:lineRule="exact"/>
        <w:textAlignment w:val="auto"/>
        <w:rPr>
          <w:color w:val="auto"/>
          <w:highlight w:val="none"/>
          <w:u w:val="none"/>
        </w:rPr>
      </w:pPr>
      <w:r>
        <w:rPr>
          <w:rFonts w:hint="eastAsia"/>
          <w:color w:val="auto"/>
          <w:highlight w:val="none"/>
          <w:u w:val="none"/>
          <w:lang w:val="en-US" w:eastAsia="zh-CN"/>
        </w:rPr>
        <w:t>5.以向医疗机构、联盟采购办公室行贿等手段牟取中选。</w:t>
      </w:r>
    </w:p>
    <w:p>
      <w:pPr>
        <w:pageBreakBefore w:val="0"/>
        <w:widowControl w:val="0"/>
        <w:kinsoku/>
        <w:wordWrap/>
        <w:overflowPunct/>
        <w:topLinePunct w:val="0"/>
        <w:autoSpaceDE/>
        <w:autoSpaceDN/>
        <w:bidi w:val="0"/>
        <w:adjustRightInd/>
        <w:snapToGrid/>
        <w:spacing w:line="600" w:lineRule="exact"/>
        <w:textAlignment w:val="auto"/>
        <w:rPr>
          <w:color w:val="auto"/>
          <w:highlight w:val="none"/>
          <w:u w:val="none"/>
        </w:rPr>
      </w:pPr>
      <w:r>
        <w:rPr>
          <w:rFonts w:hint="eastAsia"/>
          <w:color w:val="auto"/>
          <w:highlight w:val="none"/>
          <w:u w:val="none"/>
          <w:lang w:val="en-US" w:eastAsia="zh-CN"/>
        </w:rPr>
        <w:t>6.提供虚假证明文件及文献资料，或者以其他方式弄虚作假，骗取中选。</w:t>
      </w:r>
    </w:p>
    <w:p>
      <w:pPr>
        <w:pageBreakBefore w:val="0"/>
        <w:widowControl w:val="0"/>
        <w:kinsoku/>
        <w:wordWrap/>
        <w:overflowPunct/>
        <w:topLinePunct w:val="0"/>
        <w:autoSpaceDE/>
        <w:autoSpaceDN/>
        <w:bidi w:val="0"/>
        <w:adjustRightInd/>
        <w:snapToGrid/>
        <w:spacing w:line="600" w:lineRule="exact"/>
        <w:textAlignment w:val="auto"/>
        <w:rPr>
          <w:color w:val="auto"/>
          <w:highlight w:val="none"/>
          <w:u w:val="none"/>
        </w:rPr>
      </w:pPr>
      <w:r>
        <w:rPr>
          <w:rFonts w:hint="eastAsia"/>
          <w:color w:val="auto"/>
          <w:highlight w:val="none"/>
          <w:u w:val="none"/>
          <w:lang w:val="en-US" w:eastAsia="zh-CN"/>
        </w:rPr>
        <w:t>7.在规定期限内不签订采购协议。</w:t>
      </w:r>
    </w:p>
    <w:p>
      <w:pPr>
        <w:pageBreakBefore w:val="0"/>
        <w:widowControl w:val="0"/>
        <w:kinsoku/>
        <w:wordWrap/>
        <w:overflowPunct/>
        <w:topLinePunct w:val="0"/>
        <w:autoSpaceDE/>
        <w:autoSpaceDN/>
        <w:bidi w:val="0"/>
        <w:adjustRightInd/>
        <w:snapToGrid/>
        <w:spacing w:line="600" w:lineRule="exact"/>
        <w:textAlignment w:val="auto"/>
        <w:rPr>
          <w:color w:val="auto"/>
          <w:highlight w:val="none"/>
          <w:u w:val="none"/>
        </w:rPr>
      </w:pPr>
      <w:r>
        <w:rPr>
          <w:rFonts w:hint="eastAsia"/>
          <w:color w:val="auto"/>
          <w:highlight w:val="none"/>
          <w:u w:val="none"/>
          <w:lang w:val="en-US" w:eastAsia="zh-CN"/>
        </w:rPr>
        <w:t>8.中选企业、配送企业未按采购协议及法律法规要求实行配送。</w:t>
      </w:r>
    </w:p>
    <w:p>
      <w:pPr>
        <w:pageBreakBefore w:val="0"/>
        <w:widowControl w:val="0"/>
        <w:kinsoku/>
        <w:wordWrap/>
        <w:overflowPunct/>
        <w:topLinePunct w:val="0"/>
        <w:autoSpaceDE/>
        <w:autoSpaceDN/>
        <w:bidi w:val="0"/>
        <w:adjustRightInd/>
        <w:snapToGrid/>
        <w:spacing w:line="600" w:lineRule="exact"/>
        <w:textAlignment w:val="auto"/>
        <w:rPr>
          <w:rFonts w:hint="eastAsia"/>
          <w:color w:val="auto"/>
          <w:highlight w:val="none"/>
          <w:u w:val="none"/>
          <w:lang w:val="en-US" w:eastAsia="zh-CN"/>
        </w:rPr>
      </w:pPr>
      <w:r>
        <w:rPr>
          <w:rFonts w:hint="eastAsia"/>
          <w:color w:val="auto"/>
          <w:highlight w:val="none"/>
          <w:u w:val="none"/>
          <w:lang w:val="en-US" w:eastAsia="zh-CN"/>
        </w:rPr>
        <w:t>9.拟中选或中选后放弃中选资格。</w:t>
      </w:r>
    </w:p>
    <w:p>
      <w:pPr>
        <w:pageBreakBefore w:val="0"/>
        <w:widowControl w:val="0"/>
        <w:kinsoku/>
        <w:wordWrap/>
        <w:overflowPunct/>
        <w:topLinePunct w:val="0"/>
        <w:autoSpaceDE/>
        <w:autoSpaceDN/>
        <w:bidi w:val="0"/>
        <w:adjustRightInd/>
        <w:snapToGrid/>
        <w:spacing w:line="600" w:lineRule="exact"/>
        <w:textAlignment w:val="auto"/>
        <w:rPr>
          <w:color w:val="auto"/>
          <w:highlight w:val="none"/>
          <w:u w:val="none"/>
        </w:rPr>
      </w:pPr>
      <w:r>
        <w:rPr>
          <w:rFonts w:hint="eastAsia"/>
          <w:color w:val="auto"/>
          <w:highlight w:val="none"/>
          <w:u w:val="none"/>
          <w:lang w:val="en-US" w:eastAsia="zh-CN"/>
        </w:rPr>
        <w:t>10.中选产品或配套工具不履行供货承诺，影响到临床使用。</w:t>
      </w:r>
    </w:p>
    <w:p>
      <w:pPr>
        <w:pageBreakBefore w:val="0"/>
        <w:widowControl w:val="0"/>
        <w:kinsoku/>
        <w:wordWrap/>
        <w:overflowPunct/>
        <w:topLinePunct w:val="0"/>
        <w:autoSpaceDE/>
        <w:autoSpaceDN/>
        <w:bidi w:val="0"/>
        <w:adjustRightInd/>
        <w:snapToGrid/>
        <w:spacing w:line="600" w:lineRule="exact"/>
        <w:textAlignment w:val="auto"/>
        <w:rPr>
          <w:color w:val="auto"/>
          <w:highlight w:val="none"/>
          <w:u w:val="none"/>
        </w:rPr>
      </w:pPr>
      <w:r>
        <w:rPr>
          <w:rFonts w:hint="eastAsia"/>
          <w:color w:val="auto"/>
          <w:highlight w:val="none"/>
          <w:u w:val="none"/>
          <w:lang w:val="en-US" w:eastAsia="zh-CN"/>
        </w:rPr>
        <w:t>11.中选产品或配套使用的工具发生严重质量问题。</w:t>
      </w:r>
    </w:p>
    <w:p>
      <w:pPr>
        <w:pageBreakBefore w:val="0"/>
        <w:widowControl w:val="0"/>
        <w:kinsoku/>
        <w:wordWrap/>
        <w:overflowPunct/>
        <w:topLinePunct w:val="0"/>
        <w:autoSpaceDE/>
        <w:autoSpaceDN/>
        <w:bidi w:val="0"/>
        <w:adjustRightInd/>
        <w:snapToGrid/>
        <w:spacing w:line="600" w:lineRule="exact"/>
        <w:textAlignment w:val="auto"/>
        <w:rPr>
          <w:rFonts w:hint="default"/>
          <w:color w:val="auto"/>
          <w:highlight w:val="none"/>
          <w:u w:val="none"/>
          <w:lang w:val="en-US" w:eastAsia="zh-CN"/>
        </w:rPr>
      </w:pPr>
      <w:r>
        <w:rPr>
          <w:rFonts w:hint="eastAsia"/>
          <w:color w:val="auto"/>
          <w:highlight w:val="none"/>
          <w:u w:val="none"/>
          <w:lang w:val="en-US" w:eastAsia="zh-CN"/>
        </w:rPr>
        <w:t>12.中选产品因不符合耗材生产质量管理规范被药品监督管理部门处以暂停生产、销售、使用、进口等控制措施。</w:t>
      </w:r>
    </w:p>
    <w:p>
      <w:pPr>
        <w:pageBreakBefore w:val="0"/>
        <w:widowControl w:val="0"/>
        <w:kinsoku/>
        <w:wordWrap/>
        <w:overflowPunct/>
        <w:topLinePunct w:val="0"/>
        <w:autoSpaceDE/>
        <w:autoSpaceDN/>
        <w:bidi w:val="0"/>
        <w:adjustRightInd/>
        <w:snapToGrid/>
        <w:spacing w:line="600" w:lineRule="exact"/>
        <w:textAlignment w:val="auto"/>
        <w:rPr>
          <w:color w:val="auto"/>
          <w:highlight w:val="none"/>
          <w:u w:val="none"/>
        </w:rPr>
      </w:pPr>
      <w:r>
        <w:rPr>
          <w:rFonts w:hint="eastAsia"/>
          <w:color w:val="auto"/>
          <w:highlight w:val="none"/>
          <w:u w:val="none"/>
          <w:lang w:val="en-US" w:eastAsia="zh-CN"/>
        </w:rPr>
        <w:t>13.在抽检或飞行检查中发现中选企业严重违背在申报材料中作出的承诺。</w:t>
      </w:r>
    </w:p>
    <w:p>
      <w:pPr>
        <w:pageBreakBefore w:val="0"/>
        <w:widowControl w:val="0"/>
        <w:kinsoku/>
        <w:wordWrap/>
        <w:overflowPunct/>
        <w:topLinePunct w:val="0"/>
        <w:autoSpaceDE/>
        <w:autoSpaceDN/>
        <w:bidi w:val="0"/>
        <w:adjustRightInd/>
        <w:snapToGrid/>
        <w:spacing w:line="600" w:lineRule="exact"/>
        <w:textAlignment w:val="auto"/>
        <w:rPr>
          <w:color w:val="auto"/>
          <w:highlight w:val="none"/>
          <w:u w:val="none"/>
        </w:rPr>
      </w:pPr>
      <w:r>
        <w:rPr>
          <w:rFonts w:hint="eastAsia"/>
          <w:color w:val="auto"/>
          <w:highlight w:val="none"/>
          <w:u w:val="none"/>
          <w:lang w:val="en-US" w:eastAsia="zh-CN"/>
        </w:rPr>
        <w:t>14.通过恶意投诉等不正当手段竞争。</w:t>
      </w:r>
    </w:p>
    <w:p>
      <w:pPr>
        <w:pageBreakBefore w:val="0"/>
        <w:widowControl w:val="0"/>
        <w:kinsoku/>
        <w:wordWrap/>
        <w:overflowPunct/>
        <w:topLinePunct w:val="0"/>
        <w:autoSpaceDE/>
        <w:autoSpaceDN/>
        <w:bidi w:val="0"/>
        <w:adjustRightInd/>
        <w:snapToGrid/>
        <w:spacing w:line="600" w:lineRule="exact"/>
        <w:textAlignment w:val="auto"/>
        <w:rPr>
          <w:color w:val="auto"/>
          <w:highlight w:val="none"/>
          <w:u w:val="none"/>
        </w:rPr>
      </w:pPr>
      <w:r>
        <w:rPr>
          <w:rFonts w:hint="eastAsia"/>
          <w:color w:val="auto"/>
          <w:highlight w:val="none"/>
          <w:u w:val="none"/>
          <w:lang w:val="en-US" w:eastAsia="zh-CN"/>
        </w:rPr>
        <w:t>15.蓄意干扰集中带量采购相关工作秩序。</w:t>
      </w:r>
    </w:p>
    <w:p>
      <w:pPr>
        <w:pageBreakBefore w:val="0"/>
        <w:widowControl w:val="0"/>
        <w:kinsoku/>
        <w:wordWrap/>
        <w:overflowPunct/>
        <w:topLinePunct w:val="0"/>
        <w:autoSpaceDE/>
        <w:autoSpaceDN/>
        <w:bidi w:val="0"/>
        <w:adjustRightInd/>
        <w:snapToGrid/>
        <w:spacing w:line="600" w:lineRule="exact"/>
        <w:textAlignment w:val="auto"/>
        <w:rPr>
          <w:color w:val="auto"/>
          <w:highlight w:val="none"/>
          <w:u w:val="none"/>
        </w:rPr>
      </w:pPr>
      <w:r>
        <w:rPr>
          <w:rFonts w:hint="eastAsia"/>
          <w:color w:val="auto"/>
          <w:highlight w:val="none"/>
          <w:u w:val="none"/>
          <w:lang w:val="en-US" w:eastAsia="zh-CN"/>
        </w:rPr>
        <w:t>16.其他违反法律法规的行为。</w:t>
      </w:r>
    </w:p>
    <w:p>
      <w:pPr>
        <w:pageBreakBefore w:val="0"/>
        <w:widowControl w:val="0"/>
        <w:kinsoku/>
        <w:wordWrap/>
        <w:overflowPunct/>
        <w:topLinePunct w:val="0"/>
        <w:bidi w:val="0"/>
        <w:snapToGrid/>
        <w:spacing w:line="600" w:lineRule="exact"/>
        <w:textAlignment w:val="auto"/>
        <w:rPr>
          <w:rFonts w:hint="eastAsia" w:ascii="楷体_GB2312" w:hAnsi="楷体_GB2312" w:eastAsia="楷体_GB2312" w:cs="楷体_GB2312"/>
          <w:color w:val="auto"/>
          <w:highlight w:val="none"/>
          <w:u w:val="none"/>
        </w:rPr>
      </w:pPr>
      <w:r>
        <w:rPr>
          <w:rFonts w:hint="eastAsia" w:ascii="楷体_GB2312" w:hAnsi="楷体_GB2312" w:eastAsia="楷体_GB2312" w:cs="楷体_GB2312"/>
          <w:color w:val="auto"/>
          <w:highlight w:val="none"/>
          <w:u w:val="none"/>
          <w:lang w:val="en-US" w:eastAsia="zh-CN"/>
        </w:rPr>
        <w:t>（三）列入“违规名单”的相关企业，按以下方式处理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sz w:val="32"/>
          <w:szCs w:val="32"/>
          <w:highlight w:val="none"/>
          <w:u w:val="none"/>
          <w:lang w:eastAsia="zh-CN"/>
        </w:rPr>
      </w:pPr>
      <w:r>
        <w:rPr>
          <w:rFonts w:hint="eastAsia"/>
          <w:color w:val="auto"/>
          <w:highlight w:val="none"/>
          <w:u w:val="none"/>
          <w:lang w:val="en-US" w:eastAsia="zh-CN"/>
        </w:rPr>
        <w:t>1.申报企业列入联盟</w:t>
      </w:r>
      <w:r>
        <w:rPr>
          <w:rFonts w:hint="eastAsia" w:ascii="仿宋_GB2312" w:hAnsi="仿宋_GB2312" w:eastAsia="仿宋_GB2312" w:cs="仿宋_GB2312"/>
          <w:color w:val="auto"/>
          <w:spacing w:val="0"/>
          <w:sz w:val="32"/>
          <w:szCs w:val="32"/>
          <w:highlight w:val="none"/>
          <w:u w:val="none"/>
          <w:lang w:eastAsia="zh-CN"/>
        </w:rPr>
        <w:t>采购办公室</w:t>
      </w:r>
      <w:r>
        <w:rPr>
          <w:rFonts w:hint="eastAsia"/>
          <w:color w:val="auto"/>
          <w:highlight w:val="none"/>
          <w:u w:val="none"/>
          <w:lang w:val="en-US" w:eastAsia="zh-CN"/>
        </w:rPr>
        <w:t>“违规名单”的，取消该企业的申报资格；中选企业列入联盟</w:t>
      </w:r>
      <w:r>
        <w:rPr>
          <w:rFonts w:hint="eastAsia" w:ascii="仿宋_GB2312" w:hAnsi="仿宋_GB2312" w:eastAsia="仿宋_GB2312" w:cs="仿宋_GB2312"/>
          <w:color w:val="auto"/>
          <w:spacing w:val="0"/>
          <w:sz w:val="32"/>
          <w:szCs w:val="32"/>
          <w:highlight w:val="none"/>
          <w:u w:val="none"/>
          <w:lang w:eastAsia="zh-CN"/>
        </w:rPr>
        <w:t>采购办公室</w:t>
      </w:r>
      <w:r>
        <w:rPr>
          <w:rFonts w:hint="eastAsia"/>
          <w:color w:val="auto"/>
          <w:highlight w:val="none"/>
          <w:u w:val="none"/>
          <w:lang w:val="en-US" w:eastAsia="zh-CN"/>
        </w:rPr>
        <w:t>“违规名单”的，取消该企业的中选资格。</w:t>
      </w:r>
      <w:r>
        <w:rPr>
          <w:rFonts w:hint="eastAsia" w:ascii="仿宋_GB2312" w:hAnsi="仿宋_GB2312" w:eastAsia="仿宋_GB2312" w:cs="仿宋_GB2312"/>
          <w:color w:val="auto"/>
          <w:spacing w:val="0"/>
          <w:sz w:val="32"/>
          <w:szCs w:val="32"/>
          <w:highlight w:val="none"/>
          <w:u w:val="none"/>
          <w:lang w:eastAsia="zh-CN"/>
        </w:rPr>
        <w:t>申报企业或中选企业列入</w:t>
      </w:r>
      <w:r>
        <w:rPr>
          <w:rFonts w:hint="eastAsia"/>
          <w:color w:val="auto"/>
          <w:highlight w:val="none"/>
          <w:u w:val="none"/>
          <w:lang w:val="en-US" w:eastAsia="zh-CN"/>
        </w:rPr>
        <w:t>联盟</w:t>
      </w:r>
      <w:r>
        <w:rPr>
          <w:rFonts w:hint="eastAsia" w:ascii="仿宋_GB2312" w:hAnsi="仿宋_GB2312" w:eastAsia="仿宋_GB2312" w:cs="仿宋_GB2312"/>
          <w:color w:val="auto"/>
          <w:spacing w:val="0"/>
          <w:sz w:val="32"/>
          <w:szCs w:val="32"/>
          <w:highlight w:val="none"/>
          <w:u w:val="none"/>
          <w:lang w:eastAsia="zh-CN"/>
        </w:rPr>
        <w:t>采购办公室或其成员单位“违规名单”的，视情节轻重及客观实际，可取消上述企业或品种在列入“违规名单”之日起 2 年及以内参与医用耗材采购活动的资格。</w:t>
      </w:r>
    </w:p>
    <w:p>
      <w:pPr>
        <w:pageBreakBefore w:val="0"/>
        <w:widowControl w:val="0"/>
        <w:kinsoku/>
        <w:wordWrap/>
        <w:overflowPunct/>
        <w:topLinePunct w:val="0"/>
        <w:autoSpaceDE/>
        <w:autoSpaceDN/>
        <w:bidi w:val="0"/>
        <w:adjustRightInd/>
        <w:snapToGrid/>
        <w:spacing w:line="600" w:lineRule="exact"/>
        <w:textAlignment w:val="auto"/>
        <w:rPr>
          <w:color w:val="auto"/>
          <w:highlight w:val="none"/>
          <w:u w:val="none"/>
        </w:rPr>
      </w:pPr>
      <w:r>
        <w:rPr>
          <w:rFonts w:hint="eastAsia"/>
          <w:color w:val="auto"/>
          <w:highlight w:val="none"/>
          <w:u w:val="none"/>
          <w:lang w:val="en-US" w:eastAsia="zh-CN"/>
        </w:rPr>
        <w:t>2.配送企业列入联盟采购办公室或其成员单位“违规名单”的，可取消该企业的配送资格及列入“违规名单”之日起2 年及以内参与医用耗材集中采购的配送资格。</w:t>
      </w:r>
    </w:p>
    <w:p>
      <w:pPr>
        <w:pageBreakBefore w:val="0"/>
        <w:widowControl w:val="0"/>
        <w:kinsoku/>
        <w:wordWrap/>
        <w:overflowPunct/>
        <w:topLinePunct w:val="0"/>
        <w:bidi w:val="0"/>
        <w:snapToGrid/>
        <w:spacing w:line="600" w:lineRule="exact"/>
        <w:textAlignment w:val="auto"/>
        <w:rPr>
          <w:rFonts w:hint="eastAsia" w:ascii="楷体_GB2312" w:hAnsi="楷体_GB2312" w:eastAsia="楷体_GB2312" w:cs="楷体_GB2312"/>
          <w:color w:val="auto"/>
          <w:highlight w:val="none"/>
          <w:u w:val="none"/>
        </w:rPr>
      </w:pPr>
      <w:r>
        <w:rPr>
          <w:rFonts w:hint="eastAsia" w:ascii="楷体_GB2312" w:hAnsi="楷体_GB2312" w:eastAsia="楷体_GB2312" w:cs="楷体_GB2312"/>
          <w:color w:val="auto"/>
          <w:highlight w:val="none"/>
          <w:u w:val="none"/>
          <w:lang w:val="en-US" w:eastAsia="zh-CN"/>
        </w:rPr>
        <w:t>（四）其他事项</w:t>
      </w:r>
    </w:p>
    <w:p>
      <w:pPr>
        <w:pageBreakBefore w:val="0"/>
        <w:widowControl w:val="0"/>
        <w:kinsoku/>
        <w:wordWrap/>
        <w:overflowPunct/>
        <w:topLinePunct w:val="0"/>
        <w:autoSpaceDE/>
        <w:autoSpaceDN/>
        <w:bidi w:val="0"/>
        <w:adjustRightInd/>
        <w:snapToGrid/>
        <w:spacing w:line="600" w:lineRule="exact"/>
        <w:textAlignment w:val="auto"/>
        <w:rPr>
          <w:rFonts w:hint="eastAsia"/>
          <w:color w:val="auto"/>
          <w:highlight w:val="none"/>
          <w:u w:val="none"/>
          <w:lang w:val="en-US" w:eastAsia="zh-CN"/>
        </w:rPr>
      </w:pPr>
      <w:r>
        <w:rPr>
          <w:rFonts w:hint="eastAsia"/>
          <w:color w:val="auto"/>
          <w:highlight w:val="none"/>
          <w:u w:val="none"/>
          <w:lang w:val="en-US" w:eastAsia="zh-CN"/>
        </w:rPr>
        <w:t>1.采购周期内，中选企业出现无法保证供应等情况，致使采购协议无法继续履行时，</w:t>
      </w:r>
      <w:r>
        <w:rPr>
          <w:rFonts w:hint="eastAsia" w:ascii="仿宋_GB2312" w:hAnsi="仿宋_GB2312" w:eastAsia="仿宋_GB2312" w:cs="仿宋_GB2312"/>
          <w:color w:val="auto"/>
          <w:spacing w:val="0"/>
          <w:sz w:val="32"/>
          <w:szCs w:val="32"/>
          <w:highlight w:val="none"/>
          <w:u w:val="none"/>
          <w:lang w:eastAsia="zh-CN"/>
        </w:rPr>
        <w:t>相关地区与该企业协商后</w:t>
      </w:r>
      <w:r>
        <w:rPr>
          <w:rFonts w:hint="eastAsia"/>
          <w:color w:val="auto"/>
          <w:highlight w:val="none"/>
          <w:u w:val="none"/>
          <w:lang w:val="en-US" w:eastAsia="zh-CN"/>
        </w:rPr>
        <w:t>，由医疗机构在同一产品目录下从中选产品中自主选择价格事宜的产品。因保障供应产生的额外支出由无法履行采购协议的原中选企业承担。</w:t>
      </w:r>
    </w:p>
    <w:p>
      <w:pPr>
        <w:pageBreakBefore w:val="0"/>
        <w:widowControl w:val="0"/>
        <w:kinsoku/>
        <w:wordWrap/>
        <w:overflowPunct/>
        <w:topLinePunct w:val="0"/>
        <w:autoSpaceDE/>
        <w:autoSpaceDN/>
        <w:bidi w:val="0"/>
        <w:adjustRightInd/>
        <w:snapToGrid/>
        <w:spacing w:line="600" w:lineRule="exact"/>
        <w:textAlignment w:val="auto"/>
        <w:rPr>
          <w:rFonts w:hint="eastAsia"/>
          <w:color w:val="auto"/>
          <w:highlight w:val="none"/>
          <w:u w:val="none"/>
          <w:lang w:val="en-US" w:eastAsia="zh-CN"/>
        </w:rPr>
      </w:pPr>
      <w:r>
        <w:rPr>
          <w:rFonts w:hint="eastAsia"/>
          <w:color w:val="auto"/>
          <w:highlight w:val="none"/>
          <w:u w:val="none"/>
          <w:lang w:val="en-US" w:eastAsia="zh-CN"/>
        </w:rPr>
        <w:t>2.采购需求量完成后，医疗机构仍应优先使用中选产品。</w:t>
      </w:r>
    </w:p>
    <w:p>
      <w:pPr>
        <w:pageBreakBefore w:val="0"/>
        <w:widowControl w:val="0"/>
        <w:kinsoku/>
        <w:wordWrap/>
        <w:overflowPunct/>
        <w:topLinePunct w:val="0"/>
        <w:autoSpaceDE/>
        <w:autoSpaceDN/>
        <w:bidi w:val="0"/>
        <w:adjustRightInd/>
        <w:snapToGrid/>
        <w:spacing w:line="600" w:lineRule="exact"/>
        <w:textAlignment w:val="auto"/>
        <w:rPr>
          <w:rFonts w:hint="eastAsia"/>
          <w:color w:val="auto"/>
          <w:highlight w:val="none"/>
          <w:u w:val="none"/>
          <w:lang w:val="en-US" w:eastAsia="zh-CN"/>
        </w:rPr>
      </w:pPr>
      <w:r>
        <w:rPr>
          <w:rFonts w:hint="eastAsia"/>
          <w:color w:val="auto"/>
          <w:highlight w:val="none"/>
          <w:u w:val="none"/>
          <w:lang w:val="en-US" w:eastAsia="zh-CN"/>
        </w:rPr>
        <w:t>3.采购周期内，若中选产品的配送企业被列入“违规名单”，相应地区应及时处理，组织中选企业选择其他配送企业，确保中选产品及时配送。</w:t>
      </w:r>
    </w:p>
    <w:p>
      <w:pPr>
        <w:pageBreakBefore w:val="0"/>
        <w:widowControl w:val="0"/>
        <w:kinsoku/>
        <w:wordWrap/>
        <w:overflowPunct/>
        <w:topLinePunct w:val="0"/>
        <w:autoSpaceDE/>
        <w:autoSpaceDN/>
        <w:bidi w:val="0"/>
        <w:adjustRightInd/>
        <w:snapToGrid/>
        <w:spacing w:line="600" w:lineRule="exact"/>
        <w:textAlignment w:val="auto"/>
        <w:rPr>
          <w:rFonts w:hint="eastAsia"/>
          <w:color w:val="auto"/>
          <w:highlight w:val="none"/>
          <w:u w:val="none"/>
          <w:lang w:val="en-US" w:eastAsia="zh-CN"/>
        </w:rPr>
      </w:pPr>
      <w:r>
        <w:rPr>
          <w:rFonts w:hint="eastAsia"/>
          <w:color w:val="auto"/>
          <w:highlight w:val="none"/>
          <w:u w:val="none"/>
          <w:lang w:val="en-US" w:eastAsia="zh-CN"/>
        </w:rPr>
        <w:t>4.严格落实中选企业自主选择配送企业。</w:t>
      </w:r>
    </w:p>
    <w:p>
      <w:pPr>
        <w:pageBreakBefore w:val="0"/>
        <w:widowControl w:val="0"/>
        <w:kinsoku/>
        <w:wordWrap/>
        <w:overflowPunct/>
        <w:topLinePunct w:val="0"/>
        <w:autoSpaceDE/>
        <w:autoSpaceDN/>
        <w:bidi w:val="0"/>
        <w:adjustRightInd/>
        <w:snapToGrid/>
        <w:spacing w:line="600" w:lineRule="exact"/>
        <w:textAlignment w:val="auto"/>
        <w:rPr>
          <w:rFonts w:hint="eastAsia"/>
          <w:color w:val="auto"/>
          <w:highlight w:val="none"/>
          <w:u w:val="none"/>
          <w:lang w:val="en-US" w:eastAsia="zh-CN"/>
        </w:rPr>
      </w:pPr>
      <w:r>
        <w:rPr>
          <w:rFonts w:hint="eastAsia"/>
          <w:color w:val="auto"/>
          <w:highlight w:val="none"/>
          <w:u w:val="none"/>
          <w:lang w:val="en-US" w:eastAsia="zh-CN"/>
        </w:rPr>
        <w:t>5.执行中选结果前，中选企业应配备足够的配套工具，应结合临床实际，对需求量大、医疗机构数量多的地区，适当增加配套工具投放比例。</w:t>
      </w:r>
    </w:p>
    <w:p>
      <w:pPr>
        <w:pageBreakBefore w:val="0"/>
        <w:widowControl w:val="0"/>
        <w:kinsoku/>
        <w:wordWrap/>
        <w:overflowPunct/>
        <w:topLinePunct w:val="0"/>
        <w:autoSpaceDE/>
        <w:autoSpaceDN/>
        <w:bidi w:val="0"/>
        <w:adjustRightInd/>
        <w:snapToGrid/>
        <w:spacing w:line="600" w:lineRule="exact"/>
        <w:textAlignment w:val="auto"/>
        <w:rPr>
          <w:rFonts w:hint="eastAsia"/>
          <w:color w:val="auto"/>
          <w:highlight w:val="none"/>
          <w:u w:val="none"/>
          <w:lang w:val="en-US" w:eastAsia="zh-CN"/>
        </w:rPr>
      </w:pPr>
      <w:r>
        <w:rPr>
          <w:rFonts w:hint="eastAsia"/>
          <w:color w:val="auto"/>
          <w:highlight w:val="none"/>
          <w:u w:val="none"/>
          <w:lang w:val="en-US" w:eastAsia="zh-CN"/>
        </w:rPr>
        <w:t>6.伴随服务包括协助组装工具、进行必要的工具使用指导、对医疗机构进行工具操作培训等。</w:t>
      </w:r>
    </w:p>
    <w:p>
      <w:pPr>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highlight w:val="none"/>
          <w:u w:val="none"/>
          <w:lang w:val="en-US" w:eastAsia="zh-CN"/>
        </w:rPr>
      </w:pPr>
      <w:r>
        <w:rPr>
          <w:rFonts w:hint="eastAsia" w:cs="仿宋_GB2312"/>
          <w:color w:val="auto"/>
          <w:highlight w:val="none"/>
          <w:u w:val="none"/>
          <w:lang w:val="en-US" w:eastAsia="zh-CN"/>
        </w:rPr>
        <w:t>7.</w:t>
      </w:r>
      <w:r>
        <w:rPr>
          <w:rFonts w:hint="eastAsia" w:ascii="仿宋_GB2312" w:hAnsi="仿宋_GB2312" w:eastAsia="仿宋_GB2312" w:cs="仿宋_GB2312"/>
          <w:color w:val="auto"/>
          <w:highlight w:val="none"/>
          <w:u w:val="none"/>
          <w:lang w:val="en-US" w:eastAsia="zh-CN"/>
        </w:rPr>
        <w:t>厂家不能降低服务质量，中选后须根据医疗机构需要提供相应的配套服务。</w:t>
      </w:r>
    </w:p>
    <w:p>
      <w:pPr>
        <w:pageBreakBefore w:val="0"/>
        <w:widowControl w:val="0"/>
        <w:kinsoku/>
        <w:wordWrap/>
        <w:overflowPunct/>
        <w:topLinePunct w:val="0"/>
        <w:autoSpaceDE/>
        <w:autoSpaceDN/>
        <w:bidi w:val="0"/>
        <w:adjustRightInd/>
        <w:snapToGrid/>
        <w:spacing w:line="600" w:lineRule="exact"/>
        <w:textAlignment w:val="auto"/>
        <w:rPr>
          <w:rFonts w:hint="eastAsia"/>
          <w:color w:val="auto"/>
          <w:highlight w:val="none"/>
          <w:u w:val="none"/>
          <w:lang w:val="en-US" w:eastAsia="zh-CN"/>
        </w:rPr>
      </w:pPr>
      <w:r>
        <w:rPr>
          <w:rFonts w:hint="eastAsia"/>
          <w:color w:val="auto"/>
          <w:highlight w:val="none"/>
          <w:u w:val="none"/>
          <w:lang w:val="en-US" w:eastAsia="zh-CN"/>
        </w:rPr>
        <w:t>8.因中选产品存在生产质量问题，给患者造成的损失，按照相关规定，由中选企业承担全部赔偿责任。</w:t>
      </w:r>
    </w:p>
    <w:p>
      <w:pPr>
        <w:pageBreakBefore w:val="0"/>
        <w:widowControl w:val="0"/>
        <w:kinsoku/>
        <w:wordWrap/>
        <w:overflowPunct/>
        <w:topLinePunct w:val="0"/>
        <w:bidi w:val="0"/>
        <w:snapToGrid/>
        <w:spacing w:line="600" w:lineRule="exact"/>
        <w:textAlignment w:val="auto"/>
        <w:rPr>
          <w:rFonts w:hint="eastAsia" w:ascii="黑体" w:hAnsi="黑体" w:eastAsia="黑体" w:cs="黑体"/>
          <w:color w:val="auto"/>
          <w:kern w:val="0"/>
          <w:sz w:val="32"/>
          <w:szCs w:val="32"/>
          <w:lang w:val="en-US" w:eastAsia="zh-CN" w:bidi="ar"/>
        </w:rPr>
      </w:pPr>
      <w:r>
        <w:rPr>
          <w:rFonts w:hint="eastAsia" w:ascii="楷体_GB2312" w:hAnsi="楷体_GB2312" w:eastAsia="楷体_GB2312" w:cs="楷体_GB2312"/>
          <w:color w:val="auto"/>
          <w:highlight w:val="none"/>
          <w:u w:val="none"/>
          <w:lang w:val="en-US" w:eastAsia="zh-CN"/>
        </w:rPr>
        <w:t>（五）本采购文件仅适用于本次医用耗材集中带量采购所述项目的医用耗材及相关服务，最终解释权归联盟采购办公室。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auto"/>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before="4680" w:beforeLines="1500" w:line="600" w:lineRule="exact"/>
        <w:ind w:firstLine="0" w:firstLineChars="0"/>
        <w:jc w:val="center"/>
        <w:textAlignment w:val="auto"/>
        <w:outlineLvl w:val="0"/>
        <w:rPr>
          <w:rFonts w:hint="default" w:ascii="方正小标宋简体" w:hAnsi="方正小标宋简体" w:eastAsia="方正小标宋简体" w:cs="方正小标宋简体"/>
          <w:bCs/>
          <w:color w:val="auto"/>
          <w:sz w:val="56"/>
          <w:szCs w:val="56"/>
          <w:lang w:val="en-US" w:eastAsia="zh-CN"/>
        </w:rPr>
      </w:pPr>
      <w:bookmarkStart w:id="44" w:name="_Toc19405"/>
      <w:bookmarkStart w:id="45" w:name="_Toc2012"/>
      <w:r>
        <w:rPr>
          <w:rFonts w:hint="eastAsia" w:ascii="方正小标宋简体" w:hAnsi="方正小标宋简体" w:eastAsia="方正小标宋简体" w:cs="方正小标宋简体"/>
          <w:bCs/>
          <w:color w:val="auto"/>
          <w:sz w:val="56"/>
          <w:szCs w:val="56"/>
          <w:lang w:val="en-US" w:eastAsia="zh-CN"/>
        </w:rPr>
        <w:t>第三部分 附件</w:t>
      </w:r>
      <w:bookmarkEnd w:id="44"/>
      <w:bookmarkEnd w:id="45"/>
    </w:p>
    <w:p>
      <w:pPr>
        <w:rPr>
          <w:rFonts w:hint="default"/>
          <w:color w:val="auto"/>
          <w:lang w:val="en-US" w:eastAsia="zh-CN"/>
        </w:rPr>
      </w:pPr>
      <w:r>
        <w:rPr>
          <w:rFonts w:hint="default"/>
          <w:color w:val="auto"/>
          <w:lang w:val="en-US" w:eastAsia="zh-CN"/>
        </w:rPr>
        <w:br w:type="page"/>
      </w:r>
    </w:p>
    <w:p>
      <w:pPr>
        <w:pStyle w:val="3"/>
        <w:bidi w:val="0"/>
        <w:jc w:val="both"/>
        <w:rPr>
          <w:rFonts w:hint="eastAsia" w:ascii="仿宋_GB2312" w:hAnsi="仿宋_GB2312" w:eastAsia="仿宋_GB2312" w:cstheme="minorBidi"/>
          <w:color w:val="auto"/>
          <w:kern w:val="2"/>
          <w:sz w:val="32"/>
          <w:szCs w:val="32"/>
          <w:lang w:val="en-US" w:eastAsia="zh-CN" w:bidi="ar-SA"/>
        </w:rPr>
      </w:pPr>
      <w:bookmarkStart w:id="46" w:name="_Toc19772"/>
      <w:bookmarkStart w:id="47" w:name="_Toc12599"/>
      <w:r>
        <w:rPr>
          <w:rFonts w:hint="eastAsia" w:ascii="仿宋_GB2312" w:hAnsi="仿宋_GB2312" w:eastAsia="仿宋_GB2312" w:cstheme="minorBidi"/>
          <w:color w:val="auto"/>
          <w:kern w:val="2"/>
          <w:sz w:val="32"/>
          <w:szCs w:val="32"/>
          <w:lang w:val="en-US" w:eastAsia="zh-CN" w:bidi="ar-SA"/>
        </w:rPr>
        <w:t>附件1</w:t>
      </w:r>
      <w:bookmarkEnd w:id="46"/>
      <w:bookmarkEnd w:id="47"/>
      <w:bookmarkStart w:id="48" w:name="_Toc2913"/>
      <w:bookmarkStart w:id="49" w:name="_Toc12577"/>
    </w:p>
    <w:p>
      <w:pPr>
        <w:pStyle w:val="3"/>
        <w:keepNext/>
        <w:keepLines/>
        <w:pageBreakBefore w:val="0"/>
        <w:widowControl w:val="0"/>
        <w:kinsoku/>
        <w:wordWrap/>
        <w:overflowPunct/>
        <w:topLinePunct w:val="0"/>
        <w:autoSpaceDE/>
        <w:autoSpaceDN/>
        <w:bidi w:val="0"/>
        <w:adjustRightInd/>
        <w:snapToGrid/>
        <w:spacing w:after="313" w:afterLines="100"/>
        <w:textAlignment w:val="auto"/>
        <w:rPr>
          <w:rFonts w:hint="eastAsia" w:ascii="方正小标宋_GBK" w:hAnsi="方正小标宋_GBK" w:eastAsia="方正小标宋_GBK" w:cs="方正小标宋_GBK"/>
        </w:rPr>
      </w:pPr>
      <w:bookmarkStart w:id="50" w:name="_Toc18891"/>
      <w:bookmarkStart w:id="51" w:name="_Toc30039"/>
      <w:r>
        <w:rPr>
          <w:rFonts w:hint="eastAsia" w:ascii="方正小标宋_GBK" w:hAnsi="方正小标宋_GBK" w:eastAsia="方正小标宋_GBK" w:cs="方正小标宋_GBK"/>
          <w:lang w:val="en-US" w:eastAsia="zh-CN"/>
        </w:rPr>
        <w:t>豫南片区联盟第二批医用耗材集中带量采购申报函</w:t>
      </w:r>
      <w:bookmarkEnd w:id="48"/>
      <w:bookmarkEnd w:id="49"/>
      <w:bookmarkEnd w:id="50"/>
      <w:bookmarkEnd w:id="51"/>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hAnsi="仿宋_GB2312" w:eastAsia="仿宋_GB2312" w:cs="仿宋_GB2312"/>
          <w:color w:val="auto"/>
          <w:spacing w:val="0"/>
          <w:kern w:val="0"/>
          <w:sz w:val="28"/>
          <w:szCs w:val="28"/>
          <w:highlight w:val="none"/>
          <w:u w:val="none"/>
          <w:lang w:val="en-US" w:eastAsia="zh-CN" w:bidi="ar-SA"/>
        </w:rPr>
      </w:pPr>
      <w:r>
        <w:rPr>
          <w:rFonts w:hint="eastAsia" w:ascii="仿宋_GB2312" w:hAnsi="仿宋_GB2312" w:eastAsia="仿宋_GB2312" w:cs="仿宋_GB2312"/>
          <w:color w:val="auto"/>
          <w:spacing w:val="0"/>
          <w:kern w:val="0"/>
          <w:sz w:val="28"/>
          <w:szCs w:val="28"/>
          <w:highlight w:val="none"/>
          <w:u w:val="none"/>
          <w:lang w:val="en-US" w:eastAsia="zh-CN" w:bidi="ar-SA"/>
        </w:rPr>
        <w:t>联盟采购办公室：</w:t>
      </w:r>
    </w:p>
    <w:p>
      <w:pPr>
        <w:pStyle w:val="2"/>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textAlignment w:val="auto"/>
        <w:rPr>
          <w:rFonts w:hint="eastAsia" w:ascii="仿宋_GB2312" w:hAnsi="仿宋_GB2312" w:eastAsia="仿宋_GB2312" w:cs="仿宋_GB2312"/>
          <w:color w:val="auto"/>
          <w:spacing w:val="0"/>
          <w:kern w:val="0"/>
          <w:sz w:val="28"/>
          <w:szCs w:val="28"/>
          <w:highlight w:val="none"/>
          <w:u w:val="none"/>
          <w:lang w:val="en-US" w:eastAsia="zh-CN" w:bidi="ar-SA"/>
        </w:rPr>
      </w:pPr>
      <w:r>
        <w:rPr>
          <w:rFonts w:hint="eastAsia" w:ascii="仿宋_GB2312" w:hAnsi="仿宋_GB2312" w:eastAsia="仿宋_GB2312" w:cs="仿宋_GB2312"/>
          <w:color w:val="auto"/>
          <w:spacing w:val="0"/>
          <w:kern w:val="0"/>
          <w:sz w:val="28"/>
          <w:szCs w:val="28"/>
          <w:highlight w:val="none"/>
          <w:u w:val="none"/>
          <w:lang w:val="en-US" w:eastAsia="zh-CN" w:bidi="ar-SA"/>
        </w:rPr>
        <w:t>在充分理解《豫南片区联盟第二批医用耗材集中带量采购文件》（采购文件编号：）后，我方决定按照采购文件的规定申报参与，并保证申报的价格及其他证明材料的真实性、合法性、有效性。</w:t>
      </w:r>
    </w:p>
    <w:p>
      <w:pPr>
        <w:pStyle w:val="2"/>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textAlignment w:val="auto"/>
        <w:rPr>
          <w:rFonts w:hint="eastAsia" w:ascii="仿宋_GB2312" w:hAnsi="仿宋_GB2312" w:eastAsia="仿宋_GB2312" w:cs="仿宋_GB2312"/>
          <w:color w:val="auto"/>
          <w:spacing w:val="0"/>
          <w:kern w:val="0"/>
          <w:sz w:val="28"/>
          <w:szCs w:val="28"/>
          <w:highlight w:val="none"/>
          <w:u w:val="none"/>
          <w:lang w:val="en-US" w:eastAsia="zh-CN" w:bidi="ar-SA"/>
        </w:rPr>
      </w:pPr>
      <w:r>
        <w:rPr>
          <w:rFonts w:hint="eastAsia" w:ascii="仿宋_GB2312" w:hAnsi="仿宋_GB2312" w:eastAsia="仿宋_GB2312" w:cs="仿宋_GB2312"/>
          <w:color w:val="auto"/>
          <w:spacing w:val="0"/>
          <w:kern w:val="0"/>
          <w:sz w:val="28"/>
          <w:szCs w:val="28"/>
          <w:highlight w:val="none"/>
          <w:u w:val="none"/>
          <w:lang w:val="en-US" w:eastAsia="zh-CN" w:bidi="ar-SA"/>
        </w:rPr>
        <w:t>我方已充分考虑原材料价格、配送、税费、服务等因素，并以此申报。我方承诺申报价格不低于本企业该产品成本价与伴随服务成本价之和。我方完全理解及遵守采购文件中的中选产品确认准则，理解贵方不一定要接受最低申报价格的申报。</w:t>
      </w:r>
    </w:p>
    <w:p>
      <w:pPr>
        <w:pStyle w:val="2"/>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textAlignment w:val="auto"/>
        <w:rPr>
          <w:rFonts w:hint="eastAsia" w:ascii="仿宋_GB2312" w:hAnsi="仿宋_GB2312" w:eastAsia="仿宋_GB2312" w:cs="仿宋_GB2312"/>
          <w:color w:val="auto"/>
          <w:spacing w:val="0"/>
          <w:sz w:val="28"/>
          <w:szCs w:val="28"/>
          <w:highlight w:val="none"/>
          <w:u w:val="none"/>
          <w:lang w:val="en-US" w:eastAsia="zh-CN"/>
        </w:rPr>
      </w:pPr>
      <w:r>
        <w:rPr>
          <w:rFonts w:hint="eastAsia" w:ascii="仿宋_GB2312" w:hAnsi="仿宋_GB2312" w:eastAsia="仿宋_GB2312" w:cs="仿宋_GB2312"/>
          <w:color w:val="auto"/>
          <w:spacing w:val="0"/>
          <w:sz w:val="28"/>
          <w:szCs w:val="28"/>
          <w:highlight w:val="none"/>
          <w:u w:val="none"/>
          <w:lang w:val="en-US" w:eastAsia="zh-CN"/>
        </w:rPr>
        <w:t>我方承诺确保在采购周期内满足联盟各地区对所有规格型号的采购需求，具有履行采购协议必须具备的中选产品供应能力，对产品的质量和供应负责。如我方产品中选，将按要求及时足量组织生产，及时向配送企业发送中选产品，按协议要求向医疗机构提供伴随服务，满足医疗机构临床使用需要，确</w:t>
      </w:r>
      <w:bookmarkStart w:id="58" w:name="_GoBack"/>
      <w:bookmarkEnd w:id="58"/>
      <w:r>
        <w:rPr>
          <w:rFonts w:hint="eastAsia" w:ascii="仿宋_GB2312" w:hAnsi="仿宋_GB2312" w:eastAsia="仿宋_GB2312" w:cs="仿宋_GB2312"/>
          <w:color w:val="auto"/>
          <w:spacing w:val="0"/>
          <w:sz w:val="28"/>
          <w:szCs w:val="28"/>
          <w:highlight w:val="none"/>
          <w:u w:val="none"/>
          <w:lang w:val="en-US" w:eastAsia="zh-CN"/>
        </w:rPr>
        <w:t>保中选产品的价格、质量及数量等一切要素按照采购协议履行。如有违约行为，按照采购文件有关规定接受处置。</w:t>
      </w:r>
    </w:p>
    <w:p>
      <w:pPr>
        <w:pStyle w:val="2"/>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textAlignment w:val="auto"/>
        <w:rPr>
          <w:rFonts w:hint="eastAsia" w:ascii="仿宋_GB2312" w:hAnsi="仿宋_GB2312" w:eastAsia="仿宋_GB2312" w:cs="仿宋_GB2312"/>
          <w:color w:val="auto"/>
          <w:spacing w:val="0"/>
          <w:sz w:val="28"/>
          <w:szCs w:val="28"/>
          <w:highlight w:val="none"/>
          <w:u w:val="none"/>
          <w:lang w:val="en-US" w:eastAsia="zh-CN"/>
        </w:rPr>
      </w:pPr>
      <w:r>
        <w:rPr>
          <w:rFonts w:hint="eastAsia" w:ascii="仿宋_GB2312" w:hAnsi="仿宋_GB2312" w:eastAsia="仿宋_GB2312" w:cs="仿宋_GB2312"/>
          <w:color w:val="auto"/>
          <w:spacing w:val="0"/>
          <w:sz w:val="28"/>
          <w:szCs w:val="28"/>
          <w:highlight w:val="none"/>
          <w:u w:val="none"/>
          <w:lang w:val="en-US" w:eastAsia="zh-CN"/>
        </w:rPr>
        <w:t>我方承诺申报产品不存在违反《中华人民共和国专利法》《中华人民共和国反不正当竞争法》等相关法律法规的情形，该承诺在采购周期内持续有效，若产生相关纠纷，给医疗机构造成的损失由我方承担。</w:t>
      </w:r>
    </w:p>
    <w:p>
      <w:pPr>
        <w:pStyle w:val="2"/>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textAlignment w:val="auto"/>
        <w:rPr>
          <w:rFonts w:hint="eastAsia" w:ascii="仿宋_GB2312" w:hAnsi="仿宋_GB2312" w:eastAsia="仿宋_GB2312" w:cs="仿宋_GB2312"/>
          <w:color w:val="auto"/>
          <w:spacing w:val="0"/>
          <w:sz w:val="28"/>
          <w:szCs w:val="28"/>
          <w:highlight w:val="none"/>
          <w:u w:val="none"/>
          <w:lang w:val="en-US" w:eastAsia="zh-CN"/>
        </w:rPr>
      </w:pPr>
      <w:r>
        <w:rPr>
          <w:rFonts w:hint="eastAsia" w:ascii="仿宋_GB2312" w:hAnsi="仿宋_GB2312" w:eastAsia="仿宋_GB2312" w:cs="仿宋_GB2312"/>
          <w:color w:val="auto"/>
          <w:spacing w:val="0"/>
          <w:sz w:val="28"/>
          <w:szCs w:val="28"/>
          <w:highlight w:val="none"/>
          <w:u w:val="none"/>
          <w:lang w:val="en-US" w:eastAsia="zh-CN"/>
        </w:rPr>
        <w:t>我方承诺同联合采购办公室无利益关系，不会为达成此项目与医疗机构进行任何不正当联系，不会在申报过程中有任何违法违规行为。在正式采购协议签订前，本申报函和中选结果通知将构成约束双方的协议。</w:t>
      </w:r>
    </w:p>
    <w:p>
      <w:pPr>
        <w:keepNext w:val="0"/>
        <w:keepLines w:val="0"/>
        <w:pageBreakBefore w:val="0"/>
        <w:widowControl w:val="0"/>
        <w:kinsoku/>
        <w:wordWrap/>
        <w:overflowPunct/>
        <w:topLinePunct w:val="0"/>
        <w:autoSpaceDE/>
        <w:autoSpaceDN/>
        <w:bidi w:val="0"/>
        <w:adjustRightInd/>
        <w:snapToGrid/>
        <w:spacing w:line="480" w:lineRule="exact"/>
        <w:ind w:right="2240" w:rightChars="700" w:firstLine="0" w:firstLineChars="0"/>
        <w:jc w:val="right"/>
        <w:textAlignment w:val="auto"/>
        <w:rPr>
          <w:rFonts w:hint="eastAsia"/>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2240" w:rightChars="700" w:firstLine="0" w:firstLineChars="0"/>
        <w:jc w:val="right"/>
        <w:textAlignment w:val="auto"/>
        <w:rPr>
          <w:rFonts w:hint="eastAsia" w:ascii="仿宋_GB2312" w:hAnsi="仿宋_GB2312" w:eastAsia="仿宋_GB2312" w:cs="仿宋_GB2312"/>
          <w:color w:val="auto"/>
          <w:spacing w:val="0"/>
          <w:kern w:val="0"/>
          <w:sz w:val="28"/>
          <w:szCs w:val="28"/>
          <w:highlight w:val="none"/>
          <w:u w:val="none"/>
          <w:lang w:val="en-US" w:eastAsia="zh-CN" w:bidi="ar-SA"/>
        </w:rPr>
      </w:pPr>
      <w:r>
        <w:rPr>
          <w:rFonts w:hint="eastAsia" w:ascii="仿宋_GB2312" w:hAnsi="仿宋_GB2312" w:eastAsia="仿宋_GB2312" w:cs="仿宋_GB2312"/>
          <w:color w:val="auto"/>
          <w:spacing w:val="0"/>
          <w:kern w:val="0"/>
          <w:sz w:val="28"/>
          <w:szCs w:val="28"/>
          <w:highlight w:val="none"/>
          <w:u w:val="none"/>
          <w:lang w:val="en-US" w:eastAsia="zh-CN" w:bidi="ar-SA"/>
        </w:rPr>
        <w:t>申报企业（盖章）：</w:t>
      </w:r>
    </w:p>
    <w:p>
      <w:pPr>
        <w:keepNext w:val="0"/>
        <w:keepLines w:val="0"/>
        <w:pageBreakBefore w:val="0"/>
        <w:widowControl w:val="0"/>
        <w:kinsoku/>
        <w:wordWrap/>
        <w:overflowPunct/>
        <w:topLinePunct w:val="0"/>
        <w:autoSpaceDE/>
        <w:autoSpaceDN/>
        <w:bidi w:val="0"/>
        <w:adjustRightInd/>
        <w:snapToGrid/>
        <w:spacing w:line="480" w:lineRule="exact"/>
        <w:ind w:right="1280" w:rightChars="400" w:firstLine="0" w:firstLineChars="0"/>
        <w:jc w:val="right"/>
        <w:textAlignment w:val="auto"/>
        <w:rPr>
          <w:rFonts w:hint="eastAsia" w:ascii="仿宋_GB2312" w:hAnsi="仿宋_GB2312" w:eastAsia="仿宋_GB2312" w:cs="仿宋_GB2312"/>
          <w:color w:val="auto"/>
          <w:spacing w:val="0"/>
          <w:kern w:val="0"/>
          <w:sz w:val="28"/>
          <w:szCs w:val="28"/>
          <w:highlight w:val="none"/>
          <w:u w:val="none"/>
          <w:lang w:val="en-US" w:eastAsia="zh-CN" w:bidi="ar-SA"/>
        </w:rPr>
      </w:pPr>
      <w:r>
        <w:rPr>
          <w:rFonts w:hint="eastAsia" w:ascii="仿宋_GB2312" w:hAnsi="仿宋_GB2312" w:eastAsia="仿宋_GB2312" w:cs="仿宋_GB2312"/>
          <w:color w:val="auto"/>
          <w:spacing w:val="0"/>
          <w:kern w:val="0"/>
          <w:sz w:val="28"/>
          <w:szCs w:val="28"/>
          <w:highlight w:val="none"/>
          <w:u w:val="none"/>
          <w:lang w:val="en-US" w:eastAsia="zh-CN" w:bidi="ar-SA"/>
        </w:rPr>
        <w:t>日期：    年    月    日</w:t>
      </w:r>
    </w:p>
    <w:p>
      <w:pPr>
        <w:rPr>
          <w:rFonts w:hint="eastAsia"/>
          <w:color w:val="auto"/>
          <w:sz w:val="30"/>
          <w:szCs w:val="30"/>
          <w:lang w:val="en-US" w:eastAsia="zh-CN"/>
        </w:rPr>
      </w:pPr>
      <w:r>
        <w:rPr>
          <w:rFonts w:hint="eastAsia"/>
          <w:color w:val="auto"/>
          <w:sz w:val="30"/>
          <w:szCs w:val="30"/>
          <w:lang w:val="en-US" w:eastAsia="zh-CN"/>
        </w:rPr>
        <w:br w:type="page"/>
      </w:r>
    </w:p>
    <w:p>
      <w:pPr>
        <w:pStyle w:val="3"/>
        <w:bidi w:val="0"/>
        <w:jc w:val="both"/>
        <w:rPr>
          <w:rFonts w:hint="eastAsia" w:ascii="仿宋_GB2312" w:hAnsi="仿宋_GB2312" w:eastAsia="仿宋_GB2312" w:cstheme="minorBidi"/>
          <w:color w:val="auto"/>
          <w:kern w:val="2"/>
          <w:sz w:val="32"/>
          <w:szCs w:val="32"/>
          <w:lang w:val="en-US" w:eastAsia="zh-CN" w:bidi="ar-SA"/>
        </w:rPr>
      </w:pPr>
      <w:bookmarkStart w:id="52" w:name="_Toc10804"/>
      <w:bookmarkStart w:id="53" w:name="_Toc337"/>
      <w:r>
        <w:rPr>
          <w:rFonts w:hint="eastAsia" w:ascii="仿宋_GB2312" w:hAnsi="仿宋_GB2312" w:eastAsia="仿宋_GB2312" w:cstheme="minorBidi"/>
          <w:color w:val="auto"/>
          <w:kern w:val="2"/>
          <w:sz w:val="32"/>
          <w:szCs w:val="32"/>
          <w:lang w:val="en-US" w:eastAsia="zh-CN" w:bidi="ar-SA"/>
        </w:rPr>
        <w:t>附件2</w:t>
      </w:r>
      <w:bookmarkEnd w:id="52"/>
      <w:bookmarkEnd w:id="53"/>
      <w:bookmarkStart w:id="54" w:name="_Toc8160"/>
      <w:bookmarkStart w:id="55" w:name="_Toc21063"/>
    </w:p>
    <w:p>
      <w:pPr>
        <w:pStyle w:val="3"/>
        <w:keepNext/>
        <w:keepLines/>
        <w:pageBreakBefore w:val="0"/>
        <w:widowControl w:val="0"/>
        <w:kinsoku/>
        <w:wordWrap/>
        <w:overflowPunct/>
        <w:topLinePunct w:val="0"/>
        <w:autoSpaceDE/>
        <w:autoSpaceDN/>
        <w:bidi w:val="0"/>
        <w:adjustRightInd/>
        <w:snapToGrid/>
        <w:spacing w:after="313" w:afterLines="100"/>
        <w:jc w:val="center"/>
        <w:textAlignment w:val="auto"/>
        <w:rPr>
          <w:rFonts w:hint="eastAsia" w:ascii="方正小标宋_GBK" w:hAnsi="方正小标宋_GBK" w:eastAsia="方正小标宋_GBK" w:cs="方正小标宋_GBK"/>
          <w:lang w:val="en-US" w:eastAsia="zh-CN"/>
        </w:rPr>
      </w:pPr>
      <w:bookmarkStart w:id="56" w:name="_Toc18816"/>
      <w:bookmarkStart w:id="57" w:name="_Toc15531"/>
      <w:r>
        <w:rPr>
          <w:rFonts w:hint="eastAsia" w:ascii="方正小标宋_GBK" w:hAnsi="方正小标宋_GBK" w:eastAsia="方正小标宋_GBK" w:cs="方正小标宋_GBK"/>
          <w:lang w:val="en-US" w:eastAsia="zh-CN"/>
        </w:rPr>
        <w:t>法定代表人授权书</w:t>
      </w:r>
      <w:bookmarkEnd w:id="54"/>
      <w:bookmarkEnd w:id="55"/>
      <w:bookmarkEnd w:id="56"/>
      <w:bookmarkEnd w:id="57"/>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color w:val="auto"/>
          <w:sz w:val="28"/>
          <w:szCs w:val="22"/>
          <w:highlight w:val="none"/>
          <w:u w:val="none"/>
        </w:rPr>
      </w:pPr>
      <w:r>
        <w:rPr>
          <w:rFonts w:hint="eastAsia"/>
          <w:color w:val="auto"/>
          <w:sz w:val="28"/>
          <w:szCs w:val="22"/>
          <w:highlight w:val="none"/>
          <w:u w:val="none"/>
          <w:lang w:val="en-US" w:eastAsia="zh-CN"/>
        </w:rPr>
        <w:t>本授权书声明：注册于</w:t>
      </w:r>
      <w:r>
        <w:rPr>
          <w:rFonts w:hint="eastAsia"/>
          <w:color w:val="auto"/>
          <w:sz w:val="28"/>
          <w:szCs w:val="22"/>
          <w:highlight w:val="none"/>
          <w:u w:val="single"/>
          <w:lang w:val="en-US" w:eastAsia="zh-CN"/>
        </w:rPr>
        <w:t xml:space="preserve">                                </w:t>
      </w:r>
      <w:r>
        <w:rPr>
          <w:rFonts w:hint="eastAsia"/>
          <w:color w:val="auto"/>
          <w:sz w:val="28"/>
          <w:szCs w:val="22"/>
          <w:highlight w:val="none"/>
          <w:u w:val="none"/>
          <w:lang w:val="en-US" w:eastAsia="zh-CN"/>
        </w:rPr>
        <w:t>（地址）的</w:t>
      </w:r>
      <w:r>
        <w:rPr>
          <w:rFonts w:hint="eastAsia"/>
          <w:color w:val="auto"/>
          <w:sz w:val="28"/>
          <w:szCs w:val="22"/>
          <w:highlight w:val="none"/>
          <w:u w:val="single"/>
          <w:lang w:val="en-US" w:eastAsia="zh-CN"/>
        </w:rPr>
        <w:t xml:space="preserve">                           </w:t>
      </w:r>
      <w:r>
        <w:rPr>
          <w:rFonts w:hint="eastAsia"/>
          <w:color w:val="auto"/>
          <w:sz w:val="28"/>
          <w:szCs w:val="22"/>
          <w:highlight w:val="none"/>
          <w:u w:val="none"/>
          <w:lang w:val="en-US" w:eastAsia="zh-CN"/>
        </w:rPr>
        <w:t>（公司）的</w:t>
      </w:r>
      <w:r>
        <w:rPr>
          <w:rFonts w:hint="eastAsia"/>
          <w:color w:val="auto"/>
          <w:sz w:val="28"/>
          <w:szCs w:val="22"/>
          <w:highlight w:val="none"/>
          <w:u w:val="single"/>
          <w:lang w:val="en-US" w:eastAsia="zh-CN"/>
        </w:rPr>
        <w:t xml:space="preserve">             </w:t>
      </w:r>
      <w:r>
        <w:rPr>
          <w:rFonts w:hint="eastAsia"/>
          <w:color w:val="auto"/>
          <w:sz w:val="28"/>
          <w:szCs w:val="22"/>
          <w:highlight w:val="none"/>
          <w:u w:val="none"/>
          <w:lang w:val="en-US" w:eastAsia="zh-CN"/>
        </w:rPr>
        <w:t>（法定代表人姓名）授权</w:t>
      </w:r>
      <w:r>
        <w:rPr>
          <w:rFonts w:hint="eastAsia"/>
          <w:color w:val="auto"/>
          <w:sz w:val="28"/>
          <w:szCs w:val="22"/>
          <w:highlight w:val="none"/>
          <w:u w:val="single"/>
          <w:lang w:val="en-US" w:eastAsia="zh-CN"/>
        </w:rPr>
        <w:t xml:space="preserve">                              </w:t>
      </w:r>
      <w:r>
        <w:rPr>
          <w:rFonts w:hint="eastAsia"/>
          <w:color w:val="auto"/>
          <w:sz w:val="28"/>
          <w:szCs w:val="22"/>
          <w:highlight w:val="none"/>
          <w:u w:val="none"/>
          <w:lang w:val="en-US" w:eastAsia="zh-CN"/>
        </w:rPr>
        <w:t>（被授权人的姓名、职务）为公司的合法代理人，就</w:t>
      </w:r>
      <w:r>
        <w:rPr>
          <w:rFonts w:hint="eastAsia" w:ascii="仿宋_GB2312" w:hAnsi="仿宋_GB2312" w:eastAsia="仿宋_GB2312" w:cs="仿宋_GB2312"/>
          <w:color w:val="auto"/>
          <w:spacing w:val="0"/>
          <w:kern w:val="0"/>
          <w:sz w:val="28"/>
          <w:szCs w:val="28"/>
          <w:highlight w:val="none"/>
          <w:u w:val="none"/>
          <w:lang w:val="en-US" w:eastAsia="zh-CN" w:bidi="ar-SA"/>
        </w:rPr>
        <w:t>豫南片区联盟第二批医用耗材集中带量</w:t>
      </w:r>
      <w:r>
        <w:rPr>
          <w:rFonts w:hint="eastAsia"/>
          <w:color w:val="auto"/>
          <w:sz w:val="28"/>
          <w:szCs w:val="22"/>
          <w:highlight w:val="none"/>
          <w:u w:val="none"/>
          <w:lang w:val="en-US" w:eastAsia="zh-CN"/>
        </w:rPr>
        <w:t>项目，以本公司名义处理递交申报材料等一切与之相关的事务，本公司认可被授权人在《豫南片区联盟第二批医用耗材集中带量采购文件》（采购文件编号：）项目中签署的相关说明、采购协议等法律文书的效力以及其作出的相关行为。本公司与被授权人共同承诺本次申报的真实性、合法性、有效性。</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color w:val="auto"/>
          <w:sz w:val="28"/>
          <w:szCs w:val="22"/>
          <w:highlight w:val="none"/>
          <w:u w:val="none"/>
          <w:lang w:val="en-US" w:eastAsia="zh-CN"/>
        </w:rPr>
      </w:pPr>
      <w:r>
        <w:rPr>
          <w:rFonts w:hint="eastAsia"/>
          <w:color w:val="auto"/>
          <w:sz w:val="28"/>
          <w:szCs w:val="22"/>
          <w:highlight w:val="none"/>
          <w:u w:val="none"/>
          <w:lang w:val="en-US" w:eastAsia="zh-CN"/>
        </w:rPr>
        <w:t>本授权书于</w:t>
      </w:r>
      <w:r>
        <w:rPr>
          <w:rFonts w:hint="eastAsia"/>
          <w:color w:val="auto"/>
          <w:sz w:val="28"/>
          <w:szCs w:val="28"/>
          <w:highlight w:val="none"/>
          <w:u w:val="single"/>
          <w:lang w:val="en-US" w:eastAsia="zh-CN"/>
        </w:rPr>
        <w:t xml:space="preserve">    </w:t>
      </w:r>
      <w:r>
        <w:rPr>
          <w:rFonts w:hint="eastAsia"/>
          <w:color w:val="auto"/>
          <w:sz w:val="28"/>
          <w:szCs w:val="28"/>
          <w:highlight w:val="none"/>
          <w:u w:val="none"/>
          <w:lang w:val="en-US" w:eastAsia="zh-CN"/>
        </w:rPr>
        <w:t>年</w:t>
      </w:r>
      <w:r>
        <w:rPr>
          <w:rFonts w:hint="eastAsia"/>
          <w:color w:val="auto"/>
          <w:sz w:val="28"/>
          <w:szCs w:val="28"/>
          <w:highlight w:val="none"/>
          <w:u w:val="single"/>
          <w:lang w:val="en-US" w:eastAsia="zh-CN"/>
        </w:rPr>
        <w:t xml:space="preserve">    </w:t>
      </w:r>
      <w:r>
        <w:rPr>
          <w:rFonts w:hint="eastAsia"/>
          <w:color w:val="auto"/>
          <w:sz w:val="28"/>
          <w:szCs w:val="28"/>
          <w:highlight w:val="none"/>
          <w:u w:val="none"/>
          <w:lang w:val="en-US" w:eastAsia="zh-CN"/>
        </w:rPr>
        <w:t>月</w:t>
      </w:r>
      <w:r>
        <w:rPr>
          <w:rFonts w:hint="eastAsia"/>
          <w:color w:val="auto"/>
          <w:sz w:val="28"/>
          <w:szCs w:val="28"/>
          <w:highlight w:val="none"/>
          <w:u w:val="single"/>
          <w:lang w:val="en-US" w:eastAsia="zh-CN"/>
        </w:rPr>
        <w:t xml:space="preserve">    </w:t>
      </w:r>
      <w:r>
        <w:rPr>
          <w:rFonts w:hint="eastAsia"/>
          <w:color w:val="auto"/>
          <w:sz w:val="28"/>
          <w:szCs w:val="28"/>
          <w:highlight w:val="none"/>
          <w:u w:val="none"/>
          <w:lang w:val="en-US" w:eastAsia="zh-CN"/>
        </w:rPr>
        <w:t>日</w:t>
      </w:r>
      <w:r>
        <w:rPr>
          <w:rFonts w:hint="eastAsia"/>
          <w:color w:val="auto"/>
          <w:sz w:val="28"/>
          <w:szCs w:val="22"/>
          <w:highlight w:val="none"/>
          <w:u w:val="none"/>
          <w:lang w:val="en-US" w:eastAsia="zh-CN"/>
        </w:rPr>
        <w:t>签字生效，有效期至本次</w:t>
      </w:r>
      <w:r>
        <w:rPr>
          <w:rFonts w:hint="eastAsia"/>
          <w:color w:val="auto"/>
          <w:sz w:val="28"/>
          <w:szCs w:val="28"/>
          <w:highlight w:val="none"/>
          <w:u w:val="none"/>
          <w:lang w:val="en-US" w:eastAsia="zh-CN"/>
        </w:rPr>
        <w:t>医用耗材</w:t>
      </w:r>
      <w:r>
        <w:rPr>
          <w:rFonts w:hint="eastAsia" w:ascii="仿宋_GB2312" w:hAnsi="仿宋_GB2312" w:eastAsia="仿宋_GB2312" w:cs="仿宋_GB2312"/>
          <w:color w:val="auto"/>
          <w:spacing w:val="0"/>
          <w:kern w:val="0"/>
          <w:sz w:val="28"/>
          <w:szCs w:val="28"/>
          <w:highlight w:val="none"/>
          <w:u w:val="none"/>
          <w:lang w:val="en-US" w:eastAsia="zh-CN" w:bidi="ar-SA"/>
        </w:rPr>
        <w:t>省际联盟</w:t>
      </w:r>
      <w:r>
        <w:rPr>
          <w:rFonts w:hint="eastAsia"/>
          <w:color w:val="auto"/>
          <w:sz w:val="28"/>
          <w:szCs w:val="28"/>
          <w:highlight w:val="none"/>
          <w:u w:val="none"/>
          <w:lang w:val="en-US" w:eastAsia="zh-CN"/>
        </w:rPr>
        <w:t>带量采购</w:t>
      </w:r>
      <w:r>
        <w:rPr>
          <w:rFonts w:hint="eastAsia" w:cs="仿宋_GB2312"/>
          <w:color w:val="auto"/>
          <w:kern w:val="0"/>
          <w:sz w:val="28"/>
          <w:szCs w:val="28"/>
          <w:highlight w:val="none"/>
          <w:u w:val="none"/>
          <w:lang w:val="en-US" w:eastAsia="zh-CN" w:bidi="ar"/>
        </w:rPr>
        <w:t>工作</w:t>
      </w:r>
      <w:r>
        <w:rPr>
          <w:rFonts w:hint="eastAsia"/>
          <w:color w:val="auto"/>
          <w:sz w:val="28"/>
          <w:szCs w:val="22"/>
          <w:highlight w:val="none"/>
          <w:u w:val="none"/>
          <w:lang w:val="en-US" w:eastAsia="zh-CN"/>
        </w:rPr>
        <w:t>截止日止。</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color w:val="auto"/>
          <w:sz w:val="28"/>
          <w:szCs w:val="22"/>
          <w:highlight w:val="none"/>
          <w:u w:val="none"/>
        </w:rPr>
      </w:pPr>
      <w:r>
        <w:rPr>
          <w:rFonts w:hint="eastAsia"/>
          <w:color w:val="auto"/>
          <w:sz w:val="28"/>
          <w:szCs w:val="22"/>
          <w:highlight w:val="none"/>
          <w:u w:val="none"/>
          <w:lang w:val="en-US" w:eastAsia="zh-CN"/>
        </w:rPr>
        <w:t>特此声明。</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color w:val="auto"/>
          <w:sz w:val="28"/>
          <w:szCs w:val="22"/>
          <w:highlight w:val="none"/>
          <w:u w:val="none"/>
        </w:rPr>
      </w:pPr>
      <w:r>
        <w:rPr>
          <w:rFonts w:hint="eastAsia"/>
          <w:color w:val="auto"/>
          <w:sz w:val="28"/>
          <w:szCs w:val="22"/>
          <w:highlight w:val="none"/>
          <w:u w:val="none"/>
          <w:lang w:val="en-US" w:eastAsia="zh-CN"/>
        </w:rPr>
        <w:t>授权企业法定代表人签字或盖章：</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color w:val="auto"/>
          <w:sz w:val="28"/>
          <w:szCs w:val="22"/>
          <w:highlight w:val="none"/>
          <w:u w:val="none"/>
        </w:rPr>
      </w:pPr>
      <w:r>
        <w:rPr>
          <w:rFonts w:hint="eastAsia"/>
          <w:color w:val="auto"/>
          <w:sz w:val="28"/>
          <w:szCs w:val="22"/>
          <w:highlight w:val="none"/>
          <w:u w:val="none"/>
          <w:lang w:val="en-US" w:eastAsia="zh-CN"/>
        </w:rPr>
        <w:t>被授权人签字或盖章：</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color w:val="auto"/>
          <w:sz w:val="28"/>
          <w:szCs w:val="22"/>
          <w:highlight w:val="none"/>
          <w:u w:val="none"/>
          <w:lang w:val="en-US" w:eastAsia="zh-CN"/>
        </w:rPr>
      </w:pPr>
      <w:r>
        <w:rPr>
          <w:rFonts w:hint="eastAsia"/>
          <w:color w:val="auto"/>
          <w:sz w:val="28"/>
          <w:szCs w:val="22"/>
          <w:highlight w:val="none"/>
          <w:u w:val="none"/>
          <w:lang w:val="en-US" w:eastAsia="zh-CN"/>
        </w:rPr>
        <w:t>被授权人联系方式（手机）：</w:t>
      </w:r>
    </w:p>
    <w:p>
      <w:pPr>
        <w:bidi w:val="0"/>
        <w:rPr>
          <w:rFonts w:hint="eastAsia"/>
          <w:color w:val="auto"/>
          <w:lang w:val="en-US" w:eastAsia="zh-CN"/>
        </w:rPr>
      </w:pPr>
      <w:r>
        <w:rPr>
          <w:color w:val="auto"/>
          <w:sz w:val="32"/>
        </w:rPr>
        <mc:AlternateContent>
          <mc:Choice Requires="wpg">
            <w:drawing>
              <wp:anchor distT="0" distB="0" distL="114300" distR="114300" simplePos="0" relativeHeight="251659264" behindDoc="0" locked="0" layoutInCell="1" allowOverlap="1">
                <wp:simplePos x="0" y="0"/>
                <wp:positionH relativeFrom="column">
                  <wp:posOffset>-455930</wp:posOffset>
                </wp:positionH>
                <wp:positionV relativeFrom="paragraph">
                  <wp:posOffset>19685</wp:posOffset>
                </wp:positionV>
                <wp:extent cx="6537960" cy="1775460"/>
                <wp:effectExtent l="4445" t="4445" r="10795" b="18415"/>
                <wp:wrapNone/>
                <wp:docPr id="3" name="组合 3"/>
                <wp:cNvGraphicFramePr/>
                <a:graphic xmlns:a="http://schemas.openxmlformats.org/drawingml/2006/main">
                  <a:graphicData uri="http://schemas.microsoft.com/office/word/2010/wordprocessingGroup">
                    <wpg:wgp>
                      <wpg:cNvGrpSpPr/>
                      <wpg:grpSpPr>
                        <a:xfrm>
                          <a:off x="0" y="0"/>
                          <a:ext cx="6537960" cy="1775460"/>
                          <a:chOff x="6168" y="422836"/>
                          <a:chExt cx="10296" cy="2796"/>
                        </a:xfrm>
                      </wpg:grpSpPr>
                      <wps:wsp>
                        <wps:cNvPr id="1" name="文本框 1"/>
                        <wps:cNvSpPr txBox="1"/>
                        <wps:spPr>
                          <a:xfrm>
                            <a:off x="6168" y="422836"/>
                            <a:ext cx="5101" cy="279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val="en-US" w:eastAsia="zh-CN"/>
                                </w:rPr>
                              </w:pPr>
                              <w:r>
                                <w:rPr>
                                  <w:rFonts w:hint="eastAsia"/>
                                  <w:lang w:val="en-US" w:eastAsia="zh-CN"/>
                                </w:rPr>
                                <w:t>被授权人</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lang w:val="en-US" w:eastAsia="zh-CN"/>
                                </w:rPr>
                                <w:t>居民身份证正面复印件粘贴</w:t>
                              </w:r>
                            </w:p>
                            <w:p>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 name="文本框 2"/>
                        <wps:cNvSpPr txBox="1"/>
                        <wps:spPr>
                          <a:xfrm>
                            <a:off x="11364" y="422836"/>
                            <a:ext cx="5101" cy="279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val="en-US" w:eastAsia="zh-CN"/>
                                </w:rPr>
                              </w:pPr>
                              <w:r>
                                <w:rPr>
                                  <w:rFonts w:hint="eastAsia"/>
                                  <w:lang w:val="en-US" w:eastAsia="zh-CN"/>
                                </w:rPr>
                                <w:t>被授权人</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lang w:val="en-US" w:eastAsia="zh-CN"/>
                                </w:rPr>
                                <w:t>居民身份证反面复印件粘贴</w:t>
                              </w:r>
                            </w:p>
                            <w:p>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5.9pt;margin-top:1.55pt;height:139.8pt;width:514.8pt;z-index:251659264;mso-width-relative:page;mso-height-relative:page;" coordorigin="6168,422836" coordsize="10296,2796" o:gfxdata="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">
                <o:lock v:ext="edit" aspectratio="f"/>
                <v:shape id="_x0000_s1026" o:spid="_x0000_s1026" o:spt="202" type="#_x0000_t202" style="position:absolute;left:6168;top:422836;height:2796;width:5101;" fillcolor="#FFFFFF [3201]" filled="t" stroked="t" coordsize="21600,21600" o:gfxdata="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mIqhotAAAANo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val="en-US" w:eastAsia="zh-CN"/>
                          </w:rPr>
                        </w:pPr>
                        <w:r>
                          <w:rPr>
                            <w:rFonts w:hint="eastAsia"/>
                            <w:lang w:val="en-US" w:eastAsia="zh-CN"/>
                          </w:rPr>
                          <w:t>被授权人</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lang w:val="en-US" w:eastAsia="zh-CN"/>
                          </w:rPr>
                          <w:t>居民身份证正面复印件粘贴</w:t>
                        </w:r>
                      </w:p>
                      <w:p>
                        <w:pPr>
                          <w:jc w:val="center"/>
                        </w:pPr>
                      </w:p>
                    </w:txbxContent>
                  </v:textbox>
                </v:shape>
                <v:shape id="_x0000_s1026" o:spid="_x0000_s1026" o:spt="202" type="#_x0000_t202" style="position:absolute;left:11364;top:422836;height:2796;width:5101;" fillcolor="#FFFFFF [3201]" filled="t" stroked="t" coordsize="21600,21600" o:gfxdata="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bwNh+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val="en-US" w:eastAsia="zh-CN"/>
                          </w:rPr>
                        </w:pPr>
                        <w:r>
                          <w:rPr>
                            <w:rFonts w:hint="eastAsia"/>
                            <w:lang w:val="en-US" w:eastAsia="zh-CN"/>
                          </w:rPr>
                          <w:t>被授权人</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lang w:val="en-US" w:eastAsia="zh-CN"/>
                          </w:rPr>
                          <w:t>居民身份证反面复印件粘贴</w:t>
                        </w:r>
                      </w:p>
                      <w:p>
                        <w:pPr>
                          <w:jc w:val="center"/>
                        </w:pPr>
                      </w:p>
                    </w:txbxContent>
                  </v:textbox>
                </v:shape>
              </v:group>
            </w:pict>
          </mc:Fallback>
        </mc:AlternateContent>
      </w: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outlineLvl w:val="9"/>
        <w:rPr>
          <w:rFonts w:ascii="微软雅黑" w:hAnsi="微软雅黑" w:eastAsia="微软雅黑" w:cs="微软雅黑"/>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outlineLvl w:val="9"/>
        <w:rPr>
          <w:rFonts w:hint="default"/>
          <w:color w:val="auto"/>
          <w:sz w:val="28"/>
          <w:szCs w:val="28"/>
          <w:lang w:val="en-US" w:eastAsia="zh-CN"/>
        </w:rPr>
      </w:pPr>
      <w:r>
        <w:rPr>
          <w:rFonts w:ascii="微软雅黑" w:hAnsi="微软雅黑" w:eastAsia="微软雅黑" w:cs="微软雅黑"/>
          <w:b/>
          <w:bCs/>
          <w:color w:val="auto"/>
          <w:kern w:val="0"/>
          <w:sz w:val="28"/>
          <w:szCs w:val="28"/>
          <w:lang w:val="en-US" w:eastAsia="zh-CN" w:bidi="ar"/>
        </w:rPr>
        <w:t>注：身份证粘贴处要加盖企业</w:t>
      </w:r>
      <w:r>
        <w:rPr>
          <w:rFonts w:hint="eastAsia" w:ascii="微软雅黑" w:hAnsi="微软雅黑" w:eastAsia="微软雅黑" w:cs="微软雅黑"/>
          <w:b/>
          <w:bCs/>
          <w:color w:val="auto"/>
          <w:kern w:val="0"/>
          <w:sz w:val="28"/>
          <w:szCs w:val="28"/>
          <w:lang w:val="en-US" w:eastAsia="zh-CN" w:bidi="ar"/>
        </w:rPr>
        <w:t>鲜</w:t>
      </w:r>
      <w:r>
        <w:rPr>
          <w:rFonts w:ascii="微软雅黑" w:hAnsi="微软雅黑" w:eastAsia="微软雅黑" w:cs="微软雅黑"/>
          <w:b/>
          <w:bCs/>
          <w:color w:val="auto"/>
          <w:kern w:val="0"/>
          <w:sz w:val="28"/>
          <w:szCs w:val="28"/>
          <w:lang w:val="en-US" w:eastAsia="zh-CN" w:bidi="ar"/>
        </w:rPr>
        <w:t>章</w:t>
      </w:r>
    </w:p>
    <w:sectPr>
      <w:footerReference r:id="rId6" w:type="default"/>
      <w:pgSz w:w="11906" w:h="16838"/>
      <w:pgMar w:top="2098" w:right="1474" w:bottom="1984" w:left="1361"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6E41E8-EE3C-4C33-992C-9657892779B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E98D5465-0B20-4F49-B344-9E62D93BD30C}"/>
  </w:font>
  <w:font w:name="方正小标宋简体">
    <w:panose1 w:val="03000509000000000000"/>
    <w:charset w:val="86"/>
    <w:family w:val="auto"/>
    <w:pitch w:val="default"/>
    <w:sig w:usb0="00000001" w:usb1="080E0000" w:usb2="00000000" w:usb3="00000000" w:csb0="00040000" w:csb1="00000000"/>
    <w:embedRegular r:id="rId3" w:fontKey="{C1DAD345-BE09-4B66-998D-1B7A6848CB5A}"/>
  </w:font>
  <w:font w:name="楷体_GB2312">
    <w:panose1 w:val="02010609030101010101"/>
    <w:charset w:val="86"/>
    <w:family w:val="auto"/>
    <w:pitch w:val="default"/>
    <w:sig w:usb0="00000001" w:usb1="080E0000" w:usb2="00000000" w:usb3="00000000" w:csb0="00040000" w:csb1="00000000"/>
    <w:embedRegular r:id="rId4" w:fontKey="{8B7ADBCF-D5A0-458C-BCE9-C80088278E2A}"/>
  </w:font>
  <w:font w:name="方正仿宋简体">
    <w:altName w:val="微软雅黑"/>
    <w:panose1 w:val="00000000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embedRegular r:id="rId5" w:fontKey="{DEFC4AA1-8972-48C3-84A0-9BA2ECBDA599}"/>
  </w:font>
  <w:font w:name="微软雅黑">
    <w:panose1 w:val="020B0503020204020204"/>
    <w:charset w:val="86"/>
    <w:family w:val="auto"/>
    <w:pitch w:val="default"/>
    <w:sig w:usb0="80000287" w:usb1="2ACF3C50" w:usb2="00000016" w:usb3="00000000" w:csb0="0004001F" w:csb1="00000000"/>
    <w:embedRegular r:id="rId6" w:fontKey="{670AB0C0-160A-49A0-BA62-1529B6C4ABE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64372"/>
    <w:multiLevelType w:val="singleLevel"/>
    <w:tmpl w:val="9F964372"/>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lODc2MDA3MTRjNjc3OWUxNzY1NTdkNDYyYjViMTEifQ=="/>
  </w:docVars>
  <w:rsids>
    <w:rsidRoot w:val="014A79C6"/>
    <w:rsid w:val="014A79C6"/>
    <w:rsid w:val="01ED1965"/>
    <w:rsid w:val="023A4BFB"/>
    <w:rsid w:val="02EF5A6B"/>
    <w:rsid w:val="03211BE5"/>
    <w:rsid w:val="04725CDC"/>
    <w:rsid w:val="051B669A"/>
    <w:rsid w:val="07756B75"/>
    <w:rsid w:val="0862288B"/>
    <w:rsid w:val="09550CA7"/>
    <w:rsid w:val="0B4C208D"/>
    <w:rsid w:val="0B9B677F"/>
    <w:rsid w:val="0C3845FF"/>
    <w:rsid w:val="0CFE0AA2"/>
    <w:rsid w:val="0EA63A8B"/>
    <w:rsid w:val="0FB21526"/>
    <w:rsid w:val="0FDA2977"/>
    <w:rsid w:val="0FDC5644"/>
    <w:rsid w:val="107F303D"/>
    <w:rsid w:val="119C54A6"/>
    <w:rsid w:val="12E93C7A"/>
    <w:rsid w:val="13BF12F1"/>
    <w:rsid w:val="141B23B3"/>
    <w:rsid w:val="14654341"/>
    <w:rsid w:val="162375A8"/>
    <w:rsid w:val="16297009"/>
    <w:rsid w:val="1660395F"/>
    <w:rsid w:val="16646BA8"/>
    <w:rsid w:val="1B1F45F2"/>
    <w:rsid w:val="1B9D5207"/>
    <w:rsid w:val="1CD80505"/>
    <w:rsid w:val="1DCF7FE9"/>
    <w:rsid w:val="1E023EB7"/>
    <w:rsid w:val="1ED13779"/>
    <w:rsid w:val="1F4B7FF0"/>
    <w:rsid w:val="207D72B8"/>
    <w:rsid w:val="213E5E53"/>
    <w:rsid w:val="21F07270"/>
    <w:rsid w:val="220152DE"/>
    <w:rsid w:val="22456AE2"/>
    <w:rsid w:val="225A5BE2"/>
    <w:rsid w:val="22B653F8"/>
    <w:rsid w:val="22E76282"/>
    <w:rsid w:val="241F6E55"/>
    <w:rsid w:val="24F74CFC"/>
    <w:rsid w:val="251A43F6"/>
    <w:rsid w:val="26221165"/>
    <w:rsid w:val="26974903"/>
    <w:rsid w:val="26CC0155"/>
    <w:rsid w:val="276F248D"/>
    <w:rsid w:val="286562F4"/>
    <w:rsid w:val="296054E5"/>
    <w:rsid w:val="2A491EDD"/>
    <w:rsid w:val="2B852ADC"/>
    <w:rsid w:val="2D0B56FC"/>
    <w:rsid w:val="2E1E6C73"/>
    <w:rsid w:val="2E223F2D"/>
    <w:rsid w:val="304024C7"/>
    <w:rsid w:val="32E4633A"/>
    <w:rsid w:val="34653B68"/>
    <w:rsid w:val="35913516"/>
    <w:rsid w:val="382F51CB"/>
    <w:rsid w:val="396D6718"/>
    <w:rsid w:val="39EA52F7"/>
    <w:rsid w:val="3ABE667C"/>
    <w:rsid w:val="3AD958AB"/>
    <w:rsid w:val="3C3D7D79"/>
    <w:rsid w:val="3DB733CF"/>
    <w:rsid w:val="3E097734"/>
    <w:rsid w:val="3F456A81"/>
    <w:rsid w:val="3F4C5259"/>
    <w:rsid w:val="40BD36D6"/>
    <w:rsid w:val="415D5FB2"/>
    <w:rsid w:val="41F45172"/>
    <w:rsid w:val="42163A8B"/>
    <w:rsid w:val="42856988"/>
    <w:rsid w:val="4359067E"/>
    <w:rsid w:val="44410DDE"/>
    <w:rsid w:val="450F0AE1"/>
    <w:rsid w:val="456019DA"/>
    <w:rsid w:val="4585717E"/>
    <w:rsid w:val="47DF2741"/>
    <w:rsid w:val="487815A6"/>
    <w:rsid w:val="48AC79AB"/>
    <w:rsid w:val="49B04D70"/>
    <w:rsid w:val="4A2E0468"/>
    <w:rsid w:val="4B0A1232"/>
    <w:rsid w:val="4BFA1DFB"/>
    <w:rsid w:val="4C4E0342"/>
    <w:rsid w:val="4C966D72"/>
    <w:rsid w:val="4CCF62EB"/>
    <w:rsid w:val="4E04726B"/>
    <w:rsid w:val="50577CF3"/>
    <w:rsid w:val="512D5E25"/>
    <w:rsid w:val="51C61F51"/>
    <w:rsid w:val="526379C4"/>
    <w:rsid w:val="54F10054"/>
    <w:rsid w:val="55767B73"/>
    <w:rsid w:val="588418A2"/>
    <w:rsid w:val="59FC0BDD"/>
    <w:rsid w:val="5BE02091"/>
    <w:rsid w:val="5C48194A"/>
    <w:rsid w:val="5DF96AF4"/>
    <w:rsid w:val="60694283"/>
    <w:rsid w:val="620E0910"/>
    <w:rsid w:val="62FD6D39"/>
    <w:rsid w:val="63221E3B"/>
    <w:rsid w:val="64BC6DCC"/>
    <w:rsid w:val="69A53724"/>
    <w:rsid w:val="6B335805"/>
    <w:rsid w:val="6C221A20"/>
    <w:rsid w:val="6C4F1CB6"/>
    <w:rsid w:val="6C6F03A1"/>
    <w:rsid w:val="6C9963C4"/>
    <w:rsid w:val="6DC54E9D"/>
    <w:rsid w:val="6E7A1325"/>
    <w:rsid w:val="6F0F5AD5"/>
    <w:rsid w:val="6F9A2A13"/>
    <w:rsid w:val="7100051B"/>
    <w:rsid w:val="7328642F"/>
    <w:rsid w:val="75DD6935"/>
    <w:rsid w:val="76312CC7"/>
    <w:rsid w:val="76D85A51"/>
    <w:rsid w:val="77DC13E8"/>
    <w:rsid w:val="7A2F4AB9"/>
    <w:rsid w:val="7A610971"/>
    <w:rsid w:val="7AA43575"/>
    <w:rsid w:val="7AEC4040"/>
    <w:rsid w:val="7AF25D60"/>
    <w:rsid w:val="7C376AA7"/>
    <w:rsid w:val="7CBB3234"/>
    <w:rsid w:val="7CE5345F"/>
    <w:rsid w:val="7D063034"/>
    <w:rsid w:val="7D3E3E65"/>
    <w:rsid w:val="7E323854"/>
    <w:rsid w:val="7F520652"/>
    <w:rsid w:val="FF7F9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720" w:firstLineChars="200"/>
      <w:jc w:val="both"/>
    </w:pPr>
    <w:rPr>
      <w:rFonts w:ascii="仿宋_GB2312" w:hAnsi="仿宋_GB2312" w:eastAsia="仿宋_GB2312" w:cstheme="minorBidi"/>
      <w:kern w:val="2"/>
      <w:sz w:val="32"/>
      <w:szCs w:val="24"/>
      <w:lang w:val="en-US" w:eastAsia="zh-CN" w:bidi="ar-SA"/>
    </w:rPr>
  </w:style>
  <w:style w:type="paragraph" w:styleId="3">
    <w:name w:val="heading 1"/>
    <w:basedOn w:val="1"/>
    <w:next w:val="1"/>
    <w:link w:val="19"/>
    <w:qFormat/>
    <w:uiPriority w:val="0"/>
    <w:pPr>
      <w:keepNext/>
      <w:keepLines/>
      <w:spacing w:beforeLines="0" w:beforeAutospacing="0" w:afterLines="0" w:afterAutospacing="0" w:line="560" w:lineRule="exact"/>
      <w:ind w:firstLine="0" w:firstLineChars="0"/>
      <w:jc w:val="center"/>
      <w:outlineLvl w:val="0"/>
    </w:pPr>
    <w:rPr>
      <w:rFonts w:ascii="方正小标宋简体" w:hAnsi="方正小标宋简体" w:eastAsia="方正小标宋简体"/>
      <w:kern w:val="44"/>
      <w:sz w:val="36"/>
    </w:rPr>
  </w:style>
  <w:style w:type="paragraph" w:styleId="4">
    <w:name w:val="heading 2"/>
    <w:basedOn w:val="1"/>
    <w:next w:val="1"/>
    <w:link w:val="16"/>
    <w:unhideWhenUsed/>
    <w:qFormat/>
    <w:uiPriority w:val="0"/>
    <w:pPr>
      <w:keepNext/>
      <w:keepLines/>
      <w:spacing w:beforeLines="0" w:beforeAutospacing="0" w:afterLines="0" w:afterAutospacing="0" w:line="560" w:lineRule="exact"/>
      <w:ind w:firstLine="720" w:firstLineChars="200"/>
      <w:outlineLvl w:val="1"/>
    </w:pPr>
    <w:rPr>
      <w:rFonts w:ascii="黑体" w:hAnsi="黑体" w:eastAsia="黑体"/>
    </w:rPr>
  </w:style>
  <w:style w:type="paragraph" w:styleId="5">
    <w:name w:val="heading 3"/>
    <w:basedOn w:val="1"/>
    <w:next w:val="1"/>
    <w:unhideWhenUsed/>
    <w:qFormat/>
    <w:uiPriority w:val="0"/>
    <w:pPr>
      <w:keepNext/>
      <w:keepLines/>
      <w:spacing w:beforeLines="0" w:beforeAutospacing="0" w:afterLines="0" w:afterAutospacing="0" w:line="560" w:lineRule="exact"/>
      <w:outlineLvl w:val="2"/>
    </w:pPr>
    <w:rPr>
      <w:rFonts w:eastAsia="楷体_GB231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方正仿宋简体" w:hAnsi="方正仿宋简体" w:eastAsia="方正仿宋简体" w:cs="方正仿宋简体"/>
      <w:color w:val="000000"/>
      <w:sz w:val="24"/>
      <w:szCs w:val="24"/>
      <w:lang w:val="en-US" w:eastAsia="zh-CN" w:bidi="ar-SA"/>
    </w:rPr>
  </w:style>
  <w:style w:type="paragraph" w:styleId="6">
    <w:name w:val="toa heading"/>
    <w:basedOn w:val="1"/>
    <w:next w:val="1"/>
    <w:qFormat/>
    <w:uiPriority w:val="0"/>
    <w:pPr>
      <w:spacing w:before="120" w:beforeLines="0" w:beforeAutospacing="0"/>
    </w:pPr>
    <w:rPr>
      <w:rFonts w:ascii="Arial" w:hAnsi="Arial"/>
      <w:sz w:val="24"/>
    </w:rPr>
  </w:style>
  <w:style w:type="paragraph" w:styleId="7">
    <w:name w:val="Body Text"/>
    <w:basedOn w:val="1"/>
    <w:qFormat/>
    <w:uiPriority w:val="1"/>
    <w:pPr>
      <w:ind w:left="880"/>
    </w:pPr>
    <w:rPr>
      <w:sz w:val="32"/>
      <w:szCs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character" w:customStyle="1" w:styleId="16">
    <w:name w:val="标题 2 Char"/>
    <w:link w:val="4"/>
    <w:qFormat/>
    <w:uiPriority w:val="0"/>
    <w:rPr>
      <w:rFonts w:ascii="黑体" w:hAnsi="黑体" w:eastAsia="黑体"/>
      <w:sz w:val="32"/>
    </w:r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paragraph" w:customStyle="1" w:styleId="18">
    <w:name w:val="WPSOffice手动目录 2"/>
    <w:qFormat/>
    <w:uiPriority w:val="0"/>
    <w:pPr>
      <w:ind w:leftChars="200"/>
    </w:pPr>
    <w:rPr>
      <w:rFonts w:ascii="Times New Roman" w:hAnsi="Times New Roman" w:eastAsia="宋体" w:cs="Times New Roman"/>
      <w:sz w:val="20"/>
      <w:szCs w:val="20"/>
    </w:rPr>
  </w:style>
  <w:style w:type="character" w:customStyle="1" w:styleId="19">
    <w:name w:val="标题 1 Char"/>
    <w:link w:val="3"/>
    <w:qFormat/>
    <w:uiPriority w:val="0"/>
    <w:rPr>
      <w:rFonts w:ascii="方正小标宋简体" w:hAnsi="方正小标宋简体" w:eastAsia="方正小标宋简体"/>
      <w:kern w:val="44"/>
      <w:sz w:val="36"/>
    </w:rPr>
  </w:style>
  <w:style w:type="paragraph" w:customStyle="1" w:styleId="20">
    <w:name w:val="Table Paragraph"/>
    <w:basedOn w:val="1"/>
    <w:qFormat/>
    <w:uiPriority w:val="1"/>
    <w:pPr>
      <w:spacing w:before="15"/>
      <w:ind w:left="526"/>
      <w:jc w:val="center"/>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8670</Words>
  <Characters>8913</Characters>
  <Lines>0</Lines>
  <Paragraphs>0</Paragraphs>
  <TotalTime>3</TotalTime>
  <ScaleCrop>false</ScaleCrop>
  <LinksUpToDate>false</LinksUpToDate>
  <CharactersWithSpaces>9168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2022-11-11T15:19:00Z</dcterms:created>
  <dc:creator>ELIAN-JSJ-889</dc:creator>
  <cp:lastModifiedBy>Thinkpad</cp:lastModifiedBy>
  <cp:lastPrinted>2023-11-02T00:48:00Z</cp:lastPrinted>
  <dcterms:modified xsi:type="dcterms:W3CDTF">2023-11-08T03:21:27Z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5D215617CED34540BD1E0658710A7839_13</vt:lpwstr>
  </property>
</Properties>
</file>