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line="560" w:lineRule="exact"/>
        <w:jc w:val="center"/>
        <w:rPr>
          <w:rFonts w:ascii="仿宋" w:hAnsi="仿宋" w:eastAsia="仿宋" w:cs="方正小标宋简体"/>
          <w:b/>
          <w:bCs/>
          <w:color w:val="auto"/>
          <w:kern w:val="0"/>
          <w:sz w:val="52"/>
          <w:szCs w:val="52"/>
          <w:highlight w:val="none"/>
          <w:lang w:bidi="zh-CN"/>
        </w:rPr>
      </w:pPr>
      <w:r>
        <w:rPr>
          <w:rFonts w:hint="eastAsia" w:ascii="仿宋" w:hAnsi="仿宋" w:eastAsia="仿宋" w:cs="方正小标宋简体"/>
          <w:b/>
          <w:bCs/>
          <w:color w:val="auto"/>
          <w:kern w:val="0"/>
          <w:sz w:val="52"/>
          <w:szCs w:val="52"/>
          <w:highlight w:val="none"/>
          <w:lang w:bidi="zh-CN"/>
        </w:rPr>
        <w:t xml:space="preserve"> </w:t>
      </w:r>
    </w:p>
    <w:p>
      <w:pPr>
        <w:pStyle w:val="2"/>
        <w:spacing w:before="0" w:line="560" w:lineRule="exact"/>
        <w:rPr>
          <w:rFonts w:ascii="仿宋" w:hAnsi="仿宋" w:eastAsia="仿宋" w:cs="方正小标宋简体"/>
          <w:b/>
          <w:bCs/>
          <w:color w:val="auto"/>
          <w:kern w:val="0"/>
          <w:sz w:val="52"/>
          <w:szCs w:val="52"/>
          <w:highlight w:val="none"/>
          <w:lang w:val="zh-CN" w:bidi="zh-CN"/>
        </w:rPr>
      </w:pPr>
    </w:p>
    <w:p>
      <w:pPr>
        <w:spacing w:line="560" w:lineRule="exact"/>
        <w:rPr>
          <w:rFonts w:ascii="仿宋" w:hAnsi="仿宋" w:eastAsia="仿宋"/>
          <w:color w:val="auto"/>
          <w:highlight w:val="none"/>
          <w:lang w:val="zh-CN"/>
        </w:rPr>
      </w:pPr>
    </w:p>
    <w:p>
      <w:pPr>
        <w:pStyle w:val="2"/>
        <w:spacing w:before="0" w:line="800" w:lineRule="exact"/>
        <w:rPr>
          <w:rFonts w:ascii="仿宋" w:hAnsi="仿宋" w:eastAsia="仿宋"/>
          <w:color w:val="auto"/>
          <w:highlight w:val="none"/>
          <w:lang w:val="zh-CN"/>
        </w:rPr>
      </w:pPr>
    </w:p>
    <w:p>
      <w:pPr>
        <w:autoSpaceDE w:val="0"/>
        <w:autoSpaceDN w:val="0"/>
        <w:spacing w:line="800" w:lineRule="exact"/>
        <w:jc w:val="center"/>
        <w:rPr>
          <w:rFonts w:hint="eastAsia" w:ascii="宋体" w:hAnsi="宋体" w:cs="方正小标宋简体"/>
          <w:b/>
          <w:bCs/>
          <w:color w:val="auto"/>
          <w:kern w:val="0"/>
          <w:sz w:val="70"/>
          <w:szCs w:val="70"/>
          <w:highlight w:val="none"/>
          <w:lang w:val="en-US" w:bidi="zh-CN"/>
        </w:rPr>
      </w:pPr>
      <w:r>
        <w:rPr>
          <w:rFonts w:hint="eastAsia" w:ascii="宋体" w:hAnsi="宋体" w:cs="方正小标宋简体"/>
          <w:b/>
          <w:bCs/>
          <w:color w:val="auto"/>
          <w:kern w:val="0"/>
          <w:sz w:val="70"/>
          <w:szCs w:val="70"/>
          <w:highlight w:val="none"/>
          <w:lang w:val="en-US" w:bidi="zh-CN"/>
        </w:rPr>
        <w:t>京津冀“3+N”联盟</w:t>
      </w:r>
    </w:p>
    <w:p>
      <w:pPr>
        <w:autoSpaceDE w:val="0"/>
        <w:autoSpaceDN w:val="0"/>
        <w:spacing w:line="800" w:lineRule="exact"/>
        <w:jc w:val="center"/>
        <w:rPr>
          <w:rFonts w:hint="eastAsia" w:ascii="宋体" w:hAnsi="宋体" w:cs="方正小标宋简体"/>
          <w:b/>
          <w:bCs/>
          <w:color w:val="auto"/>
          <w:kern w:val="0"/>
          <w:sz w:val="70"/>
          <w:szCs w:val="70"/>
          <w:highlight w:val="none"/>
          <w:lang w:bidi="zh-CN"/>
        </w:rPr>
      </w:pPr>
      <w:r>
        <w:rPr>
          <w:rFonts w:hint="eastAsia" w:ascii="宋体" w:hAnsi="宋体" w:cs="方正小标宋简体"/>
          <w:b/>
          <w:bCs/>
          <w:color w:val="auto"/>
          <w:kern w:val="0"/>
          <w:sz w:val="70"/>
          <w:szCs w:val="70"/>
          <w:highlight w:val="none"/>
          <w:lang w:val="en-US" w:bidi="zh-CN"/>
        </w:rPr>
        <w:t>医</w:t>
      </w:r>
      <w:r>
        <w:rPr>
          <w:rFonts w:hint="eastAsia" w:ascii="宋体" w:hAnsi="宋体" w:cs="方正小标宋简体"/>
          <w:b/>
          <w:bCs/>
          <w:color w:val="auto"/>
          <w:kern w:val="0"/>
          <w:sz w:val="70"/>
          <w:szCs w:val="70"/>
          <w:highlight w:val="none"/>
          <w:lang w:bidi="zh-CN"/>
        </w:rPr>
        <w:t>用耗材集中带量采购</w:t>
      </w:r>
      <w:r>
        <w:rPr>
          <w:rFonts w:hint="eastAsia" w:ascii="宋体" w:hAnsi="宋体" w:cs="方正小标宋简体"/>
          <w:b/>
          <w:bCs/>
          <w:color w:val="auto"/>
          <w:kern w:val="0"/>
          <w:sz w:val="70"/>
          <w:szCs w:val="70"/>
          <w:highlight w:val="none"/>
          <w:lang w:val="en-US" w:bidi="zh-CN"/>
        </w:rPr>
        <w:t>文</w:t>
      </w:r>
      <w:r>
        <w:rPr>
          <w:rFonts w:hint="eastAsia" w:ascii="宋体" w:hAnsi="宋体" w:cs="方正小标宋简体"/>
          <w:b/>
          <w:bCs/>
          <w:color w:val="auto"/>
          <w:kern w:val="0"/>
          <w:sz w:val="70"/>
          <w:szCs w:val="70"/>
          <w:highlight w:val="none"/>
          <w:lang w:bidi="zh-CN"/>
        </w:rPr>
        <w:t>件</w:t>
      </w:r>
    </w:p>
    <w:p>
      <w:pPr>
        <w:pStyle w:val="2"/>
        <w:rPr>
          <w:rFonts w:hint="eastAsia"/>
          <w:color w:val="auto"/>
          <w:highlight w:val="none"/>
          <w:lang w:val="zh-CN"/>
        </w:rPr>
      </w:pPr>
    </w:p>
    <w:p>
      <w:pPr>
        <w:autoSpaceDE w:val="0"/>
        <w:autoSpaceDN w:val="0"/>
        <w:spacing w:line="560" w:lineRule="exact"/>
        <w:jc w:val="center"/>
        <w:rPr>
          <w:rFonts w:ascii="楷体" w:hAnsi="楷体" w:eastAsia="楷体" w:cs="楷体"/>
          <w:b/>
          <w:bCs/>
          <w:color w:val="auto"/>
          <w:kern w:val="0"/>
          <w:sz w:val="36"/>
          <w:szCs w:val="36"/>
          <w:highlight w:val="none"/>
          <w:lang w:val="zh-CN" w:bidi="zh-CN"/>
        </w:rPr>
      </w:pPr>
      <w:r>
        <w:rPr>
          <w:rFonts w:hint="eastAsia" w:ascii="楷体" w:hAnsi="楷体" w:eastAsia="楷体" w:cs="楷体"/>
          <w:b/>
          <w:bCs/>
          <w:color w:val="auto"/>
          <w:kern w:val="0"/>
          <w:sz w:val="36"/>
          <w:szCs w:val="36"/>
          <w:highlight w:val="none"/>
          <w:lang w:val="zh-CN" w:bidi="zh-CN"/>
        </w:rPr>
        <w:t>﹝</w:t>
      </w:r>
      <w:r>
        <w:rPr>
          <w:rFonts w:hint="eastAsia" w:ascii="楷体" w:hAnsi="楷体" w:eastAsia="楷体" w:cs="楷体"/>
          <w:b/>
          <w:bCs/>
          <w:color w:val="auto"/>
          <w:kern w:val="0"/>
          <w:sz w:val="36"/>
          <w:szCs w:val="36"/>
          <w:highlight w:val="none"/>
          <w:lang w:val="en-US" w:bidi="zh-CN"/>
        </w:rPr>
        <w:t>透析用长期中心静脉导管（TCC）</w:t>
      </w:r>
      <w:r>
        <w:rPr>
          <w:rFonts w:hint="eastAsia" w:ascii="楷体" w:hAnsi="楷体" w:eastAsia="楷体" w:cs="楷体"/>
          <w:b/>
          <w:bCs/>
          <w:color w:val="auto"/>
          <w:kern w:val="0"/>
          <w:sz w:val="36"/>
          <w:szCs w:val="36"/>
          <w:highlight w:val="none"/>
          <w:lang w:val="zh-CN" w:bidi="zh-CN"/>
        </w:rPr>
        <w:t>﹞</w:t>
      </w:r>
    </w:p>
    <w:p>
      <w:pPr>
        <w:autoSpaceDE w:val="0"/>
        <w:autoSpaceDN w:val="0"/>
        <w:spacing w:line="560" w:lineRule="exact"/>
        <w:jc w:val="center"/>
        <w:rPr>
          <w:rFonts w:ascii="仿宋" w:hAnsi="仿宋" w:eastAsia="仿宋" w:cs="楷体"/>
          <w:b/>
          <w:bCs/>
          <w:color w:val="auto"/>
          <w:kern w:val="0"/>
          <w:sz w:val="36"/>
          <w:szCs w:val="36"/>
          <w:highlight w:val="none"/>
          <w:lang w:val="zh-CN" w:bidi="zh-CN"/>
        </w:rPr>
      </w:pPr>
    </w:p>
    <w:p>
      <w:pPr>
        <w:spacing w:line="560" w:lineRule="exact"/>
        <w:rPr>
          <w:rFonts w:ascii="仿宋" w:hAnsi="仿宋" w:eastAsia="仿宋"/>
          <w:b/>
          <w:color w:val="auto"/>
          <w:sz w:val="44"/>
          <w:szCs w:val="44"/>
          <w:highlight w:val="none"/>
        </w:rPr>
      </w:pPr>
    </w:p>
    <w:p>
      <w:pPr>
        <w:pStyle w:val="2"/>
        <w:spacing w:before="0" w:line="560" w:lineRule="exact"/>
        <w:rPr>
          <w:rFonts w:ascii="仿宋" w:hAnsi="仿宋" w:eastAsia="仿宋"/>
          <w:b/>
          <w:color w:val="auto"/>
          <w:sz w:val="44"/>
          <w:szCs w:val="44"/>
          <w:highlight w:val="none"/>
        </w:rPr>
      </w:pPr>
    </w:p>
    <w:p>
      <w:pPr>
        <w:rPr>
          <w:rFonts w:ascii="仿宋" w:hAnsi="仿宋" w:eastAsia="仿宋"/>
          <w:b/>
          <w:color w:val="auto"/>
          <w:sz w:val="44"/>
          <w:szCs w:val="44"/>
          <w:highlight w:val="none"/>
        </w:rPr>
      </w:pPr>
    </w:p>
    <w:p>
      <w:pPr>
        <w:pStyle w:val="2"/>
        <w:rPr>
          <w:color w:val="auto"/>
          <w:highlight w:val="none"/>
        </w:rPr>
      </w:pPr>
    </w:p>
    <w:p>
      <w:pPr>
        <w:spacing w:line="560" w:lineRule="exact"/>
        <w:rPr>
          <w:rFonts w:ascii="仿宋" w:hAnsi="仿宋" w:eastAsia="仿宋"/>
          <w:color w:val="auto"/>
          <w:highlight w:val="none"/>
        </w:rPr>
      </w:pPr>
    </w:p>
    <w:p>
      <w:pPr>
        <w:pStyle w:val="2"/>
        <w:wordWrap w:val="0"/>
        <w:spacing w:before="0" w:line="560" w:lineRule="exact"/>
        <w:jc w:val="center"/>
        <w:rPr>
          <w:rFonts w:hint="default"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rPr>
        <w:t>采购文件编号：</w:t>
      </w:r>
      <w:r>
        <w:rPr>
          <w:rFonts w:hint="eastAsia" w:ascii="仿宋" w:hAnsi="仿宋" w:eastAsia="仿宋" w:cs="仿宋"/>
          <w:b/>
          <w:color w:val="auto"/>
          <w:sz w:val="36"/>
          <w:szCs w:val="36"/>
          <w:highlight w:val="none"/>
          <w:lang w:val="en-US" w:eastAsia="zh-CN"/>
        </w:rPr>
        <w:t>LM-HD2023-12</w:t>
      </w:r>
    </w:p>
    <w:p>
      <w:pPr>
        <w:pStyle w:val="2"/>
        <w:spacing w:before="0" w:line="560" w:lineRule="exact"/>
        <w:jc w:val="center"/>
        <w:rPr>
          <w:rFonts w:ascii="仿宋" w:hAnsi="仿宋" w:eastAsia="仿宋"/>
          <w:b/>
          <w:color w:val="auto"/>
          <w:sz w:val="44"/>
          <w:szCs w:val="44"/>
          <w:highlight w:val="none"/>
        </w:rPr>
      </w:pPr>
    </w:p>
    <w:p>
      <w:pPr>
        <w:spacing w:line="560" w:lineRule="exact"/>
        <w:jc w:val="both"/>
        <w:rPr>
          <w:rFonts w:ascii="仿宋" w:hAnsi="仿宋" w:eastAsia="仿宋" w:cs="仿宋"/>
          <w:b/>
          <w:color w:val="auto"/>
          <w:sz w:val="32"/>
          <w:szCs w:val="32"/>
          <w:highlight w:val="none"/>
        </w:rPr>
      </w:pPr>
    </w:p>
    <w:p>
      <w:pPr>
        <w:pStyle w:val="2"/>
        <w:rPr>
          <w:color w:val="auto"/>
          <w:highlight w:val="none"/>
        </w:rPr>
      </w:pPr>
    </w:p>
    <w:p>
      <w:pPr>
        <w:wordWrap w:val="0"/>
        <w:spacing w:line="560" w:lineRule="exact"/>
        <w:jc w:val="center"/>
        <w:rPr>
          <w:rFonts w:ascii="仿宋" w:hAnsi="仿宋" w:eastAsia="仿宋" w:cs="仿宋"/>
          <w:b/>
          <w:color w:val="auto"/>
          <w:sz w:val="32"/>
          <w:szCs w:val="32"/>
          <w:highlight w:val="none"/>
        </w:rPr>
      </w:pPr>
      <w:r>
        <w:rPr>
          <w:rFonts w:hint="eastAsia" w:ascii="仿宋" w:hAnsi="仿宋" w:eastAsia="仿宋" w:cs="仿宋"/>
          <w:b/>
          <w:color w:val="auto"/>
          <w:sz w:val="36"/>
          <w:szCs w:val="36"/>
          <w:highlight w:val="none"/>
          <w:lang w:val="en-US" w:eastAsia="zh-CN"/>
        </w:rPr>
        <w:t>京津冀“3+N”联盟采购办公室</w:t>
      </w:r>
    </w:p>
    <w:p>
      <w:pPr>
        <w:pStyle w:val="2"/>
        <w:spacing w:before="0" w:line="560" w:lineRule="exact"/>
        <w:ind w:firstLine="1446" w:firstLineChars="400"/>
        <w:jc w:val="both"/>
        <w:rPr>
          <w:rFonts w:hint="eastAsia" w:ascii="仿宋" w:hAnsi="仿宋" w:eastAsia="仿宋" w:cs="仿宋"/>
          <w:b/>
          <w:color w:val="auto"/>
          <w:sz w:val="36"/>
          <w:szCs w:val="36"/>
          <w:highlight w:val="none"/>
        </w:rPr>
      </w:pPr>
      <w:r>
        <w:rPr>
          <w:rFonts w:ascii="仿宋" w:hAnsi="仿宋" w:eastAsia="仿宋" w:cs="仿宋"/>
          <w:b/>
          <w:color w:val="auto"/>
          <w:sz w:val="36"/>
          <w:szCs w:val="36"/>
          <w:highlight w:val="none"/>
        </w:rPr>
        <w:t>河北省医用药品器械集中采购中心</w:t>
      </w:r>
    </w:p>
    <w:p>
      <w:pPr>
        <w:spacing w:line="560" w:lineRule="exact"/>
        <w:ind w:firstLine="3253" w:firstLineChars="900"/>
        <w:jc w:val="both"/>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2023年</w:t>
      </w:r>
      <w:r>
        <w:rPr>
          <w:rFonts w:hint="eastAsia" w:ascii="仿宋" w:hAnsi="仿宋" w:eastAsia="仿宋" w:cs="仿宋"/>
          <w:b/>
          <w:color w:val="auto"/>
          <w:sz w:val="36"/>
          <w:szCs w:val="36"/>
          <w:highlight w:val="none"/>
          <w:lang w:val="en-US" w:eastAsia="zh-CN"/>
        </w:rPr>
        <w:t xml:space="preserve"> 11</w:t>
      </w:r>
      <w:r>
        <w:rPr>
          <w:rFonts w:hint="eastAsia" w:ascii="仿宋" w:hAnsi="仿宋" w:eastAsia="仿宋" w:cs="仿宋"/>
          <w:b/>
          <w:color w:val="auto"/>
          <w:sz w:val="36"/>
          <w:szCs w:val="36"/>
          <w:highlight w:val="none"/>
        </w:rPr>
        <w:t>月</w:t>
      </w:r>
    </w:p>
    <w:p>
      <w:pPr>
        <w:pStyle w:val="2"/>
        <w:rPr>
          <w:rFonts w:hint="eastAsia" w:ascii="仿宋" w:hAnsi="仿宋" w:eastAsia="仿宋" w:cs="仿宋"/>
          <w:b/>
          <w:color w:val="auto"/>
          <w:sz w:val="36"/>
          <w:szCs w:val="36"/>
          <w:highlight w:val="none"/>
        </w:rPr>
      </w:pPr>
    </w:p>
    <w:p>
      <w:pPr>
        <w:pStyle w:val="2"/>
        <w:rPr>
          <w:color w:val="auto"/>
          <w:highlight w:val="none"/>
        </w:rPr>
      </w:pPr>
    </w:p>
    <w:p>
      <w:pPr>
        <w:numPr>
          <w:ilvl w:val="0"/>
          <w:numId w:val="1"/>
        </w:numPr>
        <w:spacing w:line="560" w:lineRule="exact"/>
        <w:jc w:val="center"/>
        <w:rPr>
          <w:rFonts w:hint="eastAsia" w:ascii="宋体" w:hAnsi="宋体"/>
          <w:b/>
          <w:color w:val="auto"/>
          <w:sz w:val="44"/>
          <w:szCs w:val="44"/>
          <w:highlight w:val="none"/>
        </w:rPr>
      </w:pPr>
      <w:r>
        <w:rPr>
          <w:rFonts w:hint="eastAsia" w:ascii="宋体" w:hAnsi="宋体"/>
          <w:b/>
          <w:color w:val="auto"/>
          <w:sz w:val="44"/>
          <w:szCs w:val="44"/>
          <w:highlight w:val="none"/>
        </w:rPr>
        <w:t>采购邀请</w:t>
      </w:r>
    </w:p>
    <w:p>
      <w:pPr>
        <w:pStyle w:val="2"/>
        <w:numPr>
          <w:ilvl w:val="0"/>
          <w:numId w:val="0"/>
        </w:numPr>
        <w:rPr>
          <w:color w:val="auto"/>
          <w:highlight w:val="none"/>
        </w:rPr>
      </w:pPr>
    </w:p>
    <w:p>
      <w:pPr>
        <w:spacing w:line="560" w:lineRule="exact"/>
        <w:jc w:val="center"/>
        <w:rPr>
          <w:rFonts w:ascii="仿宋" w:hAnsi="仿宋" w:eastAsia="仿宋"/>
          <w:b/>
          <w:bCs/>
          <w:color w:val="auto"/>
          <w:highlight w:val="none"/>
        </w:rPr>
      </w:pPr>
      <w:r>
        <w:rPr>
          <w:rFonts w:hint="eastAsia" w:ascii="仿宋" w:hAnsi="仿宋" w:eastAsia="仿宋" w:cs="仿宋"/>
          <w:color w:val="auto"/>
          <w:sz w:val="32"/>
          <w:szCs w:val="32"/>
          <w:highlight w:val="none"/>
        </w:rPr>
        <w:t>医用耗材集中带量采购邀请函</w:t>
      </w:r>
    </w:p>
    <w:p>
      <w:pPr>
        <w:pStyle w:val="2"/>
        <w:wordWrap w:val="0"/>
        <w:spacing w:before="0" w:line="560" w:lineRule="exact"/>
        <w:jc w:val="center"/>
        <w:rPr>
          <w:rFonts w:hint="eastAsia" w:ascii="仿宋" w:hAnsi="仿宋" w:eastAsia="仿宋" w:cs="仿宋"/>
          <w:b/>
          <w:color w:val="auto"/>
          <w:sz w:val="36"/>
          <w:szCs w:val="36"/>
          <w:highlight w:val="none"/>
          <w:lang w:val="en-US" w:eastAsia="zh-CN"/>
        </w:rPr>
      </w:pPr>
      <w:r>
        <w:rPr>
          <w:rFonts w:hint="eastAsia" w:ascii="仿宋" w:hAnsi="仿宋" w:eastAsia="仿宋" w:cs="仿宋"/>
          <w:color w:val="auto"/>
          <w:sz w:val="30"/>
          <w:szCs w:val="30"/>
          <w:highlight w:val="none"/>
        </w:rPr>
        <w:t>（编号：</w:t>
      </w:r>
      <w:r>
        <w:rPr>
          <w:rFonts w:hint="eastAsia" w:ascii="仿宋" w:hAnsi="仿宋" w:eastAsia="仿宋" w:cs="仿宋"/>
          <w:b/>
          <w:color w:val="auto"/>
          <w:sz w:val="36"/>
          <w:szCs w:val="36"/>
          <w:highlight w:val="none"/>
          <w:lang w:val="en-US" w:eastAsia="zh-CN"/>
        </w:rPr>
        <w:t>LM-HD2023-12）</w:t>
      </w:r>
    </w:p>
    <w:p>
      <w:pPr>
        <w:rPr>
          <w:color w:val="auto"/>
          <w:highlight w:val="none"/>
        </w:rPr>
      </w:pPr>
    </w:p>
    <w:p>
      <w:pPr>
        <w:pStyle w:val="2"/>
        <w:spacing w:before="0" w:line="560" w:lineRule="exact"/>
        <w:rPr>
          <w:rFonts w:hint="eastAsia" w:ascii="仿宋" w:hAnsi="仿宋" w:eastAsia="仿宋" w:cs="仿宋"/>
          <w:color w:val="auto"/>
          <w:kern w:val="0"/>
          <w:sz w:val="32"/>
          <w:szCs w:val="32"/>
          <w:highlight w:val="none"/>
          <w:lang w:val="en-US" w:eastAsia="zh-CN" w:bidi="ar"/>
        </w:rPr>
      </w:pPr>
      <w:r>
        <w:rPr>
          <w:rFonts w:hint="eastAsia" w:ascii="仿宋" w:hAnsi="仿宋" w:eastAsia="仿宋" w:cs="仿宋"/>
          <w:color w:val="auto"/>
          <w:kern w:val="0"/>
          <w:sz w:val="32"/>
          <w:szCs w:val="32"/>
          <w:highlight w:val="none"/>
          <w:lang w:val="en-US" w:eastAsia="zh-CN" w:bidi="ar"/>
        </w:rPr>
        <w:t>各相关企业：</w:t>
      </w:r>
    </w:p>
    <w:p>
      <w:pPr>
        <w:pStyle w:val="16"/>
        <w:numPr>
          <w:ilvl w:val="0"/>
          <w:numId w:val="0"/>
        </w:numPr>
        <w:spacing w:line="560" w:lineRule="exact"/>
        <w:ind w:firstLine="640" w:firstLineChars="200"/>
        <w:rPr>
          <w:rFonts w:hint="eastAsia" w:ascii="仿宋" w:hAnsi="仿宋" w:eastAsia="仿宋" w:cs="仿宋"/>
          <w:color w:val="auto"/>
          <w:kern w:val="0"/>
          <w:sz w:val="32"/>
          <w:szCs w:val="32"/>
          <w:highlight w:val="none"/>
          <w:lang w:val="en-US" w:eastAsia="zh-CN" w:bidi="ar"/>
        </w:rPr>
      </w:pPr>
      <w:r>
        <w:rPr>
          <w:rFonts w:hint="eastAsia" w:ascii="仿宋" w:hAnsi="仿宋" w:eastAsia="仿宋" w:cs="仿宋"/>
          <w:color w:val="auto"/>
          <w:kern w:val="0"/>
          <w:sz w:val="32"/>
          <w:szCs w:val="32"/>
          <w:highlight w:val="none"/>
          <w:lang w:val="en-US" w:eastAsia="zh-CN" w:bidi="ar"/>
        </w:rPr>
        <w:t>为进一步降低医用耗材虚高价格，保障临床需求，减轻群众就医负担，维护人民群众健康权益，根据中共中央国务院《关于深化医疗保障制度改革的意见》、国务院办公厅《关于印发治理高值医用耗材改革方案的通知》等文件精神，</w:t>
      </w:r>
      <w:r>
        <w:rPr>
          <w:rFonts w:hint="eastAsia" w:ascii="仿宋" w:hAnsi="仿宋" w:eastAsia="仿宋" w:cs="仿宋"/>
          <w:color w:val="auto"/>
          <w:sz w:val="32"/>
          <w:szCs w:val="32"/>
          <w:highlight w:val="none"/>
          <w:u w:val="none"/>
          <w:lang w:val="en-US" w:eastAsia="zh-CN"/>
        </w:rPr>
        <w:t>***省、***省、***省，组成京津冀“3+N”联盟采购办公室，</w:t>
      </w:r>
      <w:r>
        <w:rPr>
          <w:rFonts w:hint="eastAsia" w:ascii="仿宋" w:hAnsi="仿宋" w:eastAsia="仿宋" w:cs="仿宋"/>
          <w:color w:val="auto"/>
          <w:kern w:val="0"/>
          <w:sz w:val="32"/>
          <w:szCs w:val="32"/>
          <w:highlight w:val="none"/>
          <w:lang w:val="en-US" w:eastAsia="zh-CN" w:bidi="ar"/>
        </w:rPr>
        <w:t>日常工作和具体实施由河北省医用药品器械集中采购中心承担，现邀请符合条件的生产企业前来申报参加。</w:t>
      </w:r>
    </w:p>
    <w:p>
      <w:pPr>
        <w:pStyle w:val="16"/>
        <w:numPr>
          <w:ilvl w:val="0"/>
          <w:numId w:val="0"/>
        </w:numPr>
        <w:spacing w:line="560" w:lineRule="exact"/>
        <w:ind w:firstLine="640" w:firstLineChars="20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一、</w:t>
      </w:r>
      <w:r>
        <w:rPr>
          <w:rFonts w:hint="eastAsia" w:ascii="黑体" w:hAnsi="黑体" w:eastAsia="黑体" w:cs="黑体"/>
          <w:color w:val="auto"/>
          <w:sz w:val="32"/>
          <w:szCs w:val="32"/>
          <w:highlight w:val="none"/>
        </w:rPr>
        <w:t>采购品种及约定采购量</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本次采购品种为</w:t>
      </w:r>
      <w:r>
        <w:rPr>
          <w:rFonts w:hint="eastAsia" w:ascii="仿宋" w:hAnsi="仿宋" w:eastAsia="仿宋" w:cs="仿宋"/>
          <w:color w:val="auto"/>
          <w:sz w:val="32"/>
          <w:szCs w:val="32"/>
          <w:highlight w:val="none"/>
          <w:lang w:eastAsia="zh-CN"/>
        </w:rPr>
        <w:t>透析用长期中心静脉导管（TCC）</w:t>
      </w:r>
      <w:r>
        <w:rPr>
          <w:rFonts w:hint="eastAsia" w:ascii="仿宋" w:hAnsi="仿宋" w:eastAsia="仿宋" w:cs="仿宋"/>
          <w:color w:val="auto"/>
          <w:sz w:val="32"/>
          <w:szCs w:val="32"/>
          <w:highlight w:val="none"/>
          <w:lang w:val="en-US" w:eastAsia="zh-CN"/>
        </w:rPr>
        <w:t>类医用耗材</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国家医用耗材代码前15位为</w:t>
      </w:r>
      <w:r>
        <w:rPr>
          <w:rFonts w:hint="eastAsia" w:ascii="仿宋_GB2312" w:hAnsi="仿宋_GB2312" w:eastAsia="仿宋_GB2312" w:cs="仿宋_GB2312"/>
          <w:color w:val="auto"/>
          <w:sz w:val="32"/>
          <w:szCs w:val="32"/>
          <w:highlight w:val="none"/>
        </w:rPr>
        <w:t>C10080700400001</w:t>
      </w:r>
      <w:r>
        <w:rPr>
          <w:rFonts w:hint="eastAsia" w:ascii="仿宋_GB2312" w:hAnsi="仿宋_GB2312" w:eastAsia="仿宋_GB2312" w:cs="仿宋_GB2312"/>
          <w:color w:val="auto"/>
          <w:sz w:val="32"/>
          <w:szCs w:val="32"/>
          <w:highlight w:val="none"/>
          <w:lang w:eastAsia="zh-CN"/>
        </w:rPr>
        <w:t>、C10080700400002</w:t>
      </w:r>
      <w:r>
        <w:rPr>
          <w:rFonts w:hint="eastAsia" w:ascii="仿宋" w:hAnsi="仿宋" w:eastAsia="仿宋" w:cs="仿宋"/>
          <w:color w:val="auto"/>
          <w:sz w:val="32"/>
          <w:szCs w:val="32"/>
          <w:highlight w:val="none"/>
        </w:rPr>
        <w:t>，同一采购品种包含所有规格型号，约定采购量由各医疗机构</w:t>
      </w:r>
      <w:r>
        <w:rPr>
          <w:rFonts w:hint="eastAsia" w:ascii="仿宋" w:hAnsi="仿宋" w:eastAsia="仿宋" w:cs="仿宋"/>
          <w:color w:val="auto"/>
          <w:sz w:val="32"/>
          <w:szCs w:val="32"/>
          <w:highlight w:val="none"/>
          <w:lang w:val="en-US" w:eastAsia="zh-CN"/>
        </w:rPr>
        <w:t>填报</w:t>
      </w:r>
      <w:r>
        <w:rPr>
          <w:rFonts w:hint="eastAsia" w:ascii="仿宋" w:hAnsi="仿宋" w:eastAsia="仿宋" w:cs="仿宋"/>
          <w:color w:val="auto"/>
          <w:sz w:val="32"/>
          <w:szCs w:val="32"/>
          <w:highlight w:val="none"/>
        </w:rPr>
        <w:t>未来一个采购年度实际需求量</w:t>
      </w:r>
      <w:r>
        <w:rPr>
          <w:rFonts w:hint="eastAsia" w:ascii="仿宋" w:hAnsi="仿宋" w:eastAsia="仿宋" w:cs="仿宋"/>
          <w:color w:val="auto"/>
          <w:sz w:val="32"/>
          <w:szCs w:val="32"/>
          <w:highlight w:val="none"/>
          <w:lang w:val="en-US" w:eastAsia="zh-CN"/>
        </w:rPr>
        <w:t>，河北省医用药品器械集中采购中心按照</w:t>
      </w:r>
      <w:r>
        <w:rPr>
          <w:rFonts w:hint="eastAsia" w:ascii="仿宋" w:hAnsi="仿宋" w:eastAsia="仿宋" w:cs="仿宋"/>
          <w:color w:val="auto"/>
          <w:sz w:val="32"/>
          <w:szCs w:val="32"/>
          <w:highlight w:val="none"/>
        </w:rPr>
        <w:t>实际需求量</w:t>
      </w:r>
      <w:r>
        <w:rPr>
          <w:rFonts w:hint="eastAsia" w:ascii="仿宋" w:hAnsi="仿宋" w:eastAsia="仿宋" w:cs="仿宋"/>
          <w:color w:val="auto"/>
          <w:sz w:val="32"/>
          <w:szCs w:val="32"/>
          <w:highlight w:val="none"/>
          <w:lang w:val="en-US" w:eastAsia="zh-CN"/>
        </w:rPr>
        <w:t>的</w:t>
      </w:r>
      <w:r>
        <w:rPr>
          <w:rFonts w:hint="eastAsia" w:ascii="仿宋" w:hAnsi="仿宋" w:eastAsia="仿宋" w:cs="仿宋"/>
          <w:color w:val="auto"/>
          <w:sz w:val="32"/>
          <w:szCs w:val="32"/>
          <w:highlight w:val="none"/>
        </w:rPr>
        <w:t>80%确定。具体如下：</w:t>
      </w:r>
    </w:p>
    <w:tbl>
      <w:tblPr>
        <w:tblStyle w:val="10"/>
        <w:tblpPr w:leftFromText="180" w:rightFromText="180" w:vertAnchor="text" w:horzAnchor="page" w:tblpXSpec="center" w:tblpY="37"/>
        <w:tblOverlap w:val="never"/>
        <w:tblW w:w="853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588"/>
        <w:gridCol w:w="2104"/>
        <w:gridCol w:w="2905"/>
        <w:gridCol w:w="194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8" w:hRule="atLeast"/>
          <w:jc w:val="center"/>
        </w:trPr>
        <w:tc>
          <w:tcPr>
            <w:tcW w:w="1588" w:type="dxa"/>
            <w:noWrap w:val="0"/>
            <w:vAlign w:val="center"/>
          </w:tcPr>
          <w:p>
            <w:pPr>
              <w:widowControl/>
              <w:wordWrap w:val="0"/>
              <w:spacing w:line="560" w:lineRule="exact"/>
              <w:jc w:val="center"/>
              <w:rPr>
                <w:rFonts w:hint="eastAsia" w:ascii="宋体" w:hAnsi="宋体" w:cs="宋体"/>
                <w:b/>
                <w:color w:val="auto"/>
                <w:sz w:val="24"/>
                <w:highlight w:val="none"/>
              </w:rPr>
            </w:pPr>
            <w:r>
              <w:rPr>
                <w:rFonts w:hint="eastAsia" w:ascii="宋体" w:hAnsi="宋体" w:cs="宋体"/>
                <w:b/>
                <w:color w:val="auto"/>
                <w:sz w:val="24"/>
                <w:highlight w:val="none"/>
              </w:rPr>
              <w:t>采购品种</w:t>
            </w:r>
          </w:p>
        </w:tc>
        <w:tc>
          <w:tcPr>
            <w:tcW w:w="2104" w:type="dxa"/>
            <w:noWrap w:val="0"/>
            <w:vAlign w:val="center"/>
          </w:tcPr>
          <w:p>
            <w:pPr>
              <w:widowControl/>
              <w:wordWrap w:val="0"/>
              <w:spacing w:line="560" w:lineRule="exact"/>
              <w:jc w:val="center"/>
              <w:rPr>
                <w:rFonts w:hint="eastAsia" w:ascii="宋体" w:hAnsi="宋体" w:eastAsia="宋体" w:cs="宋体"/>
                <w:b/>
                <w:color w:val="auto"/>
                <w:sz w:val="24"/>
                <w:highlight w:val="none"/>
                <w:lang w:val="en-US" w:eastAsia="zh-CN"/>
              </w:rPr>
            </w:pPr>
            <w:r>
              <w:rPr>
                <w:rFonts w:hint="eastAsia" w:ascii="宋体" w:hAnsi="宋体" w:cs="宋体"/>
                <w:b/>
                <w:color w:val="auto"/>
                <w:sz w:val="24"/>
                <w:highlight w:val="none"/>
                <w:lang w:val="en-US" w:eastAsia="zh-CN"/>
              </w:rPr>
              <w:t>分类</w:t>
            </w:r>
          </w:p>
        </w:tc>
        <w:tc>
          <w:tcPr>
            <w:tcW w:w="2905" w:type="dxa"/>
            <w:noWrap w:val="0"/>
            <w:vAlign w:val="center"/>
          </w:tcPr>
          <w:p>
            <w:pPr>
              <w:widowControl/>
              <w:wordWrap w:val="0"/>
              <w:spacing w:line="560" w:lineRule="exact"/>
              <w:jc w:val="center"/>
              <w:rPr>
                <w:rFonts w:hint="eastAsia" w:ascii="宋体" w:hAnsi="宋体" w:cs="宋体"/>
                <w:b/>
                <w:color w:val="auto"/>
                <w:kern w:val="2"/>
                <w:sz w:val="24"/>
                <w:szCs w:val="24"/>
                <w:highlight w:val="none"/>
                <w:lang w:val="en-US" w:eastAsia="zh-CN" w:bidi="ar-SA"/>
              </w:rPr>
            </w:pPr>
            <w:r>
              <w:rPr>
                <w:rFonts w:hint="eastAsia" w:ascii="宋体" w:hAnsi="宋体" w:cs="宋体"/>
                <w:b/>
                <w:color w:val="auto"/>
                <w:sz w:val="24"/>
                <w:highlight w:val="none"/>
              </w:rPr>
              <w:t>采购要求</w:t>
            </w:r>
          </w:p>
        </w:tc>
        <w:tc>
          <w:tcPr>
            <w:tcW w:w="1941" w:type="dxa"/>
            <w:noWrap w:val="0"/>
            <w:vAlign w:val="center"/>
          </w:tcPr>
          <w:p>
            <w:pPr>
              <w:widowControl/>
              <w:wordWrap w:val="0"/>
              <w:spacing w:line="560" w:lineRule="exact"/>
              <w:jc w:val="center"/>
              <w:rPr>
                <w:rFonts w:hint="eastAsia" w:ascii="宋体" w:hAnsi="宋体" w:cs="宋体"/>
                <w:b/>
                <w:color w:val="auto"/>
                <w:kern w:val="2"/>
                <w:sz w:val="24"/>
                <w:szCs w:val="24"/>
                <w:highlight w:val="none"/>
                <w:lang w:val="en-US" w:eastAsia="zh-CN" w:bidi="ar-SA"/>
              </w:rPr>
            </w:pPr>
            <w:r>
              <w:rPr>
                <w:rFonts w:hint="eastAsia" w:ascii="宋体" w:hAnsi="宋体" w:cs="宋体"/>
                <w:b/>
                <w:color w:val="auto"/>
                <w:sz w:val="24"/>
                <w:highlight w:val="none"/>
              </w:rPr>
              <w:t>约定采购量（</w:t>
            </w:r>
            <w:r>
              <w:rPr>
                <w:rFonts w:hint="eastAsia" w:ascii="宋体" w:hAnsi="宋体" w:cs="宋体"/>
                <w:b/>
                <w:color w:val="auto"/>
                <w:sz w:val="24"/>
                <w:highlight w:val="none"/>
                <w:lang w:val="en-US" w:eastAsia="zh-CN"/>
              </w:rPr>
              <w:t>套</w:t>
            </w:r>
            <w:r>
              <w:rPr>
                <w:rFonts w:hint="eastAsia" w:ascii="宋体" w:hAnsi="宋体" w:cs="宋体"/>
                <w:b/>
                <w:color w:val="auto"/>
                <w:sz w:val="24"/>
                <w:highlight w:val="none"/>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52" w:hRule="atLeast"/>
          <w:jc w:val="center"/>
        </w:trPr>
        <w:tc>
          <w:tcPr>
            <w:tcW w:w="1588" w:type="dxa"/>
            <w:vMerge w:val="restart"/>
            <w:noWrap w:val="0"/>
            <w:vAlign w:val="center"/>
          </w:tcPr>
          <w:p>
            <w:pPr>
              <w:wordWrap w:val="0"/>
              <w:spacing w:line="560" w:lineRule="exact"/>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透析</w:t>
            </w:r>
            <w:r>
              <w:rPr>
                <w:rFonts w:hint="eastAsia" w:ascii="仿宋" w:hAnsi="仿宋" w:eastAsia="仿宋" w:cs="仿宋"/>
                <w:color w:val="auto"/>
                <w:sz w:val="24"/>
                <w:highlight w:val="none"/>
                <w:lang w:val="en-US" w:eastAsia="zh-CN"/>
              </w:rPr>
              <w:t>用</w:t>
            </w:r>
            <w:r>
              <w:rPr>
                <w:rFonts w:hint="eastAsia" w:ascii="仿宋" w:hAnsi="仿宋" w:eastAsia="仿宋" w:cs="仿宋"/>
                <w:color w:val="auto"/>
                <w:sz w:val="24"/>
                <w:highlight w:val="none"/>
                <w:lang w:eastAsia="zh-CN"/>
              </w:rPr>
              <w:t>长期中心静脉导管（TCC）</w:t>
            </w:r>
          </w:p>
        </w:tc>
        <w:tc>
          <w:tcPr>
            <w:tcW w:w="2104" w:type="dxa"/>
            <w:noWrap w:val="0"/>
            <w:vAlign w:val="center"/>
          </w:tcPr>
          <w:p>
            <w:pPr>
              <w:pStyle w:val="2"/>
              <w:spacing w:before="0" w:line="560" w:lineRule="exact"/>
              <w:jc w:val="center"/>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分叉型、阶梯型</w:t>
            </w:r>
          </w:p>
        </w:tc>
        <w:tc>
          <w:tcPr>
            <w:tcW w:w="2905" w:type="dxa"/>
            <w:vMerge w:val="restart"/>
            <w:noWrap w:val="0"/>
            <w:vAlign w:val="center"/>
          </w:tcPr>
          <w:p>
            <w:pPr>
              <w:pStyle w:val="2"/>
              <w:spacing w:before="0" w:line="560" w:lineRule="exact"/>
              <w:jc w:val="left"/>
              <w:rPr>
                <w:rFonts w:hint="default" w:ascii="仿宋" w:hAnsi="仿宋" w:eastAsia="仿宋" w:cs="仿宋"/>
                <w:color w:val="auto"/>
                <w:kern w:val="2"/>
                <w:sz w:val="24"/>
                <w:szCs w:val="24"/>
                <w:highlight w:val="none"/>
                <w:lang w:val="en-US" w:eastAsia="zh-CN" w:bidi="ar-SA"/>
              </w:rPr>
            </w:pPr>
            <w:r>
              <w:rPr>
                <w:rFonts w:hint="eastAsia" w:ascii="仿宋" w:hAnsi="仿宋" w:eastAsia="仿宋" w:cs="仿宋"/>
                <w:color w:val="auto"/>
                <w:highlight w:val="none"/>
                <w:lang w:val="en-US" w:eastAsia="zh-CN"/>
              </w:rPr>
              <w:t>须包含</w:t>
            </w:r>
            <w:r>
              <w:rPr>
                <w:rFonts w:hint="eastAsia" w:ascii="仿宋" w:hAnsi="仿宋" w:eastAsia="仿宋" w:cs="仿宋"/>
                <w:color w:val="auto"/>
                <w:highlight w:val="none"/>
              </w:rPr>
              <w:t>导管、穿刺针、导丝</w:t>
            </w:r>
            <w:r>
              <w:rPr>
                <w:rFonts w:hint="eastAsia" w:ascii="仿宋" w:hAnsi="仿宋" w:eastAsia="仿宋" w:cs="仿宋"/>
                <w:color w:val="auto"/>
                <w:highlight w:val="none"/>
                <w:lang w:eastAsia="zh-CN"/>
              </w:rPr>
              <w:t>、</w:t>
            </w:r>
            <w:r>
              <w:rPr>
                <w:rFonts w:hint="eastAsia" w:ascii="仿宋" w:hAnsi="仿宋" w:eastAsia="仿宋" w:cs="仿宋"/>
                <w:color w:val="auto"/>
                <w:highlight w:val="none"/>
              </w:rPr>
              <w:t>扩张器</w:t>
            </w: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隧道针（器）</w:t>
            </w:r>
          </w:p>
        </w:tc>
        <w:tc>
          <w:tcPr>
            <w:tcW w:w="1941" w:type="dxa"/>
            <w:vMerge w:val="restart"/>
            <w:noWrap w:val="0"/>
            <w:vAlign w:val="center"/>
          </w:tcPr>
          <w:p>
            <w:pPr>
              <w:wordWrap w:val="0"/>
              <w:spacing w:line="560" w:lineRule="exact"/>
              <w:jc w:val="center"/>
              <w:rPr>
                <w:rFonts w:ascii="仿宋_GB2312" w:hAnsi="仿宋_GB2312" w:eastAsia="仿宋_GB2312" w:cs="仿宋_GB2312"/>
                <w:color w:val="auto"/>
                <w:sz w:val="24"/>
                <w:highlight w:val="none"/>
                <w:shd w:val="clear" w:color="auto" w:fill="FFFFFF"/>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30" w:hRule="atLeast"/>
          <w:jc w:val="center"/>
        </w:trPr>
        <w:tc>
          <w:tcPr>
            <w:tcW w:w="1588" w:type="dxa"/>
            <w:vMerge w:val="continue"/>
            <w:noWrap w:val="0"/>
            <w:vAlign w:val="center"/>
          </w:tcPr>
          <w:p>
            <w:pPr>
              <w:pStyle w:val="2"/>
              <w:spacing w:before="0" w:line="560" w:lineRule="exact"/>
              <w:ind w:firstLine="480" w:firstLineChars="200"/>
              <w:jc w:val="center"/>
              <w:rPr>
                <w:rFonts w:hint="eastAsia" w:ascii="仿宋" w:hAnsi="仿宋" w:eastAsia="仿宋" w:cs="仿宋"/>
                <w:color w:val="auto"/>
                <w:highlight w:val="none"/>
              </w:rPr>
            </w:pPr>
          </w:p>
        </w:tc>
        <w:tc>
          <w:tcPr>
            <w:tcW w:w="2104" w:type="dxa"/>
            <w:noWrap w:val="0"/>
            <w:vAlign w:val="center"/>
          </w:tcPr>
          <w:p>
            <w:pPr>
              <w:pStyle w:val="2"/>
              <w:spacing w:before="0" w:line="560" w:lineRule="exact"/>
              <w:jc w:val="center"/>
              <w:rPr>
                <w:rFonts w:hint="default"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对称型</w:t>
            </w:r>
          </w:p>
        </w:tc>
        <w:tc>
          <w:tcPr>
            <w:tcW w:w="2905" w:type="dxa"/>
            <w:vMerge w:val="continue"/>
            <w:noWrap w:val="0"/>
            <w:vAlign w:val="center"/>
          </w:tcPr>
          <w:p>
            <w:pPr>
              <w:pStyle w:val="2"/>
              <w:spacing w:before="0" w:line="560" w:lineRule="exact"/>
              <w:ind w:firstLine="480" w:firstLineChars="200"/>
              <w:jc w:val="center"/>
              <w:rPr>
                <w:rFonts w:hint="eastAsia" w:ascii="仿宋" w:hAnsi="仿宋" w:eastAsia="仿宋" w:cs="仿宋"/>
                <w:color w:val="auto"/>
                <w:highlight w:val="none"/>
              </w:rPr>
            </w:pPr>
          </w:p>
        </w:tc>
        <w:tc>
          <w:tcPr>
            <w:tcW w:w="1941" w:type="dxa"/>
            <w:vMerge w:val="continue"/>
            <w:noWrap w:val="0"/>
            <w:vAlign w:val="center"/>
          </w:tcPr>
          <w:p>
            <w:pPr>
              <w:pStyle w:val="2"/>
              <w:spacing w:before="0" w:line="560" w:lineRule="exact"/>
              <w:ind w:firstLine="480" w:firstLineChars="200"/>
              <w:jc w:val="center"/>
              <w:rPr>
                <w:rFonts w:hint="eastAsia" w:ascii="仿宋" w:hAnsi="仿宋" w:eastAsia="仿宋" w:cs="仿宋"/>
                <w:color w:val="auto"/>
                <w:highlight w:val="none"/>
              </w:rPr>
            </w:pPr>
          </w:p>
        </w:tc>
      </w:tr>
    </w:tbl>
    <w:p>
      <w:pPr>
        <w:pStyle w:val="2"/>
        <w:keepNext w:val="0"/>
        <w:keepLines w:val="0"/>
        <w:pageBreakBefore w:val="0"/>
        <w:widowControl w:val="0"/>
        <w:kinsoku/>
        <w:wordWrap/>
        <w:overflowPunct/>
        <w:topLinePunct w:val="0"/>
        <w:autoSpaceDE/>
        <w:autoSpaceDN/>
        <w:bidi w:val="0"/>
        <w:adjustRightInd/>
        <w:snapToGrid/>
        <w:spacing w:before="0" w:line="240" w:lineRule="auto"/>
        <w:ind w:left="0"/>
        <w:jc w:val="center"/>
        <w:textAlignment w:val="auto"/>
        <w:rPr>
          <w:rFonts w:hint="eastAsia" w:ascii="仿宋" w:hAnsi="仿宋" w:eastAsia="仿宋" w:cs="仿宋"/>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仿宋" w:hAnsi="仿宋" w:eastAsia="仿宋" w:cs="仿宋"/>
          <w:color w:val="auto"/>
          <w:sz w:val="32"/>
          <w:szCs w:val="32"/>
          <w:highlight w:val="none"/>
        </w:rPr>
      </w:pPr>
    </w:p>
    <w:p>
      <w:pPr>
        <w:pStyle w:val="2"/>
        <w:keepNext w:val="0"/>
        <w:keepLines w:val="0"/>
        <w:pageBreakBefore w:val="0"/>
        <w:widowControl w:val="0"/>
        <w:kinsoku/>
        <w:wordWrap/>
        <w:overflowPunct/>
        <w:topLinePunct w:val="0"/>
        <w:autoSpaceDE/>
        <w:autoSpaceDN/>
        <w:bidi w:val="0"/>
        <w:adjustRightInd/>
        <w:snapToGrid/>
        <w:spacing w:before="0" w:line="240" w:lineRule="auto"/>
        <w:ind w:left="0"/>
        <w:jc w:val="center"/>
        <w:textAlignment w:val="auto"/>
        <w:rPr>
          <w:rFonts w:hint="eastAsia"/>
          <w:color w:val="auto"/>
          <w:highlight w:val="none"/>
        </w:rPr>
      </w:pPr>
    </w:p>
    <w:p>
      <w:pPr>
        <w:pStyle w:val="16"/>
        <w:keepNext w:val="0"/>
        <w:keepLines w:val="0"/>
        <w:pageBreakBefore w:val="0"/>
        <w:kinsoku/>
        <w:overflowPunct/>
        <w:topLinePunct w:val="0"/>
        <w:autoSpaceDE/>
        <w:autoSpaceDN/>
        <w:bidi w:val="0"/>
        <w:adjustRightInd/>
        <w:spacing w:line="560" w:lineRule="exact"/>
        <w:ind w:left="0" w:firstLine="0" w:firstLineChars="0"/>
        <w:jc w:val="both"/>
        <w:textAlignment w:val="auto"/>
        <w:rPr>
          <w:rFonts w:hint="eastAsia" w:ascii="黑体" w:hAnsi="黑体" w:eastAsia="黑体" w:cs="黑体"/>
          <w:color w:val="auto"/>
          <w:sz w:val="32"/>
          <w:szCs w:val="32"/>
          <w:highlight w:val="none"/>
        </w:rPr>
      </w:pPr>
    </w:p>
    <w:p>
      <w:pPr>
        <w:pStyle w:val="16"/>
        <w:keepNext w:val="0"/>
        <w:keepLines w:val="0"/>
        <w:pageBreakBefore w:val="0"/>
        <w:kinsoku/>
        <w:overflowPunct/>
        <w:topLinePunct w:val="0"/>
        <w:autoSpaceDE/>
        <w:autoSpaceDN/>
        <w:bidi w:val="0"/>
        <w:adjustRightInd/>
        <w:spacing w:line="560" w:lineRule="exact"/>
        <w:ind w:left="0" w:firstLine="640" w:firstLineChars="200"/>
        <w:jc w:val="both"/>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二、采购主体</w:t>
      </w:r>
    </w:p>
    <w:p>
      <w:pPr>
        <w:keepNext w:val="0"/>
        <w:keepLines w:val="0"/>
        <w:pageBreakBefore w:val="0"/>
        <w:kinsoku/>
        <w:wordWrap w:val="0"/>
        <w:overflowPunct/>
        <w:topLinePunct w:val="0"/>
        <w:autoSpaceDE/>
        <w:autoSpaceDN/>
        <w:bidi w:val="0"/>
        <w:adjustRightInd/>
        <w:spacing w:line="560" w:lineRule="exact"/>
        <w:ind w:firstLine="640" w:firstLineChars="200"/>
        <w:textAlignment w:val="auto"/>
        <w:rPr>
          <w:rFonts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联盟地区所</w:t>
      </w:r>
      <w:r>
        <w:rPr>
          <w:rFonts w:hint="eastAsia" w:ascii="仿宋" w:hAnsi="仿宋" w:eastAsia="仿宋" w:cs="仿宋"/>
          <w:color w:val="auto"/>
          <w:sz w:val="32"/>
          <w:szCs w:val="32"/>
          <w:highlight w:val="none"/>
        </w:rPr>
        <w:t>有公立医疗机构和军队医疗机构作为医用耗材采购主体均应参加</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医保定点社会办医疗机构</w:t>
      </w:r>
      <w:r>
        <w:rPr>
          <w:rFonts w:hint="eastAsia" w:ascii="仿宋" w:hAnsi="仿宋" w:eastAsia="仿宋" w:cs="仿宋"/>
          <w:color w:val="auto"/>
          <w:sz w:val="32"/>
          <w:szCs w:val="32"/>
          <w:highlight w:val="none"/>
          <w:shd w:val="clear" w:color="auto" w:fill="FFFFFF"/>
        </w:rPr>
        <w:t>按照定点协议管理的要求参加。</w:t>
      </w:r>
    </w:p>
    <w:p>
      <w:pPr>
        <w:keepNext w:val="0"/>
        <w:keepLines w:val="0"/>
        <w:pageBreakBefore w:val="0"/>
        <w:kinsoku/>
        <w:overflowPunct/>
        <w:topLinePunct w:val="0"/>
        <w:autoSpaceDE/>
        <w:autoSpaceDN/>
        <w:bidi w:val="0"/>
        <w:adjustRightInd/>
        <w:snapToGrid w:val="0"/>
        <w:spacing w:line="560" w:lineRule="exact"/>
        <w:ind w:firstLine="640" w:firstLineChars="200"/>
        <w:jc w:val="left"/>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三、采购周期</w:t>
      </w:r>
    </w:p>
    <w:p>
      <w:pPr>
        <w:keepNext w:val="0"/>
        <w:keepLines w:val="0"/>
        <w:pageBreakBefore w:val="0"/>
        <w:kinsoku/>
        <w:overflowPunct/>
        <w:topLinePunct w:val="0"/>
        <w:autoSpaceDE/>
        <w:autoSpaceDN/>
        <w:bidi w:val="0"/>
        <w:adjustRightInd/>
        <w:snapToGrid w:val="0"/>
        <w:spacing w:line="560" w:lineRule="exact"/>
        <w:ind w:firstLine="640" w:firstLineChars="200"/>
        <w:jc w:val="left"/>
        <w:textAlignment w:val="auto"/>
        <w:rPr>
          <w:rFonts w:ascii="仿宋" w:hAnsi="仿宋" w:eastAsia="仿宋" w:cs="仿宋_GB2312"/>
          <w:color w:val="auto"/>
          <w:sz w:val="32"/>
          <w:szCs w:val="32"/>
          <w:highlight w:val="none"/>
        </w:rPr>
      </w:pPr>
      <w:r>
        <w:rPr>
          <w:rFonts w:hint="eastAsia" w:ascii="仿宋" w:hAnsi="仿宋" w:eastAsia="仿宋" w:cs="仿宋"/>
          <w:color w:val="auto"/>
          <w:kern w:val="0"/>
          <w:sz w:val="32"/>
          <w:szCs w:val="32"/>
          <w:highlight w:val="none"/>
          <w:lang w:bidi="ar"/>
        </w:rPr>
        <w:t>本次集中带量采购</w:t>
      </w:r>
      <w:r>
        <w:rPr>
          <w:rFonts w:hint="eastAsia" w:ascii="仿宋" w:hAnsi="仿宋" w:eastAsia="仿宋" w:cs="仿宋"/>
          <w:color w:val="auto"/>
          <w:kern w:val="0"/>
          <w:sz w:val="32"/>
          <w:szCs w:val="32"/>
          <w:highlight w:val="none"/>
          <w:lang w:val="en-US" w:eastAsia="zh-CN" w:bidi="ar"/>
        </w:rPr>
        <w:t>自</w:t>
      </w:r>
      <w:r>
        <w:rPr>
          <w:rFonts w:hint="eastAsia" w:ascii="仿宋" w:hAnsi="仿宋" w:eastAsia="仿宋" w:cs="仿宋"/>
          <w:color w:val="auto"/>
          <w:kern w:val="0"/>
          <w:sz w:val="32"/>
          <w:szCs w:val="32"/>
          <w:highlight w:val="none"/>
          <w:lang w:bidi="ar"/>
        </w:rPr>
        <w:t>执行日起，2年为一个采购周期。若在采购周期内提前完成约定采购量，超过部分仍按中选价格进行采购，中选企业仍按中选价格保障供应，直至采购周期届满。采购周期内，如遇国家组织集中带量采购等有关政策调整，将按照最新政策规定执行。</w:t>
      </w:r>
    </w:p>
    <w:p>
      <w:pPr>
        <w:keepNext w:val="0"/>
        <w:keepLines w:val="0"/>
        <w:pageBreakBefore w:val="0"/>
        <w:kinsoku/>
        <w:overflowPunct/>
        <w:topLinePunct w:val="0"/>
        <w:autoSpaceDE/>
        <w:autoSpaceDN/>
        <w:bidi w:val="0"/>
        <w:adjustRightInd/>
        <w:snapToGrid w:val="0"/>
        <w:spacing w:line="560" w:lineRule="exact"/>
        <w:ind w:firstLine="640" w:firstLineChars="200"/>
        <w:jc w:val="left"/>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四、申报资格</w:t>
      </w:r>
    </w:p>
    <w:p>
      <w:pPr>
        <w:keepNext w:val="0"/>
        <w:keepLines w:val="0"/>
        <w:pageBreakBefore w:val="0"/>
        <w:kinsoku/>
        <w:overflowPunct/>
        <w:topLinePunct w:val="0"/>
        <w:autoSpaceDE/>
        <w:autoSpaceDN/>
        <w:bidi w:val="0"/>
        <w:adjustRightInd/>
        <w:snapToGrid w:val="0"/>
        <w:spacing w:line="560" w:lineRule="exact"/>
        <w:ind w:firstLine="640" w:firstLineChars="200"/>
        <w:jc w:val="left"/>
        <w:textAlignment w:val="auto"/>
        <w:rPr>
          <w:rFonts w:ascii="仿宋" w:hAnsi="仿宋" w:eastAsia="仿宋" w:cs="仿宋"/>
          <w:color w:val="auto"/>
          <w:kern w:val="0"/>
          <w:sz w:val="32"/>
          <w:szCs w:val="32"/>
          <w:highlight w:val="none"/>
          <w:lang w:bidi="ar"/>
        </w:rPr>
      </w:pPr>
      <w:r>
        <w:rPr>
          <w:rFonts w:hint="eastAsia" w:ascii="仿宋" w:hAnsi="仿宋" w:eastAsia="仿宋" w:cs="仿宋"/>
          <w:color w:val="auto"/>
          <w:kern w:val="0"/>
          <w:sz w:val="32"/>
          <w:szCs w:val="32"/>
          <w:highlight w:val="none"/>
          <w:lang w:bidi="ar"/>
        </w:rPr>
        <w:t>（一）申报企业：是指已取得本次集中带量采购产品合法资质的医疗器械注册人（代理人）。其中，境外医疗器械注册人（代理人）应当指定我国境内企业法人协助其履行相应的法律义务，委托其作为申报企业。</w:t>
      </w:r>
    </w:p>
    <w:p>
      <w:pPr>
        <w:keepNext w:val="0"/>
        <w:keepLines w:val="0"/>
        <w:pageBreakBefore w:val="0"/>
        <w:kinsoku/>
        <w:overflowPunct/>
        <w:topLinePunct w:val="0"/>
        <w:autoSpaceDE/>
        <w:autoSpaceDN/>
        <w:bidi w:val="0"/>
        <w:adjustRightInd/>
        <w:snapToGrid w:val="0"/>
        <w:spacing w:line="560" w:lineRule="exact"/>
        <w:ind w:firstLine="640" w:firstLineChars="200"/>
        <w:jc w:val="left"/>
        <w:textAlignment w:val="auto"/>
        <w:rPr>
          <w:rFonts w:ascii="仿宋" w:hAnsi="仿宋" w:eastAsia="仿宋" w:cs="仿宋"/>
          <w:color w:val="auto"/>
          <w:kern w:val="0"/>
          <w:sz w:val="32"/>
          <w:szCs w:val="32"/>
          <w:highlight w:val="none"/>
          <w:lang w:bidi="ar"/>
        </w:rPr>
      </w:pPr>
      <w:r>
        <w:rPr>
          <w:rFonts w:hint="eastAsia" w:ascii="仿宋" w:hAnsi="仿宋" w:eastAsia="仿宋" w:cs="仿宋"/>
          <w:color w:val="auto"/>
          <w:kern w:val="0"/>
          <w:sz w:val="32"/>
          <w:szCs w:val="32"/>
          <w:highlight w:val="none"/>
          <w:lang w:bidi="ar"/>
        </w:rPr>
        <w:t>（二）申报品种：是指采购品种范围内获得国内有效医疗器械注册证的上市医用耗材。</w:t>
      </w:r>
    </w:p>
    <w:p>
      <w:pPr>
        <w:keepNext w:val="0"/>
        <w:keepLines w:val="0"/>
        <w:pageBreakBefore w:val="0"/>
        <w:widowControl/>
        <w:kinsoku/>
        <w:overflowPunct/>
        <w:topLinePunct w:val="0"/>
        <w:autoSpaceDE/>
        <w:autoSpaceDN/>
        <w:bidi w:val="0"/>
        <w:adjustRightInd/>
        <w:spacing w:line="560" w:lineRule="exact"/>
        <w:ind w:firstLine="640" w:firstLineChars="200"/>
        <w:textAlignment w:val="auto"/>
        <w:rPr>
          <w:rFonts w:ascii="黑体" w:hAnsi="黑体" w:eastAsia="黑体" w:cs="黑体"/>
          <w:color w:val="auto"/>
          <w:kern w:val="0"/>
          <w:sz w:val="32"/>
          <w:szCs w:val="32"/>
          <w:highlight w:val="none"/>
          <w:lang w:bidi="ar"/>
        </w:rPr>
      </w:pPr>
      <w:r>
        <w:rPr>
          <w:rFonts w:hint="eastAsia" w:ascii="黑体" w:hAnsi="黑体" w:eastAsia="黑体" w:cs="黑体"/>
          <w:color w:val="auto"/>
          <w:kern w:val="0"/>
          <w:sz w:val="32"/>
          <w:szCs w:val="32"/>
          <w:highlight w:val="none"/>
          <w:lang w:bidi="ar"/>
        </w:rPr>
        <w:t>五、采购文件获取方式</w:t>
      </w:r>
    </w:p>
    <w:p>
      <w:pPr>
        <w:pStyle w:val="2"/>
        <w:keepNext w:val="0"/>
        <w:keepLines w:val="0"/>
        <w:pageBreakBefore w:val="0"/>
        <w:kinsoku/>
        <w:wordWrap w:val="0"/>
        <w:overflowPunct/>
        <w:topLinePunct w:val="0"/>
        <w:autoSpaceDE/>
        <w:autoSpaceDN/>
        <w:bidi w:val="0"/>
        <w:adjustRightInd/>
        <w:spacing w:before="0" w:line="560" w:lineRule="exact"/>
        <w:ind w:firstLine="640" w:firstLineChars="200"/>
        <w:textAlignment w:val="auto"/>
        <w:rPr>
          <w:rFonts w:ascii="仿宋" w:hAnsi="仿宋" w:eastAsia="仿宋" w:cs="仿宋"/>
          <w:color w:val="auto"/>
          <w:kern w:val="0"/>
          <w:sz w:val="32"/>
          <w:szCs w:val="32"/>
          <w:highlight w:val="none"/>
          <w:lang w:bidi="ar"/>
        </w:rPr>
      </w:pPr>
      <w:r>
        <w:rPr>
          <w:rFonts w:ascii="仿宋" w:hAnsi="仿宋" w:eastAsia="仿宋" w:cs="仿宋"/>
          <w:color w:val="auto"/>
          <w:sz w:val="32"/>
          <w:szCs w:val="32"/>
          <w:highlight w:val="none"/>
        </w:rPr>
        <w:t>本次</w:t>
      </w:r>
      <w:r>
        <w:rPr>
          <w:rFonts w:hint="eastAsia" w:ascii="仿宋" w:hAnsi="仿宋" w:eastAsia="仿宋" w:cs="仿宋"/>
          <w:color w:val="auto"/>
          <w:sz w:val="32"/>
          <w:szCs w:val="32"/>
          <w:highlight w:val="none"/>
          <w:lang w:val="en-US" w:eastAsia="zh-CN"/>
        </w:rPr>
        <w:t>医用耗材</w:t>
      </w:r>
      <w:r>
        <w:rPr>
          <w:rFonts w:ascii="仿宋" w:hAnsi="仿宋" w:eastAsia="仿宋" w:cs="仿宋"/>
          <w:color w:val="auto"/>
          <w:sz w:val="32"/>
          <w:szCs w:val="32"/>
          <w:highlight w:val="none"/>
        </w:rPr>
        <w:t>集中带量采购工作所有</w:t>
      </w:r>
      <w:r>
        <w:rPr>
          <w:rFonts w:hint="eastAsia" w:ascii="仿宋" w:hAnsi="仿宋" w:eastAsia="仿宋" w:cs="仿宋"/>
          <w:color w:val="auto"/>
          <w:sz w:val="32"/>
          <w:szCs w:val="32"/>
          <w:highlight w:val="none"/>
        </w:rPr>
        <w:t>采购文件</w:t>
      </w:r>
      <w:r>
        <w:rPr>
          <w:rFonts w:ascii="仿宋" w:hAnsi="仿宋" w:eastAsia="仿宋" w:cs="仿宋"/>
          <w:color w:val="auto"/>
          <w:sz w:val="32"/>
          <w:szCs w:val="32"/>
          <w:highlight w:val="none"/>
        </w:rPr>
        <w:t>通过</w:t>
      </w:r>
      <w:r>
        <w:rPr>
          <w:rFonts w:hint="eastAsia" w:ascii="仿宋" w:hAnsi="仿宋" w:eastAsia="仿宋" w:cs="仿宋"/>
          <w:color w:val="auto"/>
          <w:sz w:val="32"/>
          <w:szCs w:val="32"/>
          <w:highlight w:val="none"/>
        </w:rPr>
        <w:t>“河北</w:t>
      </w:r>
      <w:r>
        <w:rPr>
          <w:rFonts w:ascii="仿宋" w:hAnsi="仿宋" w:eastAsia="仿宋" w:cs="仿宋"/>
          <w:color w:val="auto"/>
          <w:sz w:val="32"/>
          <w:szCs w:val="32"/>
          <w:highlight w:val="none"/>
        </w:rPr>
        <w:t>省医疗保障局官方网站</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（http://ylbzj.hebei.gov.cn/）及</w:t>
      </w:r>
      <w:r>
        <w:rPr>
          <w:rFonts w:hint="eastAsia" w:ascii="仿宋" w:hAnsi="仿宋" w:eastAsia="仿宋" w:cs="仿宋"/>
          <w:color w:val="auto"/>
          <w:kern w:val="0"/>
          <w:sz w:val="32"/>
          <w:szCs w:val="32"/>
          <w:highlight w:val="none"/>
          <w:lang w:bidi="ar"/>
        </w:rPr>
        <w:t>“河北省医用药品器械集中采购中心网站”（http://ylbzj.hebei.gov.cn/category/65）发布，申报企业可查看下载。</w:t>
      </w:r>
    </w:p>
    <w:p>
      <w:pPr>
        <w:pStyle w:val="2"/>
        <w:spacing w:before="0" w:line="560" w:lineRule="exact"/>
        <w:ind w:firstLine="640" w:firstLineChars="200"/>
        <w:rPr>
          <w:rFonts w:ascii="黑体" w:hAnsi="黑体" w:eastAsia="黑体" w:cs="黑体"/>
          <w:color w:val="auto"/>
          <w:kern w:val="0"/>
          <w:sz w:val="32"/>
          <w:szCs w:val="32"/>
          <w:highlight w:val="none"/>
          <w:lang w:bidi="ar"/>
        </w:rPr>
      </w:pPr>
      <w:r>
        <w:rPr>
          <w:rFonts w:hint="eastAsia" w:ascii="黑体" w:hAnsi="黑体" w:eastAsia="黑体" w:cs="黑体"/>
          <w:color w:val="auto"/>
          <w:kern w:val="0"/>
          <w:sz w:val="32"/>
          <w:szCs w:val="32"/>
          <w:highlight w:val="none"/>
          <w:lang w:bidi="ar"/>
        </w:rPr>
        <w:t>六、申报材料递交、产品报名及报价时间</w:t>
      </w:r>
    </w:p>
    <w:p>
      <w:pPr>
        <w:pStyle w:val="2"/>
        <w:kinsoku w:val="0"/>
        <w:overflowPunct w:val="0"/>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本次集中带量采购企业资质、产品资质、申报价格采取全流程电子申报的方式，不接受其他方式。参与本次集中带量采购的生产企业（含境外产品的全国总代理）须办理CA数字证书，并持证书</w:t>
      </w:r>
      <w:r>
        <w:rPr>
          <w:rFonts w:hint="eastAsia" w:ascii="仿宋" w:hAnsi="仿宋" w:eastAsia="仿宋" w:cs="仿宋"/>
          <w:color w:val="auto"/>
          <w:sz w:val="32"/>
          <w:szCs w:val="32"/>
          <w:highlight w:val="none"/>
          <w:lang w:val="en-US" w:eastAsia="zh-CN"/>
        </w:rPr>
        <w:t>登录</w:t>
      </w:r>
      <w:r>
        <w:rPr>
          <w:rFonts w:hint="eastAsia" w:ascii="仿宋" w:hAnsi="仿宋" w:eastAsia="仿宋" w:cs="仿宋"/>
          <w:color w:val="auto"/>
          <w:kern w:val="0"/>
          <w:sz w:val="32"/>
          <w:szCs w:val="32"/>
          <w:highlight w:val="none"/>
          <w:lang w:val="en" w:bidi="ar"/>
        </w:rPr>
        <w:t>河北省药品和医用耗材招采管理子系统</w:t>
      </w:r>
      <w:r>
        <w:rPr>
          <w:rFonts w:hint="eastAsia" w:ascii="仿宋" w:hAnsi="仿宋" w:eastAsia="仿宋" w:cs="仿宋"/>
          <w:color w:val="auto"/>
          <w:sz w:val="32"/>
          <w:szCs w:val="32"/>
          <w:highlight w:val="none"/>
        </w:rPr>
        <w:t>进行资质申报、报名等相关操作。请企业合理安排时间，及时办理CA数字证书和资质申报，未及时办理CA或未按时完成资质申报导致无法参与报名报价的，企业自行承担责任。</w:t>
      </w:r>
    </w:p>
    <w:p>
      <w:pPr>
        <w:wordWrap w:val="0"/>
        <w:snapToGrid w:val="0"/>
        <w:spacing w:line="560" w:lineRule="exact"/>
        <w:ind w:firstLine="640" w:firstLineChars="200"/>
        <w:jc w:val="lef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申报网站地址：“</w:t>
      </w:r>
      <w:r>
        <w:rPr>
          <w:rFonts w:hint="eastAsia" w:ascii="仿宋" w:hAnsi="仿宋" w:eastAsia="仿宋" w:cs="仿宋"/>
          <w:color w:val="auto"/>
          <w:sz w:val="32"/>
          <w:szCs w:val="32"/>
          <w:highlight w:val="none"/>
          <w:lang w:val="en"/>
        </w:rPr>
        <w:t>河北省药品和医用耗材招采管理子系统</w:t>
      </w:r>
      <w:r>
        <w:rPr>
          <w:rFonts w:hint="eastAsia" w:ascii="仿宋" w:hAnsi="仿宋" w:eastAsia="仿宋" w:cs="仿宋"/>
          <w:color w:val="auto"/>
          <w:sz w:val="32"/>
          <w:szCs w:val="32"/>
          <w:highlight w:val="none"/>
          <w:lang w:val="en" w:eastAsia="zh-CN"/>
        </w:rPr>
        <w:t>”</w:t>
      </w:r>
      <w:r>
        <w:rPr>
          <w:rFonts w:hint="eastAsia" w:ascii="仿宋" w:hAnsi="仿宋" w:eastAsia="仿宋" w:cs="仿宋"/>
          <w:color w:val="auto"/>
          <w:sz w:val="32"/>
          <w:szCs w:val="32"/>
          <w:highlight w:val="none"/>
          <w:lang w:val="en"/>
        </w:rPr>
        <w:t>（http://ylbzj.hebei.gov.cn/pub/#/unitLogin）</w:t>
      </w:r>
      <w:r>
        <w:rPr>
          <w:rFonts w:hint="eastAsia" w:ascii="仿宋" w:hAnsi="仿宋" w:eastAsia="仿宋" w:cs="仿宋"/>
          <w:color w:val="auto"/>
          <w:sz w:val="32"/>
          <w:szCs w:val="32"/>
          <w:highlight w:val="none"/>
        </w:rPr>
        <w:t>。</w:t>
      </w:r>
    </w:p>
    <w:p>
      <w:pPr>
        <w:snapToGrid w:val="0"/>
        <w:spacing w:line="560" w:lineRule="exact"/>
        <w:ind w:firstLine="640" w:firstLineChars="200"/>
        <w:jc w:val="left"/>
        <w:rPr>
          <w:rFonts w:ascii="黑体" w:hAnsi="黑体" w:eastAsia="黑体" w:cs="仿宋"/>
          <w:color w:val="auto"/>
          <w:kern w:val="0"/>
          <w:sz w:val="32"/>
          <w:szCs w:val="32"/>
          <w:highlight w:val="none"/>
          <w:lang w:bidi="ar"/>
        </w:rPr>
      </w:pPr>
      <w:r>
        <w:rPr>
          <w:rFonts w:hint="eastAsia" w:ascii="黑体" w:hAnsi="黑体" w:eastAsia="黑体" w:cs="黑体"/>
          <w:color w:val="auto"/>
          <w:kern w:val="0"/>
          <w:sz w:val="32"/>
          <w:szCs w:val="32"/>
          <w:highlight w:val="none"/>
          <w:lang w:bidi="ar"/>
        </w:rPr>
        <w:t>七、时间安排</w:t>
      </w:r>
    </w:p>
    <w:p>
      <w:pPr>
        <w:keepNext w:val="0"/>
        <w:keepLines w:val="0"/>
        <w:pageBreakBefore w:val="0"/>
        <w:widowControl w:val="0"/>
        <w:kinsoku/>
        <w:wordWrap w:val="0"/>
        <w:overflowPunct/>
        <w:topLinePunct w:val="0"/>
        <w:autoSpaceDE/>
        <w:autoSpaceDN/>
        <w:bidi w:val="0"/>
        <w:adjustRightInd/>
        <w:snapToGrid w:val="0"/>
        <w:spacing w:line="560" w:lineRule="exact"/>
        <w:ind w:left="319" w:leftChars="152" w:firstLine="320" w:firstLineChars="1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rPr>
        <w:t>（一）申报材料及报名时</w:t>
      </w:r>
      <w:r>
        <w:rPr>
          <w:rFonts w:hint="eastAsia" w:ascii="仿宋" w:hAnsi="仿宋" w:eastAsia="仿宋" w:cs="仿宋"/>
          <w:color w:val="auto"/>
          <w:sz w:val="32"/>
          <w:szCs w:val="32"/>
          <w:highlight w:val="none"/>
          <w:u w:val="none"/>
          <w:lang w:eastAsia="zh-CN"/>
        </w:rPr>
        <w:t>间：2023年月日-2023年月</w:t>
      </w: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lang w:eastAsia="zh-CN"/>
        </w:rPr>
        <w:t>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eastAsia="zh-CN"/>
        </w:rPr>
        <w:t>（二）报价时间：2023年</w:t>
      </w: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lang w:eastAsia="zh-CN"/>
        </w:rPr>
        <w:t>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eastAsia="zh-CN"/>
        </w:rPr>
        <w:t>（三）报价解密时间：2023年</w:t>
      </w: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lang w:eastAsia="zh-CN"/>
        </w:rPr>
        <w:t>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eastAsia="zh-CN"/>
        </w:rPr>
        <w:t>（四）报价公开时间：2023年</w:t>
      </w: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lang w:eastAsia="zh-CN"/>
        </w:rPr>
        <w:t>日</w:t>
      </w:r>
    </w:p>
    <w:p>
      <w:pPr>
        <w:rPr>
          <w:rFonts w:hint="eastAsia"/>
          <w:color w:val="auto"/>
          <w:highlight w:val="none"/>
          <w:lang w:val="en-US" w:eastAsia="zh-CN"/>
        </w:rPr>
      </w:pPr>
    </w:p>
    <w:p>
      <w:pPr>
        <w:keepNext w:val="0"/>
        <w:keepLines w:val="0"/>
        <w:pageBreakBefore w:val="0"/>
        <w:widowControl w:val="0"/>
        <w:kinsoku/>
        <w:wordWrap w:val="0"/>
        <w:overflowPunct/>
        <w:topLinePunct w:val="0"/>
        <w:autoSpaceDE/>
        <w:autoSpaceDN/>
        <w:bidi w:val="0"/>
        <w:adjustRightInd/>
        <w:snapToGrid w:val="0"/>
        <w:spacing w:line="560" w:lineRule="exact"/>
        <w:ind w:firstLine="3840" w:firstLineChars="1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val="en-US" w:eastAsia="zh-CN"/>
        </w:rPr>
        <w:t>京津冀“3+N”联盟采购办公室</w:t>
      </w:r>
    </w:p>
    <w:p>
      <w:pPr>
        <w:keepNext w:val="0"/>
        <w:keepLines w:val="0"/>
        <w:pageBreakBefore w:val="0"/>
        <w:widowControl w:val="0"/>
        <w:kinsoku/>
        <w:wordWrap w:val="0"/>
        <w:overflowPunct/>
        <w:topLinePunct w:val="0"/>
        <w:autoSpaceDE/>
        <w:autoSpaceDN/>
        <w:bidi w:val="0"/>
        <w:adjustRightInd/>
        <w:snapToGrid w:val="0"/>
        <w:spacing w:line="560" w:lineRule="exact"/>
        <w:ind w:firstLine="3520" w:firstLineChars="11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val="en" w:eastAsia="zh-CN"/>
        </w:rPr>
        <w:t>河北省医用药品器械集中采购中心</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lang w:eastAsia="zh-CN"/>
        </w:rPr>
        <w:t>2023年</w:t>
      </w:r>
      <w:r>
        <w:rPr>
          <w:rFonts w:hint="eastAsia" w:ascii="仿宋" w:hAnsi="仿宋" w:eastAsia="仿宋" w:cs="仿宋"/>
          <w:color w:val="auto"/>
          <w:sz w:val="32"/>
          <w:szCs w:val="32"/>
          <w:highlight w:val="none"/>
          <w:u w:val="none"/>
          <w:lang w:val="en-US" w:eastAsia="zh-CN"/>
        </w:rPr>
        <w:t>11</w:t>
      </w:r>
      <w:r>
        <w:rPr>
          <w:rFonts w:hint="eastAsia" w:ascii="仿宋" w:hAnsi="仿宋" w:eastAsia="仿宋" w:cs="仿宋"/>
          <w:color w:val="auto"/>
          <w:sz w:val="32"/>
          <w:szCs w:val="32"/>
          <w:highlight w:val="none"/>
          <w:u w:val="none"/>
          <w:lang w:eastAsia="zh-CN"/>
        </w:rPr>
        <w:t>月日</w:t>
      </w:r>
    </w:p>
    <w:p>
      <w:pPr>
        <w:pStyle w:val="2"/>
        <w:rPr>
          <w:rFonts w:hint="eastAsia"/>
          <w:color w:val="auto"/>
          <w:highlight w:val="none"/>
          <w:lang w:eastAsia="zh-CN"/>
        </w:rPr>
      </w:pPr>
    </w:p>
    <w:p>
      <w:pPr>
        <w:rPr>
          <w:rFonts w:ascii="仿宋" w:hAnsi="仿宋" w:eastAsia="仿宋"/>
          <w:color w:val="auto"/>
          <w:highlight w:val="none"/>
        </w:rPr>
      </w:pPr>
    </w:p>
    <w:p>
      <w:pPr>
        <w:pStyle w:val="2"/>
        <w:spacing w:before="0" w:line="560" w:lineRule="exact"/>
        <w:jc w:val="center"/>
        <w:rPr>
          <w:rFonts w:hint="eastAsia" w:ascii="宋体" w:hAnsi="宋体" w:eastAsia="宋体" w:cs="宋体"/>
          <w:b/>
          <w:bCs/>
          <w:color w:val="auto"/>
          <w:sz w:val="44"/>
          <w:szCs w:val="44"/>
          <w:highlight w:val="none"/>
        </w:rPr>
      </w:pPr>
    </w:p>
    <w:p>
      <w:pPr>
        <w:pStyle w:val="2"/>
        <w:spacing w:before="0" w:line="560" w:lineRule="exact"/>
        <w:jc w:val="center"/>
        <w:rPr>
          <w:rFonts w:hint="eastAsia" w:ascii="宋体" w:hAnsi="宋体" w:eastAsia="宋体" w:cs="宋体"/>
          <w:b/>
          <w:bCs/>
          <w:color w:val="auto"/>
          <w:sz w:val="44"/>
          <w:szCs w:val="44"/>
          <w:highlight w:val="none"/>
        </w:rPr>
      </w:pPr>
    </w:p>
    <w:p>
      <w:pPr>
        <w:pStyle w:val="2"/>
        <w:spacing w:before="0" w:line="560" w:lineRule="exact"/>
        <w:jc w:val="center"/>
        <w:rPr>
          <w:rFonts w:ascii="宋体" w:hAnsi="宋体" w:eastAsia="宋体" w:cs="黑体"/>
          <w:color w:val="auto"/>
          <w:sz w:val="44"/>
          <w:szCs w:val="44"/>
          <w:highlight w:val="none"/>
        </w:rPr>
      </w:pPr>
      <w:r>
        <w:rPr>
          <w:rFonts w:hint="eastAsia" w:ascii="宋体" w:hAnsi="宋体" w:eastAsia="宋体" w:cs="宋体"/>
          <w:b/>
          <w:bCs/>
          <w:color w:val="auto"/>
          <w:sz w:val="44"/>
          <w:szCs w:val="44"/>
          <w:highlight w:val="none"/>
        </w:rPr>
        <w:t>第二部分 申报企业须知</w:t>
      </w:r>
    </w:p>
    <w:p>
      <w:pPr>
        <w:pStyle w:val="2"/>
        <w:spacing w:before="0" w:line="560" w:lineRule="exact"/>
        <w:ind w:firstLine="640" w:firstLineChars="200"/>
        <w:rPr>
          <w:rFonts w:ascii="仿宋" w:hAnsi="仿宋" w:eastAsia="仿宋" w:cs="仿宋"/>
          <w:color w:val="auto"/>
          <w:sz w:val="32"/>
          <w:szCs w:val="32"/>
          <w:highlight w:val="none"/>
        </w:rPr>
      </w:pPr>
    </w:p>
    <w:p>
      <w:pPr>
        <w:pStyle w:val="2"/>
        <w:spacing w:before="0" w:line="560" w:lineRule="exact"/>
        <w:ind w:firstLine="640" w:firstLineChars="20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一、适用范围</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本采购文件仅适用于本次采购邀请函中所叙述的内容。</w:t>
      </w:r>
    </w:p>
    <w:p>
      <w:pPr>
        <w:pStyle w:val="2"/>
        <w:numPr>
          <w:ilvl w:val="0"/>
          <w:numId w:val="0"/>
        </w:numPr>
        <w:spacing w:before="0" w:line="560" w:lineRule="exact"/>
        <w:ind w:left="640" w:leftChars="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二、</w:t>
      </w:r>
      <w:r>
        <w:rPr>
          <w:rFonts w:hint="eastAsia" w:ascii="黑体" w:hAnsi="黑体" w:eastAsia="黑体" w:cs="黑体"/>
          <w:color w:val="auto"/>
          <w:sz w:val="32"/>
          <w:szCs w:val="32"/>
          <w:highlight w:val="none"/>
        </w:rPr>
        <w:t>申报资格及要求</w:t>
      </w:r>
    </w:p>
    <w:p>
      <w:pPr>
        <w:pStyle w:val="2"/>
        <w:numPr>
          <w:ilvl w:val="0"/>
          <w:numId w:val="0"/>
        </w:numPr>
        <w:spacing w:before="0"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（一）本次集中</w:t>
      </w:r>
      <w:r>
        <w:rPr>
          <w:rFonts w:hint="eastAsia" w:ascii="仿宋" w:hAnsi="仿宋" w:eastAsia="仿宋" w:cs="仿宋"/>
          <w:color w:val="auto"/>
          <w:sz w:val="32"/>
          <w:szCs w:val="32"/>
          <w:highlight w:val="none"/>
        </w:rPr>
        <w:t>带量采购的</w:t>
      </w:r>
      <w:r>
        <w:rPr>
          <w:rFonts w:hint="eastAsia" w:ascii="仿宋" w:hAnsi="仿宋" w:eastAsia="仿宋" w:cs="仿宋"/>
          <w:color w:val="auto"/>
          <w:sz w:val="32"/>
          <w:szCs w:val="32"/>
          <w:highlight w:val="none"/>
          <w:lang w:val="en-US" w:eastAsia="zh-CN"/>
        </w:rPr>
        <w:t>透析用长期中心静脉导管（TCC）</w:t>
      </w:r>
      <w:r>
        <w:rPr>
          <w:rFonts w:hint="eastAsia" w:ascii="仿宋" w:hAnsi="仿宋" w:eastAsia="仿宋" w:cs="仿宋"/>
          <w:color w:val="auto"/>
          <w:sz w:val="32"/>
          <w:szCs w:val="32"/>
          <w:highlight w:val="none"/>
        </w:rPr>
        <w:t>用于实施</w:t>
      </w:r>
      <w:r>
        <w:rPr>
          <w:rFonts w:hint="eastAsia" w:ascii="仿宋" w:hAnsi="仿宋" w:eastAsia="仿宋" w:cs="仿宋"/>
          <w:color w:val="auto"/>
          <w:sz w:val="32"/>
          <w:szCs w:val="32"/>
          <w:highlight w:val="none"/>
          <w:lang w:val="en-US" w:eastAsia="zh-CN"/>
        </w:rPr>
        <w:t>长期</w:t>
      </w:r>
      <w:r>
        <w:rPr>
          <w:rFonts w:hint="eastAsia" w:ascii="仿宋" w:hAnsi="仿宋" w:eastAsia="仿宋" w:cs="仿宋"/>
          <w:color w:val="auto"/>
          <w:sz w:val="32"/>
          <w:szCs w:val="32"/>
          <w:highlight w:val="none"/>
        </w:rPr>
        <w:t>血液净化</w:t>
      </w:r>
      <w:r>
        <w:rPr>
          <w:rFonts w:hint="eastAsia" w:ascii="仿宋" w:hAnsi="仿宋" w:eastAsia="仿宋" w:cs="仿宋"/>
          <w:color w:val="auto"/>
          <w:sz w:val="32"/>
          <w:szCs w:val="32"/>
          <w:highlight w:val="none"/>
          <w:lang w:val="en-US" w:eastAsia="zh-CN"/>
        </w:rPr>
        <w:t>等</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须包含但不限于</w:t>
      </w:r>
      <w:r>
        <w:rPr>
          <w:rFonts w:hint="eastAsia" w:ascii="仿宋" w:hAnsi="仿宋" w:eastAsia="仿宋" w:cs="仿宋"/>
          <w:color w:val="auto"/>
          <w:sz w:val="32"/>
          <w:szCs w:val="32"/>
          <w:highlight w:val="none"/>
        </w:rPr>
        <w:t>导管、穿刺针、导丝</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扩张器</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隧道针（器）</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产品分类为“分叉型、阶梯型”、“对称型”。</w:t>
      </w:r>
    </w:p>
    <w:p>
      <w:pPr>
        <w:kinsoku w:val="0"/>
        <w:overflowPunct w:val="0"/>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（二）截止采购文件发布之日，在</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有销售记录</w:t>
      </w:r>
      <w:r>
        <w:rPr>
          <w:rFonts w:hint="eastAsia" w:ascii="仿宋" w:hAnsi="仿宋" w:eastAsia="仿宋" w:cs="仿宋"/>
          <w:color w:val="auto"/>
          <w:sz w:val="32"/>
          <w:szCs w:val="32"/>
          <w:highlight w:val="none"/>
          <w:lang w:val="en-US" w:eastAsia="zh-CN"/>
        </w:rPr>
        <w:t>的</w:t>
      </w:r>
      <w:r>
        <w:rPr>
          <w:rFonts w:hint="eastAsia" w:ascii="仿宋" w:hAnsi="仿宋" w:eastAsia="仿宋" w:cs="仿宋"/>
          <w:color w:val="auto"/>
          <w:sz w:val="32"/>
          <w:szCs w:val="32"/>
          <w:highlight w:val="none"/>
        </w:rPr>
        <w:t>符合申报条件</w:t>
      </w:r>
      <w:r>
        <w:rPr>
          <w:rFonts w:hint="eastAsia" w:ascii="仿宋" w:hAnsi="仿宋" w:eastAsia="仿宋" w:cs="仿宋"/>
          <w:color w:val="auto"/>
          <w:sz w:val="32"/>
          <w:szCs w:val="32"/>
          <w:highlight w:val="none"/>
          <w:lang w:val="en-US" w:eastAsia="zh-CN"/>
        </w:rPr>
        <w:t>的透析用长期中心静脉导管（TCC）</w:t>
      </w:r>
      <w:r>
        <w:rPr>
          <w:rFonts w:hint="eastAsia" w:ascii="仿宋" w:hAnsi="仿宋" w:eastAsia="仿宋" w:cs="仿宋"/>
          <w:color w:val="auto"/>
          <w:sz w:val="32"/>
          <w:szCs w:val="32"/>
          <w:highlight w:val="none"/>
        </w:rPr>
        <w:t>生产企业均须参加本次集中带量采购，如不参加，该企业</w:t>
      </w:r>
      <w:r>
        <w:rPr>
          <w:rFonts w:hint="eastAsia" w:ascii="仿宋" w:hAnsi="仿宋" w:eastAsia="仿宋" w:cs="仿宋"/>
          <w:color w:val="auto"/>
          <w:sz w:val="32"/>
          <w:szCs w:val="32"/>
          <w:highlight w:val="none"/>
          <w:lang w:val="en-US" w:eastAsia="zh-CN"/>
        </w:rPr>
        <w:t>符合申报条件的</w:t>
      </w:r>
      <w:r>
        <w:rPr>
          <w:rFonts w:hint="eastAsia" w:ascii="仿宋" w:hAnsi="仿宋" w:eastAsia="仿宋" w:cs="仿宋"/>
          <w:color w:val="auto"/>
          <w:sz w:val="32"/>
          <w:szCs w:val="32"/>
          <w:highlight w:val="none"/>
        </w:rPr>
        <w:t>全部</w:t>
      </w:r>
      <w:r>
        <w:rPr>
          <w:rFonts w:hint="eastAsia" w:ascii="仿宋" w:hAnsi="仿宋" w:eastAsia="仿宋" w:cs="仿宋"/>
          <w:color w:val="auto"/>
          <w:sz w:val="32"/>
          <w:szCs w:val="32"/>
          <w:highlight w:val="none"/>
          <w:lang w:val="en-US" w:eastAsia="zh-CN"/>
        </w:rPr>
        <w:t>透析用长期中心静脉导管（TCC）类</w:t>
      </w:r>
      <w:r>
        <w:rPr>
          <w:rFonts w:hint="eastAsia" w:ascii="仿宋" w:hAnsi="仿宋" w:eastAsia="仿宋" w:cs="仿宋"/>
          <w:color w:val="auto"/>
          <w:sz w:val="32"/>
          <w:szCs w:val="32"/>
          <w:highlight w:val="none"/>
        </w:rPr>
        <w:t>产品</w:t>
      </w:r>
      <w:r>
        <w:rPr>
          <w:rFonts w:hint="eastAsia" w:ascii="仿宋" w:hAnsi="仿宋" w:eastAsia="仿宋" w:cs="仿宋"/>
          <w:color w:val="auto"/>
          <w:sz w:val="32"/>
          <w:szCs w:val="32"/>
          <w:highlight w:val="none"/>
          <w:lang w:val="en-US" w:eastAsia="zh-CN"/>
        </w:rPr>
        <w:t>采购</w:t>
      </w:r>
      <w:r>
        <w:rPr>
          <w:rFonts w:hint="eastAsia" w:ascii="仿宋" w:hAnsi="仿宋" w:eastAsia="仿宋" w:cs="仿宋"/>
          <w:color w:val="auto"/>
          <w:sz w:val="32"/>
          <w:szCs w:val="32"/>
          <w:highlight w:val="none"/>
        </w:rPr>
        <w:t>周期内在</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实行备案采购。申报企业符合申报条件且在</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有销售的</w:t>
      </w:r>
      <w:r>
        <w:rPr>
          <w:rFonts w:hint="eastAsia" w:ascii="仿宋" w:hAnsi="仿宋" w:eastAsia="仿宋" w:cs="仿宋"/>
          <w:color w:val="auto"/>
          <w:sz w:val="32"/>
          <w:szCs w:val="32"/>
          <w:highlight w:val="none"/>
          <w:lang w:val="en-US" w:eastAsia="zh-CN"/>
        </w:rPr>
        <w:t>透析用长期中心静脉导管（TCC）</w:t>
      </w:r>
      <w:r>
        <w:rPr>
          <w:rFonts w:hint="eastAsia" w:ascii="仿宋" w:hAnsi="仿宋" w:eastAsia="仿宋" w:cs="仿宋"/>
          <w:color w:val="auto"/>
          <w:sz w:val="32"/>
          <w:szCs w:val="32"/>
          <w:highlight w:val="none"/>
        </w:rPr>
        <w:t>产品均须进入《供应品种清单》，申报企业符合申报条件未在</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销售且在生产的</w:t>
      </w:r>
      <w:r>
        <w:rPr>
          <w:rFonts w:hint="eastAsia" w:ascii="仿宋" w:hAnsi="仿宋" w:eastAsia="仿宋" w:cs="仿宋"/>
          <w:color w:val="auto"/>
          <w:sz w:val="32"/>
          <w:szCs w:val="32"/>
          <w:highlight w:val="none"/>
          <w:lang w:val="en-US" w:eastAsia="zh-CN"/>
        </w:rPr>
        <w:t>透析用长期中心静脉导管（TCC）</w:t>
      </w:r>
      <w:r>
        <w:rPr>
          <w:rFonts w:hint="eastAsia" w:ascii="仿宋" w:hAnsi="仿宋" w:eastAsia="仿宋" w:cs="仿宋"/>
          <w:color w:val="auto"/>
          <w:sz w:val="32"/>
          <w:szCs w:val="32"/>
          <w:highlight w:val="none"/>
        </w:rPr>
        <w:t>产品也可以进入《供应品种清单》。</w:t>
      </w:r>
      <w:r>
        <w:rPr>
          <w:rFonts w:hint="eastAsia" w:ascii="仿宋" w:hAnsi="仿宋" w:eastAsia="仿宋" w:cs="仿宋"/>
          <w:color w:val="auto"/>
          <w:sz w:val="32"/>
          <w:szCs w:val="32"/>
          <w:highlight w:val="none"/>
          <w:u w:val="none"/>
          <w:lang w:val="en-US" w:eastAsia="zh-CN"/>
        </w:rPr>
        <w:t>企业不得申报停产、停供产品。</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（三）申报企业在采购周期内具备持续生产、履行协议和保障供应的能力。一旦中选，中选企业为质量保障和供应保障的第一责任方。</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（四）申报企业具有良好的信誉和健全的财务会计制度。</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（五）申报时企业未被国家和</w:t>
      </w:r>
      <w:r>
        <w:rPr>
          <w:rFonts w:hint="eastAsia" w:ascii="仿宋" w:hAnsi="仿宋" w:eastAsia="仿宋" w:cs="仿宋"/>
          <w:color w:val="auto"/>
          <w:sz w:val="32"/>
          <w:szCs w:val="32"/>
          <w:highlight w:val="none"/>
          <w:lang w:val="en-US" w:eastAsia="zh-CN"/>
        </w:rPr>
        <w:t>省级</w:t>
      </w:r>
      <w:r>
        <w:rPr>
          <w:rFonts w:hint="eastAsia" w:ascii="仿宋" w:hAnsi="仿宋" w:eastAsia="仿宋" w:cs="仿宋"/>
          <w:color w:val="auto"/>
          <w:sz w:val="32"/>
          <w:szCs w:val="32"/>
          <w:highlight w:val="none"/>
        </w:rPr>
        <w:t>依据医药价格和招采信用评价制度评定为“严重”或“特别严重”失信等级，</w:t>
      </w:r>
      <w:r>
        <w:rPr>
          <w:rFonts w:hint="eastAsia" w:ascii="仿宋" w:hAnsi="仿宋" w:eastAsia="仿宋" w:cs="仿宋"/>
          <w:color w:val="auto"/>
          <w:sz w:val="32"/>
          <w:szCs w:val="32"/>
          <w:highlight w:val="none"/>
          <w:lang w:val="en-US" w:eastAsia="zh-CN"/>
        </w:rPr>
        <w:t>或</w:t>
      </w:r>
      <w:r>
        <w:rPr>
          <w:rFonts w:hint="eastAsia" w:ascii="仿宋" w:hAnsi="仿宋" w:eastAsia="仿宋" w:cs="仿宋"/>
          <w:color w:val="auto"/>
          <w:sz w:val="32"/>
          <w:szCs w:val="32"/>
          <w:highlight w:val="none"/>
        </w:rPr>
        <w:t>未被列入现行《全国医药价格和招采失信企业风险警示名单》。</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（六）采购文件公布之日起前2年内，申报产品不存在省级(含)以上药品监督管理部门质量检验不合格情况。申报企业应对申报产品的质量负责。</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（七）申报企业须遵守《专利法》、《反不正当竞争法》等相关法律法规</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并承担相关法律责任。</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（八）申报产品须具有</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医疗器械注册证</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。属于本次集中带量采购品种范围内获得有效国内</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医疗器械注册证</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的医用耗材产品。</w:t>
      </w:r>
    </w:p>
    <w:p>
      <w:pPr>
        <w:pStyle w:val="2"/>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（九）同一企业生产的符合申报条件的</w:t>
      </w:r>
      <w:r>
        <w:rPr>
          <w:rFonts w:hint="eastAsia" w:ascii="仿宋" w:hAnsi="仿宋" w:eastAsia="仿宋" w:cs="仿宋"/>
          <w:color w:val="auto"/>
          <w:sz w:val="32"/>
          <w:szCs w:val="32"/>
          <w:highlight w:val="none"/>
          <w:lang w:eastAsia="zh-CN"/>
        </w:rPr>
        <w:t>透析用长期中心静脉导管（TCC）</w:t>
      </w:r>
      <w:r>
        <w:rPr>
          <w:rFonts w:hint="eastAsia" w:ascii="仿宋" w:hAnsi="仿宋" w:eastAsia="仿宋" w:cs="仿宋"/>
          <w:color w:val="auto"/>
          <w:sz w:val="32"/>
          <w:szCs w:val="32"/>
          <w:highlight w:val="none"/>
        </w:rPr>
        <w:t>产品，不同规格型号委托不同代理企业进行申报的，不予受理。</w:t>
      </w:r>
    </w:p>
    <w:p>
      <w:pPr>
        <w:pStyle w:val="2"/>
        <w:wordWrap w:val="0"/>
        <w:spacing w:before="0" w:line="560" w:lineRule="exact"/>
        <w:ind w:firstLine="640" w:firstLineChars="200"/>
        <w:rPr>
          <w:rFonts w:hint="default" w:eastAsia="仿宋"/>
          <w:color w:val="auto"/>
          <w:highlight w:val="none"/>
          <w:lang w:val="en-US" w:eastAsia="zh-CN"/>
        </w:rPr>
      </w:pPr>
      <w:r>
        <w:rPr>
          <w:rFonts w:hint="eastAsia" w:ascii="仿宋" w:hAnsi="仿宋" w:eastAsia="仿宋" w:cs="仿宋"/>
          <w:color w:val="auto"/>
          <w:sz w:val="32"/>
          <w:szCs w:val="32"/>
          <w:highlight w:val="none"/>
          <w:u w:val="none"/>
          <w:lang w:eastAsia="zh-CN"/>
        </w:rPr>
        <w:t>（十）</w:t>
      </w:r>
      <w:r>
        <w:rPr>
          <w:rFonts w:hint="eastAsia" w:ascii="仿宋" w:hAnsi="仿宋" w:eastAsia="仿宋" w:cs="仿宋"/>
          <w:color w:val="auto"/>
          <w:sz w:val="32"/>
          <w:szCs w:val="32"/>
          <w:highlight w:val="none"/>
        </w:rPr>
        <w:t>同品种申报企业</w:t>
      </w:r>
      <w:r>
        <w:rPr>
          <w:rFonts w:hint="eastAsia" w:ascii="仿宋" w:hAnsi="仿宋" w:eastAsia="仿宋" w:cs="仿宋"/>
          <w:color w:val="auto"/>
          <w:sz w:val="32"/>
          <w:szCs w:val="32"/>
          <w:highlight w:val="none"/>
          <w:lang w:val="en-US" w:eastAsia="zh-CN"/>
        </w:rPr>
        <w:t>间</w:t>
      </w:r>
      <w:r>
        <w:rPr>
          <w:rFonts w:hint="eastAsia" w:ascii="仿宋" w:hAnsi="仿宋" w:eastAsia="仿宋" w:cs="仿宋"/>
          <w:color w:val="auto"/>
          <w:sz w:val="32"/>
          <w:szCs w:val="32"/>
          <w:highlight w:val="none"/>
        </w:rPr>
        <w:t>如</w:t>
      </w:r>
      <w:r>
        <w:rPr>
          <w:rFonts w:hint="eastAsia" w:ascii="仿宋" w:hAnsi="仿宋" w:eastAsia="仿宋" w:cs="仿宋"/>
          <w:color w:val="auto"/>
          <w:sz w:val="32"/>
          <w:szCs w:val="32"/>
          <w:highlight w:val="none"/>
          <w:lang w:val="en-US" w:eastAsia="zh-CN"/>
        </w:rPr>
        <w:t>为同一</w:t>
      </w:r>
      <w:r>
        <w:rPr>
          <w:rFonts w:hint="eastAsia" w:ascii="仿宋" w:hAnsi="仿宋" w:eastAsia="仿宋" w:cs="仿宋"/>
          <w:color w:val="auto"/>
          <w:sz w:val="32"/>
          <w:szCs w:val="32"/>
          <w:highlight w:val="none"/>
        </w:rPr>
        <w:t>实际控制人或存在控股关系，则认为企业间存在关联关系，视为同一申报企业。</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（十</w:t>
      </w:r>
      <w:r>
        <w:rPr>
          <w:rFonts w:hint="eastAsia" w:ascii="仿宋" w:hAnsi="仿宋" w:eastAsia="仿宋" w:cs="仿宋"/>
          <w:color w:val="auto"/>
          <w:sz w:val="32"/>
          <w:szCs w:val="32"/>
          <w:highlight w:val="none"/>
          <w:lang w:val="en-US" w:eastAsia="zh-CN"/>
        </w:rPr>
        <w:t>一</w:t>
      </w:r>
      <w:r>
        <w:rPr>
          <w:rFonts w:hint="eastAsia" w:ascii="仿宋" w:hAnsi="仿宋" w:eastAsia="仿宋" w:cs="仿宋"/>
          <w:color w:val="auto"/>
          <w:sz w:val="32"/>
          <w:szCs w:val="32"/>
          <w:highlight w:val="none"/>
        </w:rPr>
        <w:t>）申报企业不具备申报资格中规定的必须满足的全部要求，一经确认，将不接受其申报；提供虚假证明材料的，取消该</w:t>
      </w:r>
      <w:r>
        <w:rPr>
          <w:rFonts w:hint="eastAsia" w:ascii="仿宋" w:hAnsi="仿宋" w:eastAsia="仿宋" w:cs="仿宋"/>
          <w:color w:val="auto"/>
          <w:sz w:val="32"/>
          <w:szCs w:val="32"/>
          <w:highlight w:val="none"/>
          <w:lang w:val="en-US" w:eastAsia="zh-CN"/>
        </w:rPr>
        <w:t>企业采购品种</w:t>
      </w:r>
      <w:r>
        <w:rPr>
          <w:rFonts w:hint="eastAsia" w:ascii="仿宋" w:hAnsi="仿宋" w:eastAsia="仿宋" w:cs="仿宋"/>
          <w:color w:val="auto"/>
          <w:sz w:val="32"/>
          <w:szCs w:val="32"/>
          <w:highlight w:val="none"/>
        </w:rPr>
        <w:t>挂网资格，该企业2年内不允许参与</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医用耗材集中带量采购。</w:t>
      </w:r>
    </w:p>
    <w:p>
      <w:pPr>
        <w:pStyle w:val="2"/>
        <w:spacing w:before="0" w:line="560" w:lineRule="exact"/>
        <w:ind w:firstLine="640" w:firstLineChars="20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三、网上申报材料</w:t>
      </w:r>
    </w:p>
    <w:p>
      <w:pPr>
        <w:pStyle w:val="2"/>
        <w:spacing w:before="0"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（一）申报材料的组成</w:t>
      </w:r>
    </w:p>
    <w:p>
      <w:pPr>
        <w:pStyle w:val="2"/>
        <w:spacing w:before="0" w:line="560" w:lineRule="exact"/>
        <w:ind w:firstLine="643" w:firstLineChars="200"/>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企业资质申报材料：</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1</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《企业营业执照》（副本）。若为“三证合一”的新证书，无需申报第 2、3 项；</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2</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 xml:space="preserve">《组织机构代码证》（统一社会信用代码）（副本）； </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3</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《税务登记证》（副本）；</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4</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境内医用耗材生产企业或境外医用耗材《医疗器械注册 证》上指定的代理人或进口商（报关企业）</w:t>
      </w:r>
      <w:r>
        <w:rPr>
          <w:rFonts w:hint="eastAsia" w:ascii="仿宋" w:hAnsi="仿宋" w:eastAsia="仿宋" w:cs="仿宋"/>
          <w:color w:val="auto"/>
          <w:sz w:val="32"/>
          <w:szCs w:val="32"/>
          <w:highlight w:val="none"/>
        </w:rPr>
        <w:t>的</w:t>
      </w:r>
      <w:r>
        <w:rPr>
          <w:rFonts w:ascii="仿宋" w:hAnsi="仿宋" w:eastAsia="仿宋" w:cs="仿宋"/>
          <w:color w:val="auto"/>
          <w:sz w:val="32"/>
          <w:szCs w:val="32"/>
          <w:highlight w:val="none"/>
        </w:rPr>
        <w:t>法人身份证（正、反面）或护照；</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5</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境内医用耗材生产企业提供《医疗器械生产许可证》，境外医用耗材《医疗器械注册证》上指定的代理人或进口商（报关企业）提供《医疗器械经营许可证》（副本）；</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6</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境外医用耗材生产企业的《委托授权书》</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境外医用耗材《医疗器械注册证》上指定的代理人或进口商（报关企业）提供〕；</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7</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《医药企业价格和营销行为信用承诺书》；</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8</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 xml:space="preserve"> </w:t>
      </w:r>
      <w:r>
        <w:rPr>
          <w:rFonts w:ascii="仿宋" w:hAnsi="仿宋" w:eastAsia="仿宋" w:cs="仿宋"/>
          <w:color w:val="auto"/>
          <w:sz w:val="32"/>
          <w:szCs w:val="32"/>
          <w:highlight w:val="none"/>
        </w:rPr>
        <w:t>境内医用耗材生产企业和境外医用耗材《医疗器械注册证》上指定的代理人或进口商（报关企业）对企业授权代理人的《</w:t>
      </w:r>
      <w:r>
        <w:rPr>
          <w:rFonts w:hint="eastAsia" w:ascii="仿宋" w:hAnsi="仿宋" w:eastAsia="仿宋" w:cs="仿宋"/>
          <w:color w:val="auto"/>
          <w:sz w:val="32"/>
          <w:szCs w:val="32"/>
          <w:highlight w:val="none"/>
        </w:rPr>
        <w:t>法定代表人授权书</w:t>
      </w:r>
      <w:r>
        <w:rPr>
          <w:rFonts w:ascii="仿宋" w:hAnsi="仿宋" w:eastAsia="仿宋" w:cs="仿宋"/>
          <w:color w:val="auto"/>
          <w:sz w:val="32"/>
          <w:szCs w:val="32"/>
          <w:highlight w:val="none"/>
        </w:rPr>
        <w:t>》和企业</w:t>
      </w:r>
      <w:r>
        <w:rPr>
          <w:rFonts w:hint="eastAsia" w:ascii="仿宋" w:hAnsi="仿宋" w:eastAsia="仿宋" w:cs="仿宋"/>
          <w:color w:val="auto"/>
          <w:sz w:val="32"/>
          <w:szCs w:val="32"/>
          <w:highlight w:val="none"/>
        </w:rPr>
        <w:t>法定代表人、被</w:t>
      </w:r>
      <w:r>
        <w:rPr>
          <w:rFonts w:ascii="仿宋" w:hAnsi="仿宋" w:eastAsia="仿宋" w:cs="仿宋"/>
          <w:color w:val="auto"/>
          <w:sz w:val="32"/>
          <w:szCs w:val="32"/>
          <w:highlight w:val="none"/>
        </w:rPr>
        <w:t>授权</w:t>
      </w:r>
      <w:r>
        <w:rPr>
          <w:rFonts w:hint="eastAsia" w:ascii="仿宋" w:hAnsi="仿宋" w:eastAsia="仿宋" w:cs="仿宋"/>
          <w:color w:val="auto"/>
          <w:sz w:val="32"/>
          <w:szCs w:val="32"/>
          <w:highlight w:val="none"/>
        </w:rPr>
        <w:t>人</w:t>
      </w:r>
      <w:r>
        <w:rPr>
          <w:rFonts w:ascii="仿宋" w:hAnsi="仿宋" w:eastAsia="仿宋" w:cs="仿宋"/>
          <w:color w:val="auto"/>
          <w:sz w:val="32"/>
          <w:szCs w:val="32"/>
          <w:highlight w:val="none"/>
        </w:rPr>
        <w:t>代理人身份证</w:t>
      </w:r>
      <w:r>
        <w:rPr>
          <w:rFonts w:hint="eastAsia" w:ascii="仿宋" w:hAnsi="仿宋" w:eastAsia="仿宋" w:cs="仿宋"/>
          <w:color w:val="auto"/>
          <w:sz w:val="32"/>
          <w:szCs w:val="32"/>
          <w:highlight w:val="none"/>
        </w:rPr>
        <w:t>复印件</w:t>
      </w:r>
      <w:r>
        <w:rPr>
          <w:rFonts w:ascii="仿宋" w:hAnsi="仿宋" w:eastAsia="仿宋" w:cs="仿宋"/>
          <w:color w:val="auto"/>
          <w:sz w:val="32"/>
          <w:szCs w:val="32"/>
          <w:highlight w:val="none"/>
        </w:rPr>
        <w:t xml:space="preserve">（正、反面）（附件1）； </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9.</w:t>
      </w:r>
      <w:r>
        <w:rPr>
          <w:rFonts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京津冀“3+N”联盟</w:t>
      </w:r>
      <w:r>
        <w:rPr>
          <w:rFonts w:hint="eastAsia" w:ascii="仿宋" w:hAnsi="仿宋" w:eastAsia="仿宋" w:cs="仿宋"/>
          <w:color w:val="auto"/>
          <w:sz w:val="32"/>
          <w:szCs w:val="32"/>
          <w:highlight w:val="none"/>
          <w:lang w:eastAsia="zh-CN"/>
        </w:rPr>
        <w:t>透析用长期中心静脉导管（TCC）</w:t>
      </w:r>
      <w:r>
        <w:rPr>
          <w:rFonts w:hint="eastAsia" w:ascii="仿宋" w:hAnsi="仿宋" w:eastAsia="仿宋" w:cs="仿宋"/>
          <w:color w:val="auto"/>
          <w:sz w:val="32"/>
          <w:szCs w:val="32"/>
          <w:highlight w:val="none"/>
        </w:rPr>
        <w:t>集中带量采购企业承诺函</w:t>
      </w:r>
      <w:r>
        <w:rPr>
          <w:rFonts w:ascii="仿宋" w:hAnsi="仿宋" w:eastAsia="仿宋" w:cs="仿宋"/>
          <w:color w:val="auto"/>
          <w:sz w:val="32"/>
          <w:szCs w:val="32"/>
          <w:highlight w:val="none"/>
        </w:rPr>
        <w:t>》（附件</w:t>
      </w:r>
      <w:r>
        <w:rPr>
          <w:rFonts w:hint="eastAsia" w:ascii="仿宋" w:hAnsi="仿宋" w:eastAsia="仿宋" w:cs="仿宋"/>
          <w:color w:val="auto"/>
          <w:sz w:val="32"/>
          <w:szCs w:val="32"/>
          <w:highlight w:val="none"/>
        </w:rPr>
        <w:t>2</w:t>
      </w:r>
      <w:r>
        <w:rPr>
          <w:rFonts w:ascii="仿宋" w:hAnsi="仿宋" w:eastAsia="仿宋" w:cs="仿宋"/>
          <w:color w:val="auto"/>
          <w:sz w:val="32"/>
          <w:szCs w:val="32"/>
          <w:highlight w:val="none"/>
        </w:rPr>
        <w:t>）；</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10.《企业基本情况表》(附件3)；</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11.《无违法、违规行为的证明材料》（附件4）；</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12.《产品不良记录》（附件5）；</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13.</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系统中显示须企业提交的其他相关资料。</w:t>
      </w:r>
    </w:p>
    <w:p>
      <w:pPr>
        <w:pStyle w:val="2"/>
        <w:spacing w:before="0" w:line="560" w:lineRule="exact"/>
        <w:ind w:firstLine="643" w:firstLineChars="200"/>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产品资质申报材料：</w:t>
      </w:r>
    </w:p>
    <w:p>
      <w:pPr>
        <w:spacing w:line="560" w:lineRule="exact"/>
        <w:ind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1.《供应品种清单》（附件6）。《供应品种清单》应包含申报企业拟在</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供应的符合申报条件的所有临床使用产品。申报企业所有符合申报条件的</w:t>
      </w:r>
      <w:r>
        <w:rPr>
          <w:rFonts w:hint="eastAsia" w:ascii="仿宋" w:hAnsi="仿宋" w:eastAsia="仿宋" w:cs="仿宋"/>
          <w:color w:val="auto"/>
          <w:sz w:val="32"/>
          <w:szCs w:val="32"/>
          <w:highlight w:val="none"/>
          <w:lang w:val="en-US" w:eastAsia="zh-CN"/>
        </w:rPr>
        <w:t>透析用长期中心静脉导管（TCC）</w:t>
      </w:r>
      <w:r>
        <w:rPr>
          <w:rFonts w:hint="eastAsia" w:ascii="仿宋" w:hAnsi="仿宋" w:eastAsia="仿宋" w:cs="仿宋"/>
          <w:color w:val="auto"/>
          <w:sz w:val="32"/>
          <w:szCs w:val="32"/>
          <w:highlight w:val="none"/>
        </w:rPr>
        <w:t>均须进入《供应品种清单》。申报企业如果中选，须向医疗机构提供《供应品种清单》内所有产品</w:t>
      </w:r>
      <w:r>
        <w:rPr>
          <w:rFonts w:hint="eastAsia" w:ascii="仿宋" w:hAnsi="仿宋" w:eastAsia="仿宋" w:cs="仿宋"/>
          <w:color w:val="auto"/>
          <w:sz w:val="32"/>
          <w:szCs w:val="32"/>
          <w:highlight w:val="none"/>
          <w:lang w:eastAsia="zh-CN"/>
        </w:rPr>
        <w:t>；</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2.《供应品种清单》内产品</w:t>
      </w:r>
      <w:r>
        <w:rPr>
          <w:rFonts w:ascii="仿宋" w:hAnsi="仿宋" w:eastAsia="仿宋" w:cs="仿宋"/>
          <w:color w:val="auto"/>
          <w:sz w:val="32"/>
          <w:szCs w:val="32"/>
          <w:highlight w:val="none"/>
        </w:rPr>
        <w:t>医疗器械注册证、医疗器械产品注册登记表或医疗器械产品生产制造认可表和附页。如制造认可表/注册登记表或附页中明确了规格型号，所</w:t>
      </w:r>
      <w:r>
        <w:rPr>
          <w:rFonts w:hint="eastAsia" w:ascii="仿宋" w:hAnsi="仿宋" w:eastAsia="仿宋" w:cs="仿宋"/>
          <w:color w:val="auto"/>
          <w:sz w:val="32"/>
          <w:szCs w:val="32"/>
          <w:highlight w:val="none"/>
        </w:rPr>
        <w:t>申</w:t>
      </w:r>
      <w:r>
        <w:rPr>
          <w:rFonts w:ascii="仿宋" w:hAnsi="仿宋" w:eastAsia="仿宋" w:cs="仿宋"/>
          <w:color w:val="auto"/>
          <w:sz w:val="32"/>
          <w:szCs w:val="32"/>
          <w:highlight w:val="none"/>
        </w:rPr>
        <w:t>报产品必须在其范围内</w:t>
      </w:r>
      <w:r>
        <w:rPr>
          <w:rFonts w:hint="eastAsia" w:ascii="仿宋" w:hAnsi="仿宋" w:eastAsia="仿宋" w:cs="仿宋"/>
          <w:color w:val="auto"/>
          <w:sz w:val="32"/>
          <w:szCs w:val="32"/>
          <w:highlight w:val="none"/>
          <w:lang w:eastAsia="zh-CN"/>
        </w:rPr>
        <w:t>。</w:t>
      </w:r>
      <w:r>
        <w:rPr>
          <w:rFonts w:ascii="仿宋" w:hAnsi="仿宋" w:eastAsia="仿宋" w:cs="仿宋"/>
          <w:color w:val="auto"/>
          <w:sz w:val="32"/>
          <w:szCs w:val="32"/>
          <w:highlight w:val="none"/>
        </w:rPr>
        <w:t>如医疗器械注册证正在办理延期手续的，需提供受理通知单</w:t>
      </w:r>
      <w:r>
        <w:rPr>
          <w:rFonts w:hint="eastAsia" w:ascii="仿宋" w:hAnsi="仿宋" w:eastAsia="仿宋" w:cs="仿宋"/>
          <w:color w:val="auto"/>
          <w:sz w:val="32"/>
          <w:szCs w:val="32"/>
          <w:highlight w:val="none"/>
        </w:rPr>
        <w:t>；</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3.《供应品种清单》内产品说明书；</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4.《供应品种清单》内产品电子版图片（图片中的实物应与供应给医疗机构的医用耗材产品相一致）；</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5.系统中显示须企业提交的其他相关资料。</w:t>
      </w:r>
    </w:p>
    <w:p>
      <w:pPr>
        <w:pStyle w:val="2"/>
        <w:spacing w:before="0" w:line="560" w:lineRule="exact"/>
        <w:ind w:firstLine="643" w:firstLineChars="200"/>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上述材料均</w:t>
      </w:r>
      <w:r>
        <w:rPr>
          <w:rFonts w:hint="eastAsia" w:ascii="仿宋" w:hAnsi="仿宋" w:eastAsia="仿宋" w:cs="仿宋"/>
          <w:b/>
          <w:bCs/>
          <w:color w:val="auto"/>
          <w:sz w:val="32"/>
          <w:szCs w:val="32"/>
          <w:highlight w:val="none"/>
          <w:lang w:val="en-US" w:eastAsia="zh-CN"/>
        </w:rPr>
        <w:t>须</w:t>
      </w:r>
      <w:r>
        <w:rPr>
          <w:rFonts w:hint="eastAsia" w:ascii="仿宋" w:hAnsi="仿宋" w:eastAsia="仿宋" w:cs="仿宋"/>
          <w:b/>
          <w:bCs/>
          <w:color w:val="auto"/>
          <w:sz w:val="32"/>
          <w:szCs w:val="32"/>
          <w:highlight w:val="none"/>
        </w:rPr>
        <w:t>逐页加盖申报</w:t>
      </w:r>
      <w:r>
        <w:rPr>
          <w:rFonts w:hint="eastAsia" w:ascii="仿宋" w:hAnsi="仿宋" w:eastAsia="仿宋" w:cs="仿宋"/>
          <w:b/>
          <w:bCs/>
          <w:color w:val="auto"/>
          <w:sz w:val="32"/>
          <w:szCs w:val="32"/>
          <w:highlight w:val="none"/>
          <w:lang w:val="en-US" w:eastAsia="zh-CN"/>
        </w:rPr>
        <w:t>企业</w:t>
      </w:r>
      <w:r>
        <w:rPr>
          <w:rFonts w:hint="eastAsia" w:ascii="仿宋" w:hAnsi="仿宋" w:eastAsia="仿宋" w:cs="仿宋"/>
          <w:b/>
          <w:bCs/>
          <w:color w:val="auto"/>
          <w:sz w:val="32"/>
          <w:szCs w:val="32"/>
          <w:highlight w:val="none"/>
        </w:rPr>
        <w:t>电子印章！</w:t>
      </w:r>
    </w:p>
    <w:p>
      <w:pPr>
        <w:pStyle w:val="2"/>
        <w:wordWrap w:val="0"/>
        <w:spacing w:before="0" w:line="560" w:lineRule="exact"/>
        <w:ind w:firstLine="640" w:firstLineChars="200"/>
        <w:jc w:val="lef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申报企业通过“</w:t>
      </w:r>
      <w:r>
        <w:rPr>
          <w:rFonts w:hint="eastAsia" w:ascii="仿宋" w:hAnsi="仿宋" w:eastAsia="仿宋" w:cs="仿宋"/>
          <w:color w:val="auto"/>
          <w:sz w:val="32"/>
          <w:szCs w:val="32"/>
          <w:highlight w:val="none"/>
          <w:lang w:val="en"/>
        </w:rPr>
        <w:t>河北省药品和医用耗材招采管理子系统</w:t>
      </w:r>
      <w:r>
        <w:rPr>
          <w:rFonts w:hint="eastAsia" w:ascii="仿宋" w:hAnsi="仿宋" w:eastAsia="仿宋" w:cs="仿宋"/>
          <w:color w:val="auto"/>
          <w:sz w:val="32"/>
          <w:szCs w:val="32"/>
          <w:highlight w:val="none"/>
          <w:lang w:val="en" w:eastAsia="zh-CN"/>
        </w:rPr>
        <w:t>”</w:t>
      </w:r>
      <w:r>
        <w:rPr>
          <w:rFonts w:hint="eastAsia" w:ascii="仿宋" w:hAnsi="仿宋" w:eastAsia="仿宋" w:cs="仿宋"/>
          <w:color w:val="auto"/>
          <w:sz w:val="32"/>
          <w:szCs w:val="32"/>
          <w:highlight w:val="none"/>
          <w:lang w:val="en"/>
        </w:rPr>
        <w:t>（http://ylbzj.hebei.gov.cn/pub/#/unitLogin）</w:t>
      </w:r>
      <w:r>
        <w:rPr>
          <w:rFonts w:hint="eastAsia" w:ascii="仿宋" w:hAnsi="仿宋" w:eastAsia="仿宋" w:cs="仿宋"/>
          <w:color w:val="auto"/>
          <w:sz w:val="32"/>
          <w:szCs w:val="32"/>
          <w:highlight w:val="none"/>
        </w:rPr>
        <w:t>上传，无须现场递交纸质资料。</w:t>
      </w:r>
    </w:p>
    <w:p>
      <w:pPr>
        <w:pStyle w:val="2"/>
        <w:spacing w:before="0"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（二）申报资质材料要求</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申报企业须仔细阅读采购文件中所有内容，按采购文件的要求提供申报材料，并保证企业提供的资料完整、准确、真实、合法。如果没有按照集中带量采购文件的要求提交完整材料或者提供的申报材料内容不属实等，因此影响中选结果由申报企业自行承担</w:t>
      </w:r>
      <w:r>
        <w:rPr>
          <w:rFonts w:hint="eastAsia" w:ascii="仿宋" w:hAnsi="仿宋" w:eastAsia="仿宋" w:cs="仿宋"/>
          <w:color w:val="auto"/>
          <w:sz w:val="32"/>
          <w:szCs w:val="32"/>
          <w:highlight w:val="none"/>
          <w:lang w:val="en-US" w:eastAsia="zh-CN"/>
        </w:rPr>
        <w:t>责任</w:t>
      </w:r>
      <w:r>
        <w:rPr>
          <w:rFonts w:hint="eastAsia" w:ascii="仿宋" w:hAnsi="仿宋" w:eastAsia="仿宋" w:cs="仿宋"/>
          <w:color w:val="auto"/>
          <w:sz w:val="32"/>
          <w:szCs w:val="32"/>
          <w:highlight w:val="none"/>
        </w:rPr>
        <w:t>。</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2.申报企业网上提交的所有文件材料及往来函电均</w:t>
      </w:r>
      <w:r>
        <w:rPr>
          <w:rFonts w:hint="eastAsia" w:ascii="仿宋" w:hAnsi="仿宋" w:eastAsia="仿宋" w:cs="仿宋"/>
          <w:color w:val="auto"/>
          <w:sz w:val="32"/>
          <w:szCs w:val="32"/>
          <w:highlight w:val="none"/>
          <w:lang w:val="en-US" w:eastAsia="zh-CN"/>
        </w:rPr>
        <w:t>须</w:t>
      </w:r>
      <w:r>
        <w:rPr>
          <w:rFonts w:hint="eastAsia" w:ascii="仿宋" w:hAnsi="仿宋" w:eastAsia="仿宋" w:cs="仿宋"/>
          <w:color w:val="auto"/>
          <w:sz w:val="32"/>
          <w:szCs w:val="32"/>
          <w:highlight w:val="none"/>
        </w:rPr>
        <w:t>使用中文(外文资料须提供相应的中文翻译文本)。</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3.网上提交的申报材料须清晰可辨，上传图片按照</w:t>
      </w:r>
      <w:r>
        <w:rPr>
          <w:rFonts w:ascii="仿宋" w:hAnsi="仿宋" w:eastAsia="仿宋" w:cs="仿宋"/>
          <w:color w:val="auto"/>
          <w:sz w:val="32"/>
          <w:szCs w:val="32"/>
          <w:highlight w:val="none"/>
        </w:rPr>
        <w:t>PDF</w:t>
      </w:r>
      <w:r>
        <w:rPr>
          <w:rFonts w:hint="eastAsia" w:ascii="仿宋" w:hAnsi="仿宋" w:eastAsia="仿宋" w:cs="仿宋"/>
          <w:color w:val="auto"/>
          <w:sz w:val="32"/>
          <w:szCs w:val="32"/>
          <w:highlight w:val="none"/>
        </w:rPr>
        <w:t>格式上传，单张不超过</w:t>
      </w:r>
      <w:r>
        <w:rPr>
          <w:rFonts w:ascii="仿宋" w:hAnsi="仿宋" w:eastAsia="仿宋" w:cs="仿宋"/>
          <w:color w:val="auto"/>
          <w:sz w:val="32"/>
          <w:szCs w:val="32"/>
          <w:highlight w:val="none"/>
        </w:rPr>
        <w:t>5</w:t>
      </w:r>
      <w:r>
        <w:rPr>
          <w:rFonts w:hint="eastAsia" w:ascii="仿宋" w:hAnsi="仿宋" w:eastAsia="仿宋" w:cs="仿宋"/>
          <w:color w:val="auto"/>
          <w:sz w:val="32"/>
          <w:szCs w:val="32"/>
          <w:highlight w:val="none"/>
        </w:rPr>
        <w:t>M。</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4.网上提交的申报材料须逐页加盖</w:t>
      </w:r>
      <w:r>
        <w:rPr>
          <w:rFonts w:hint="eastAsia" w:ascii="仿宋" w:hAnsi="仿宋" w:eastAsia="仿宋" w:cs="仿宋"/>
          <w:color w:val="auto"/>
          <w:sz w:val="32"/>
          <w:szCs w:val="32"/>
          <w:highlight w:val="none"/>
          <w:lang w:val="en-US" w:eastAsia="zh-CN"/>
        </w:rPr>
        <w:t>申报企业</w:t>
      </w:r>
      <w:r>
        <w:rPr>
          <w:rFonts w:hint="eastAsia" w:ascii="仿宋" w:hAnsi="仿宋" w:eastAsia="仿宋" w:cs="仿宋"/>
          <w:color w:val="auto"/>
          <w:sz w:val="32"/>
          <w:szCs w:val="32"/>
          <w:highlight w:val="none"/>
        </w:rPr>
        <w:t>电子印章。</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5.网上提交的申报材料除针对错处做必要修改外，不允许有加行、涂抹或改写</w:t>
      </w:r>
      <w:r>
        <w:rPr>
          <w:rFonts w:hint="eastAsia" w:ascii="仿宋" w:hAnsi="仿宋" w:eastAsia="仿宋" w:cs="仿宋"/>
          <w:color w:val="auto"/>
          <w:sz w:val="32"/>
          <w:szCs w:val="32"/>
          <w:highlight w:val="none"/>
          <w:lang w:val="en-US" w:eastAsia="zh-CN"/>
        </w:rPr>
        <w:t>等</w:t>
      </w:r>
      <w:r>
        <w:rPr>
          <w:rFonts w:hint="eastAsia" w:ascii="仿宋" w:hAnsi="仿宋" w:eastAsia="仿宋" w:cs="仿宋"/>
          <w:color w:val="auto"/>
          <w:sz w:val="32"/>
          <w:szCs w:val="32"/>
          <w:highlight w:val="none"/>
        </w:rPr>
        <w:t>。申报材料因字迹潦草或表达不清所引起的后果由申报企业自行承担。</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6.申报企业网上提交的各种文件材料均须在集中带量采购文件发布之日</w:t>
      </w:r>
      <w:r>
        <w:rPr>
          <w:rFonts w:hint="eastAsia" w:ascii="仿宋" w:hAnsi="仿宋" w:eastAsia="仿宋" w:cs="仿宋"/>
          <w:color w:val="auto"/>
          <w:sz w:val="32"/>
          <w:szCs w:val="32"/>
          <w:highlight w:val="none"/>
          <w:lang w:val="en-US" w:eastAsia="zh-CN"/>
        </w:rPr>
        <w:t>(含)</w:t>
      </w:r>
      <w:r>
        <w:rPr>
          <w:rFonts w:hint="eastAsia" w:ascii="仿宋" w:hAnsi="仿宋" w:eastAsia="仿宋" w:cs="仿宋"/>
          <w:color w:val="auto"/>
          <w:sz w:val="32"/>
          <w:szCs w:val="32"/>
          <w:highlight w:val="none"/>
        </w:rPr>
        <w:t>前生效，生效期在</w:t>
      </w:r>
      <w:r>
        <w:rPr>
          <w:rFonts w:hint="eastAsia" w:ascii="仿宋" w:hAnsi="仿宋" w:eastAsia="仿宋" w:cs="仿宋"/>
          <w:color w:val="auto"/>
          <w:sz w:val="32"/>
          <w:szCs w:val="32"/>
          <w:highlight w:val="none"/>
          <w:lang w:val="en-US" w:eastAsia="zh-CN"/>
        </w:rPr>
        <w:t>集中带量</w:t>
      </w:r>
      <w:r>
        <w:rPr>
          <w:rFonts w:hint="eastAsia" w:ascii="仿宋" w:hAnsi="仿宋" w:eastAsia="仿宋" w:cs="仿宋"/>
          <w:color w:val="auto"/>
          <w:sz w:val="32"/>
          <w:szCs w:val="32"/>
          <w:highlight w:val="none"/>
        </w:rPr>
        <w:t>采购文件发布之日后的不予采纳。</w:t>
      </w:r>
    </w:p>
    <w:p>
      <w:pPr>
        <w:spacing w:line="560" w:lineRule="exact"/>
        <w:ind w:firstLine="640" w:firstLineChars="20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四、报价要求</w:t>
      </w:r>
    </w:p>
    <w:p>
      <w:pPr>
        <w:pStyle w:val="2"/>
        <w:keepNext w:val="0"/>
        <w:keepLines w:val="0"/>
        <w:pageBreakBefore w:val="0"/>
        <w:widowControl w:val="0"/>
        <w:kinsoku/>
        <w:wordWrap/>
        <w:overflowPunct/>
        <w:topLinePunct w:val="0"/>
        <w:autoSpaceDE/>
        <w:autoSpaceDN/>
        <w:bidi w:val="0"/>
        <w:adjustRightInd/>
        <w:snapToGrid/>
        <w:spacing w:before="0"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（一）</w:t>
      </w:r>
      <w:r>
        <w:rPr>
          <w:rFonts w:hint="eastAsia" w:ascii="仿宋" w:hAnsi="仿宋" w:eastAsia="仿宋" w:cs="仿宋"/>
          <w:color w:val="auto"/>
          <w:sz w:val="32"/>
          <w:szCs w:val="32"/>
          <w:highlight w:val="none"/>
          <w:lang w:val="en-US" w:eastAsia="zh-CN"/>
        </w:rPr>
        <w:t>本次集中带量采购以医疗器械注册证为单位申报。同一医疗器械注册人（代理人）的同一采购品种不得委托不同企业进行申报，同一采购品种不同医疗器械注册人（代理人）不得委托同一家企业申报。</w:t>
      </w:r>
    </w:p>
    <w:p>
      <w:pPr>
        <w:pStyle w:val="2"/>
        <w:keepNext w:val="0"/>
        <w:keepLines w:val="0"/>
        <w:pageBreakBefore w:val="0"/>
        <w:widowControl w:val="0"/>
        <w:kinsoku/>
        <w:wordWrap/>
        <w:overflowPunct/>
        <w:topLinePunct w:val="0"/>
        <w:autoSpaceDE/>
        <w:autoSpaceDN/>
        <w:bidi w:val="0"/>
        <w:adjustRightInd/>
        <w:snapToGrid/>
        <w:spacing w:before="0"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（二）</w:t>
      </w:r>
      <w:bookmarkStart w:id="0" w:name="_Hlk117500248"/>
      <w:bookmarkStart w:id="1" w:name="_Hlk78988660"/>
      <w:r>
        <w:rPr>
          <w:rFonts w:hint="eastAsia" w:ascii="仿宋" w:hAnsi="仿宋" w:eastAsia="仿宋" w:cs="仿宋"/>
          <w:color w:val="auto"/>
          <w:sz w:val="32"/>
          <w:szCs w:val="32"/>
          <w:highlight w:val="none"/>
          <w:lang w:val="en-US" w:eastAsia="zh-CN"/>
        </w:rPr>
        <w:t>每个医疗器械注册证每个产品分类只能申报一个价格。</w:t>
      </w:r>
      <w:bookmarkEnd w:id="0"/>
    </w:p>
    <w:p>
      <w:pPr>
        <w:pStyle w:val="2"/>
        <w:keepNext w:val="0"/>
        <w:keepLines w:val="0"/>
        <w:pageBreakBefore w:val="0"/>
        <w:widowControl w:val="0"/>
        <w:kinsoku/>
        <w:wordWrap/>
        <w:overflowPunct/>
        <w:topLinePunct w:val="0"/>
        <w:autoSpaceDE/>
        <w:autoSpaceDN/>
        <w:bidi w:val="0"/>
        <w:adjustRightInd/>
        <w:snapToGrid/>
        <w:spacing w:before="0"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（三）申报企业同一产品分类有多个符合申报条件医疗器械注册证的，不同医疗器械注册证产品可报同一价格，也可分别报不同价格。每个医疗器械注册证选择一个符合申报条件的</w:t>
      </w:r>
      <w:r>
        <w:rPr>
          <w:rFonts w:hint="eastAsia" w:ascii="仿宋" w:hAnsi="仿宋" w:eastAsia="仿宋" w:cs="仿宋"/>
          <w:color w:val="auto"/>
          <w:kern w:val="2"/>
          <w:sz w:val="32"/>
          <w:szCs w:val="32"/>
          <w:highlight w:val="none"/>
          <w:lang w:val="en-US" w:eastAsia="zh-CN" w:bidi="ar-SA"/>
        </w:rPr>
        <w:t>不</w:t>
      </w:r>
      <w:r>
        <w:rPr>
          <w:rFonts w:hint="eastAsia" w:ascii="仿宋" w:hAnsi="仿宋" w:eastAsia="仿宋" w:cs="仿宋"/>
          <w:color w:val="auto"/>
          <w:sz w:val="32"/>
          <w:szCs w:val="32"/>
          <w:highlight w:val="none"/>
          <w:lang w:val="en-US" w:eastAsia="zh-CN"/>
        </w:rPr>
        <w:t>含药物涂层产品作为代表品报价，如代表品中选，企业申报的同一产品分类同一医疗器械注册证下符合申报条件的所有不含药物涂层产品以中选价格供应联盟地区，同一产品分类同一医疗器械注册证的含药物涂层产品以1.1倍中选价格供应联盟地区，1.1倍中选价格不得高于该含药物涂层</w:t>
      </w:r>
      <w:r>
        <w:rPr>
          <w:rFonts w:hint="eastAsia" w:ascii="仿宋" w:hAnsi="仿宋" w:eastAsia="仿宋" w:cs="仿宋"/>
          <w:color w:val="auto"/>
          <w:kern w:val="2"/>
          <w:sz w:val="32"/>
          <w:szCs w:val="32"/>
          <w:highlight w:val="none"/>
          <w:u w:val="none"/>
          <w:lang w:val="en-US" w:eastAsia="zh-CN" w:bidi="ar-SA"/>
        </w:rPr>
        <w:t>产品2023年1月1日以来在全国省级集中采购机构的最低有效采购（交易）价格，且不高于该含药物涂层产品在全国省和省、市级集中带量采购</w:t>
      </w:r>
      <w:r>
        <w:rPr>
          <w:rFonts w:hint="eastAsia" w:ascii="仿宋" w:hAnsi="仿宋" w:eastAsia="仿宋" w:cs="仿宋"/>
          <w:color w:val="auto"/>
          <w:sz w:val="32"/>
          <w:szCs w:val="32"/>
          <w:highlight w:val="none"/>
          <w:lang w:val="en-US" w:eastAsia="zh-CN"/>
        </w:rPr>
        <w:t>的最低中选价格(含已产生中选结果未落地执行的价格)，如超出上述限价则按照三者中的最低价格供应联盟地区。</w:t>
      </w:r>
    </w:p>
    <w:p>
      <w:pPr>
        <w:pStyle w:val="2"/>
        <w:keepNext w:val="0"/>
        <w:keepLines w:val="0"/>
        <w:pageBreakBefore w:val="0"/>
        <w:widowControl w:val="0"/>
        <w:kinsoku/>
        <w:wordWrap/>
        <w:overflowPunct/>
        <w:topLinePunct w:val="0"/>
        <w:autoSpaceDE/>
        <w:autoSpaceDN/>
        <w:bidi w:val="0"/>
        <w:adjustRightInd/>
        <w:snapToGrid/>
        <w:spacing w:before="0"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如申报企业同一产品分类下有医疗器械注册证只包含含药物涂层产品，其申报价格与不含药物涂层代表品申报价格的比价关系为1.1:1，河北省医用药品器械集中采购中心将统一按照比</w:t>
      </w:r>
      <w:r>
        <w:rPr>
          <w:rFonts w:hint="eastAsia" w:ascii="仿宋" w:hAnsi="仿宋" w:eastAsia="仿宋" w:cs="仿宋"/>
          <w:color w:val="auto"/>
          <w:kern w:val="2"/>
          <w:sz w:val="32"/>
          <w:szCs w:val="32"/>
          <w:highlight w:val="none"/>
          <w:u w:val="none"/>
          <w:lang w:val="en-US" w:eastAsia="zh-CN" w:bidi="ar-SA"/>
        </w:rPr>
        <w:t>价关系对申报的含药物涂层产品价格进行折算，保留到小数点后2位（即0.01），如超出小数点后2位，则四舍五入。折算后的价格与其他不含药物涂层代表品申报价格竞价。如中选，同一产品分类同一医疗器械注册证符合申报条件的所有含药物涂层产</w:t>
      </w:r>
      <w:r>
        <w:rPr>
          <w:rFonts w:hint="eastAsia" w:ascii="仿宋" w:hAnsi="仿宋" w:eastAsia="仿宋" w:cs="仿宋"/>
          <w:color w:val="auto"/>
          <w:sz w:val="32"/>
          <w:szCs w:val="32"/>
          <w:highlight w:val="none"/>
          <w:lang w:val="en-US" w:eastAsia="zh-CN"/>
        </w:rPr>
        <w:t>品按照申报价格供应联盟地区。</w:t>
      </w:r>
    </w:p>
    <w:p>
      <w:pPr>
        <w:pStyle w:val="2"/>
        <w:keepNext w:val="0"/>
        <w:keepLines w:val="0"/>
        <w:pageBreakBefore w:val="0"/>
        <w:widowControl w:val="0"/>
        <w:kinsoku/>
        <w:wordWrap/>
        <w:overflowPunct/>
        <w:topLinePunct w:val="0"/>
        <w:autoSpaceDE/>
        <w:autoSpaceDN/>
        <w:bidi w:val="0"/>
        <w:adjustRightInd/>
        <w:snapToGrid/>
        <w:spacing w:before="0"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申报产品要求以外的其他辅助耗材由申报企业根据申报产品《医疗器械注册证》等因素自行决定是否配备，申报企业的报价中应包含上述辅助耗材的价格。</w:t>
      </w:r>
    </w:p>
    <w:p>
      <w:pPr>
        <w:pStyle w:val="2"/>
        <w:keepNext w:val="0"/>
        <w:keepLines w:val="0"/>
        <w:pageBreakBefore w:val="0"/>
        <w:widowControl w:val="0"/>
        <w:kinsoku/>
        <w:wordWrap/>
        <w:overflowPunct/>
        <w:topLinePunct w:val="0"/>
        <w:autoSpaceDE/>
        <w:autoSpaceDN/>
        <w:bidi w:val="0"/>
        <w:adjustRightInd/>
        <w:snapToGrid/>
        <w:spacing w:before="0"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（四）</w:t>
      </w:r>
      <w:bookmarkEnd w:id="1"/>
      <w:r>
        <w:rPr>
          <w:rFonts w:hint="eastAsia" w:ascii="仿宋" w:hAnsi="仿宋" w:eastAsia="仿宋" w:cs="仿宋"/>
          <w:color w:val="auto"/>
          <w:sz w:val="32"/>
          <w:szCs w:val="32"/>
          <w:highlight w:val="none"/>
          <w:lang w:val="en-US" w:eastAsia="zh-CN"/>
        </w:rPr>
        <w:t>申报企业须在规定时间内，按要求完成报价，未在规定时间内完成报价视为自动放弃。在报价时间截止之后，申</w:t>
      </w:r>
      <w:r>
        <w:rPr>
          <w:rFonts w:hint="eastAsia" w:ascii="仿宋" w:hAnsi="仿宋" w:eastAsia="仿宋" w:cs="仿宋"/>
          <w:color w:val="auto"/>
          <w:sz w:val="32"/>
          <w:szCs w:val="32"/>
          <w:highlight w:val="none"/>
        </w:rPr>
        <w:t>报企</w:t>
      </w:r>
      <w:r>
        <w:rPr>
          <w:rFonts w:hint="eastAsia" w:ascii="仿宋" w:hAnsi="仿宋" w:eastAsia="仿宋" w:cs="仿宋"/>
          <w:color w:val="auto"/>
          <w:sz w:val="32"/>
          <w:szCs w:val="32"/>
          <w:highlight w:val="none"/>
          <w:lang w:val="en-US" w:eastAsia="zh-CN"/>
        </w:rPr>
        <w:t>业不得撤回或修改其报价。</w:t>
      </w:r>
    </w:p>
    <w:p>
      <w:pPr>
        <w:pStyle w:val="2"/>
        <w:keepNext w:val="0"/>
        <w:keepLines w:val="0"/>
        <w:pageBreakBefore w:val="0"/>
        <w:widowControl w:val="0"/>
        <w:kinsoku/>
        <w:overflowPunct/>
        <w:topLinePunct w:val="0"/>
        <w:autoSpaceDE/>
        <w:autoSpaceDN/>
        <w:bidi w:val="0"/>
        <w:adjustRightInd/>
        <w:snapToGrid/>
        <w:spacing w:before="0"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（五）企业申报的价格具有法律效力，申报企业承担相应责任。</w:t>
      </w:r>
    </w:p>
    <w:p>
      <w:pPr>
        <w:pStyle w:val="2"/>
        <w:keepNext w:val="0"/>
        <w:keepLines w:val="0"/>
        <w:pageBreakBefore w:val="0"/>
        <w:widowControl w:val="0"/>
        <w:kinsoku/>
        <w:wordWrap w:val="0"/>
        <w:overflowPunct/>
        <w:topLinePunct w:val="0"/>
        <w:autoSpaceDE/>
        <w:autoSpaceDN/>
        <w:bidi w:val="0"/>
        <w:adjustRightInd/>
        <w:snapToGrid/>
        <w:spacing w:before="0" w:line="56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（六）企业申报</w:t>
      </w:r>
      <w:r>
        <w:rPr>
          <w:rFonts w:hint="eastAsia" w:ascii="仿宋" w:hAnsi="仿宋" w:eastAsia="仿宋" w:cs="仿宋"/>
          <w:color w:val="auto"/>
          <w:sz w:val="32"/>
          <w:szCs w:val="32"/>
          <w:highlight w:val="none"/>
          <w:u w:val="none"/>
        </w:rPr>
        <w:t>医疗器械注册证</w:t>
      </w:r>
      <w:r>
        <w:rPr>
          <w:rFonts w:hint="eastAsia" w:ascii="仿宋" w:hAnsi="仿宋" w:eastAsia="仿宋" w:cs="仿宋"/>
          <w:color w:val="auto"/>
          <w:sz w:val="32"/>
          <w:szCs w:val="32"/>
          <w:highlight w:val="none"/>
          <w:u w:val="none"/>
          <w:lang w:val="en-US" w:eastAsia="zh-CN"/>
        </w:rPr>
        <w:t>产品的</w:t>
      </w:r>
      <w:r>
        <w:rPr>
          <w:rFonts w:hint="eastAsia" w:ascii="仿宋" w:hAnsi="仿宋" w:eastAsia="仿宋" w:cs="仿宋"/>
          <w:color w:val="auto"/>
          <w:sz w:val="32"/>
          <w:szCs w:val="32"/>
          <w:highlight w:val="none"/>
        </w:rPr>
        <w:t>价格须不高于202</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rPr>
        <w:t>年1月1日以来</w:t>
      </w:r>
      <w:r>
        <w:rPr>
          <w:rFonts w:hint="eastAsia" w:ascii="仿宋" w:hAnsi="仿宋" w:eastAsia="仿宋" w:cs="仿宋"/>
          <w:color w:val="auto"/>
          <w:sz w:val="32"/>
          <w:szCs w:val="32"/>
          <w:highlight w:val="none"/>
          <w:u w:val="none"/>
        </w:rPr>
        <w:t>该医疗器械注册证所有符合申报条件产品</w:t>
      </w:r>
      <w:r>
        <w:rPr>
          <w:rFonts w:hint="eastAsia" w:ascii="仿宋" w:hAnsi="仿宋" w:eastAsia="仿宋" w:cs="仿宋"/>
          <w:color w:val="auto"/>
          <w:sz w:val="32"/>
          <w:szCs w:val="32"/>
          <w:highlight w:val="none"/>
        </w:rPr>
        <w:t>在全国省</w:t>
      </w:r>
      <w:r>
        <w:rPr>
          <w:rFonts w:hint="eastAsia" w:ascii="仿宋" w:hAnsi="仿宋" w:eastAsia="仿宋" w:cs="仿宋"/>
          <w:color w:val="auto"/>
          <w:sz w:val="32"/>
          <w:szCs w:val="32"/>
          <w:highlight w:val="none"/>
          <w:lang w:val="en-US" w:eastAsia="zh-CN"/>
        </w:rPr>
        <w:t>级集</w:t>
      </w:r>
      <w:r>
        <w:rPr>
          <w:rFonts w:hint="eastAsia" w:ascii="仿宋" w:hAnsi="仿宋" w:eastAsia="仿宋" w:cs="仿宋"/>
          <w:color w:val="auto"/>
          <w:sz w:val="32"/>
          <w:szCs w:val="32"/>
          <w:highlight w:val="none"/>
        </w:rPr>
        <w:t>中采购机构的最低有效采购（交易）价格，</w:t>
      </w:r>
      <w:r>
        <w:rPr>
          <w:rFonts w:hint="eastAsia" w:ascii="仿宋" w:hAnsi="仿宋" w:eastAsia="仿宋" w:cs="仿宋"/>
          <w:color w:val="auto"/>
          <w:sz w:val="32"/>
          <w:szCs w:val="32"/>
          <w:highlight w:val="none"/>
          <w:lang w:val="en-US" w:eastAsia="zh-CN"/>
        </w:rPr>
        <w:t>且不高于该医疗器械注册证所有符合申报条件产品在全国省和省、市级联盟集中带量采购的最低中选价格(含已产生中选结果未落地执行的价格)</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如中选，</w:t>
      </w:r>
      <w:r>
        <w:rPr>
          <w:rFonts w:hint="eastAsia" w:ascii="仿宋" w:hAnsi="仿宋" w:eastAsia="仿宋" w:cs="仿宋"/>
          <w:color w:val="auto"/>
          <w:sz w:val="32"/>
          <w:szCs w:val="32"/>
          <w:highlight w:val="none"/>
        </w:rPr>
        <w:t>申报企业供应</w:t>
      </w:r>
      <w:r>
        <w:rPr>
          <w:rFonts w:hint="eastAsia" w:ascii="仿宋" w:hAnsi="仿宋" w:eastAsia="仿宋" w:cs="仿宋"/>
          <w:color w:val="auto"/>
          <w:sz w:val="32"/>
          <w:szCs w:val="32"/>
          <w:highlight w:val="none"/>
          <w:lang w:val="en-US" w:eastAsia="zh-CN"/>
        </w:rPr>
        <w:t>品种</w:t>
      </w:r>
      <w:r>
        <w:rPr>
          <w:rFonts w:hint="eastAsia" w:ascii="仿宋" w:hAnsi="仿宋" w:eastAsia="仿宋" w:cs="仿宋"/>
          <w:color w:val="auto"/>
          <w:sz w:val="32"/>
          <w:szCs w:val="32"/>
          <w:highlight w:val="none"/>
        </w:rPr>
        <w:t>清单中如有产品超出上述限价，</w:t>
      </w:r>
      <w:r>
        <w:rPr>
          <w:rFonts w:hint="eastAsia" w:ascii="仿宋" w:hAnsi="仿宋" w:eastAsia="仿宋" w:cs="仿宋"/>
          <w:color w:val="auto"/>
          <w:sz w:val="32"/>
          <w:szCs w:val="32"/>
          <w:highlight w:val="none"/>
          <w:lang w:val="en-US" w:eastAsia="zh-CN"/>
        </w:rPr>
        <w:t>则按照三者中的最低价格供应联盟地区</w:t>
      </w:r>
      <w:r>
        <w:rPr>
          <w:rFonts w:hint="eastAsia" w:ascii="仿宋" w:hAnsi="仿宋" w:eastAsia="仿宋" w:cs="仿宋"/>
          <w:color w:val="auto"/>
          <w:sz w:val="32"/>
          <w:szCs w:val="32"/>
          <w:highlight w:val="none"/>
        </w:rPr>
        <w:t>。报价为0或未报价的视为自动放弃。</w:t>
      </w:r>
    </w:p>
    <w:p>
      <w:pPr>
        <w:pStyle w:val="2"/>
        <w:keepNext w:val="0"/>
        <w:keepLines w:val="0"/>
        <w:pageBreakBefore w:val="0"/>
        <w:widowControl w:val="0"/>
        <w:kinsoku/>
        <w:overflowPunct/>
        <w:topLinePunct w:val="0"/>
        <w:autoSpaceDE/>
        <w:autoSpaceDN/>
        <w:bidi w:val="0"/>
        <w:adjustRightInd/>
        <w:snapToGrid/>
        <w:spacing w:before="0"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（七）企业申报的价格使用货币及单位为人民币（元），价格单位为系统内申报产品的最小使用单位，申报价格保留到小数点后2位（即0.01），如超出小数点后2位，则四舍五入。</w:t>
      </w:r>
    </w:p>
    <w:p>
      <w:pPr>
        <w:pStyle w:val="2"/>
        <w:keepNext w:val="0"/>
        <w:keepLines w:val="0"/>
        <w:pageBreakBefore w:val="0"/>
        <w:widowControl w:val="0"/>
        <w:kinsoku/>
        <w:overflowPunct/>
        <w:topLinePunct w:val="0"/>
        <w:autoSpaceDE/>
        <w:autoSpaceDN/>
        <w:bidi w:val="0"/>
        <w:adjustRightInd/>
        <w:snapToGrid/>
        <w:spacing w:before="0"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八）企业申报价格须包括产品的设计、生产、包装、保险、运输、配送、检测、税费、验收、售后服务、伴随服务等一切费用。中选产品集中带量采购前免费提供的配套工具，本次集中带量采购中选后须继续免费提供。</w:t>
      </w:r>
    </w:p>
    <w:p>
      <w:pPr>
        <w:tabs>
          <w:tab w:val="left" w:pos="3394"/>
        </w:tabs>
        <w:kinsoku w:val="0"/>
        <w:overflowPunct w:val="0"/>
        <w:spacing w:line="560" w:lineRule="exact"/>
        <w:ind w:firstLine="640" w:firstLineChars="200"/>
        <w:rPr>
          <w:rFonts w:hint="eastAsia" w:ascii="黑体" w:hAnsi="黑体" w:eastAsia="黑体" w:cs="仿宋"/>
          <w:color w:val="auto"/>
          <w:sz w:val="32"/>
          <w:szCs w:val="32"/>
          <w:highlight w:val="none"/>
          <w:lang w:eastAsia="zh-CN"/>
        </w:rPr>
      </w:pPr>
      <w:r>
        <w:rPr>
          <w:rFonts w:hint="eastAsia" w:ascii="黑体" w:hAnsi="黑体" w:eastAsia="黑体" w:cs="仿宋"/>
          <w:color w:val="auto"/>
          <w:sz w:val="32"/>
          <w:szCs w:val="32"/>
          <w:highlight w:val="none"/>
        </w:rPr>
        <w:t>五、竞价分组</w:t>
      </w:r>
      <w:r>
        <w:rPr>
          <w:rFonts w:hint="eastAsia" w:ascii="黑体" w:hAnsi="黑体" w:eastAsia="黑体" w:cs="仿宋"/>
          <w:color w:val="auto"/>
          <w:sz w:val="32"/>
          <w:szCs w:val="32"/>
          <w:highlight w:val="none"/>
          <w:lang w:eastAsia="zh-CN"/>
        </w:rPr>
        <w:tab/>
      </w:r>
    </w:p>
    <w:p>
      <w:pPr>
        <w:wordWrap w:val="0"/>
        <w:spacing w:line="560" w:lineRule="exact"/>
        <w:ind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根据</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医疗机构医用耗材临床使用习惯</w:t>
      </w:r>
      <w:r>
        <w:rPr>
          <w:rFonts w:hint="eastAsia" w:ascii="仿宋" w:hAnsi="仿宋" w:eastAsia="仿宋" w:cs="仿宋"/>
          <w:color w:val="auto"/>
          <w:sz w:val="32"/>
          <w:szCs w:val="32"/>
          <w:highlight w:val="none"/>
          <w:lang w:eastAsia="zh-CN"/>
        </w:rPr>
        <w:t>。</w:t>
      </w:r>
    </w:p>
    <w:p>
      <w:pPr>
        <w:wordWrap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1.产品分类为分叉型、阶梯型的</w:t>
      </w:r>
      <w:r>
        <w:rPr>
          <w:rFonts w:hint="eastAsia" w:ascii="仿宋" w:hAnsi="仿宋" w:eastAsia="仿宋" w:cs="仿宋"/>
          <w:color w:val="auto"/>
          <w:sz w:val="32"/>
          <w:szCs w:val="32"/>
          <w:highlight w:val="none"/>
        </w:rPr>
        <w:t>形成A、B两个竞价组，符合以下条件的申</w:t>
      </w:r>
      <w:r>
        <w:rPr>
          <w:rFonts w:hint="eastAsia" w:ascii="仿宋" w:hAnsi="仿宋" w:eastAsia="仿宋" w:cs="仿宋"/>
          <w:color w:val="auto"/>
          <w:sz w:val="32"/>
          <w:szCs w:val="32"/>
          <w:highlight w:val="none"/>
          <w:lang w:val="en-US" w:eastAsia="zh-CN"/>
        </w:rPr>
        <w:t>报医疗器械注册证</w:t>
      </w:r>
      <w:r>
        <w:rPr>
          <w:rFonts w:hint="eastAsia" w:ascii="仿宋" w:hAnsi="仿宋" w:eastAsia="仿宋" w:cs="仿宋"/>
          <w:color w:val="auto"/>
          <w:sz w:val="32"/>
          <w:szCs w:val="32"/>
          <w:highlight w:val="none"/>
        </w:rPr>
        <w:t>列入A组，其他</w:t>
      </w:r>
      <w:r>
        <w:rPr>
          <w:rFonts w:hint="eastAsia" w:ascii="仿宋" w:hAnsi="仿宋" w:eastAsia="仿宋" w:cs="仿宋"/>
          <w:color w:val="auto"/>
          <w:sz w:val="32"/>
          <w:szCs w:val="32"/>
          <w:highlight w:val="none"/>
          <w:lang w:val="en-US" w:eastAsia="zh-CN"/>
        </w:rPr>
        <w:t>医疗器械注册证</w:t>
      </w:r>
      <w:r>
        <w:rPr>
          <w:rFonts w:hint="eastAsia" w:ascii="仿宋" w:hAnsi="仿宋" w:eastAsia="仿宋" w:cs="仿宋"/>
          <w:color w:val="auto"/>
          <w:sz w:val="32"/>
          <w:szCs w:val="32"/>
          <w:highlight w:val="none"/>
        </w:rPr>
        <w:t>列入B组：</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以申报</w:t>
      </w:r>
      <w:r>
        <w:rPr>
          <w:rFonts w:hint="eastAsia" w:ascii="仿宋" w:hAnsi="仿宋" w:eastAsia="仿宋" w:cs="仿宋"/>
          <w:color w:val="auto"/>
          <w:sz w:val="32"/>
          <w:szCs w:val="32"/>
          <w:highlight w:val="none"/>
          <w:lang w:val="en-US" w:eastAsia="zh-CN"/>
        </w:rPr>
        <w:t>医疗器械注册证</w:t>
      </w:r>
      <w:r>
        <w:rPr>
          <w:rFonts w:hint="eastAsia" w:ascii="仿宋" w:hAnsi="仿宋" w:eastAsia="仿宋" w:cs="仿宋"/>
          <w:color w:val="auto"/>
          <w:sz w:val="32"/>
          <w:szCs w:val="32"/>
          <w:highlight w:val="none"/>
        </w:rPr>
        <w:t>为单位，合并符合申报条件的</w:t>
      </w:r>
      <w:r>
        <w:rPr>
          <w:rFonts w:hint="eastAsia" w:ascii="仿宋" w:hAnsi="仿宋" w:eastAsia="仿宋" w:cs="仿宋"/>
          <w:color w:val="auto"/>
          <w:sz w:val="32"/>
          <w:szCs w:val="32"/>
          <w:highlight w:val="none"/>
          <w:lang w:val="en-US" w:eastAsia="zh-CN"/>
        </w:rPr>
        <w:t>同一医疗器械</w:t>
      </w:r>
      <w:r>
        <w:rPr>
          <w:rFonts w:hint="eastAsia" w:ascii="仿宋" w:hAnsi="仿宋" w:eastAsia="仿宋" w:cs="仿宋"/>
          <w:color w:val="auto"/>
          <w:sz w:val="32"/>
          <w:szCs w:val="32"/>
          <w:highlight w:val="none"/>
        </w:rPr>
        <w:t>注册证</w:t>
      </w:r>
      <w:r>
        <w:rPr>
          <w:rFonts w:hint="eastAsia" w:ascii="仿宋" w:hAnsi="仿宋" w:eastAsia="仿宋" w:cs="仿宋"/>
          <w:color w:val="auto"/>
          <w:sz w:val="32"/>
          <w:szCs w:val="32"/>
          <w:highlight w:val="none"/>
          <w:lang w:val="en-US" w:eastAsia="zh-CN"/>
        </w:rPr>
        <w:t>所有规格型号的</w:t>
      </w:r>
      <w:r>
        <w:rPr>
          <w:rFonts w:hint="eastAsia" w:ascii="仿宋" w:hAnsi="仿宋" w:eastAsia="仿宋" w:cs="仿宋"/>
          <w:color w:val="auto"/>
          <w:sz w:val="32"/>
          <w:szCs w:val="32"/>
          <w:highlight w:val="none"/>
        </w:rPr>
        <w:t>产品，</w:t>
      </w:r>
      <w:r>
        <w:rPr>
          <w:rFonts w:hint="eastAsia" w:ascii="仿宋" w:hAnsi="仿宋" w:eastAsia="仿宋" w:cs="仿宋"/>
          <w:color w:val="auto"/>
          <w:sz w:val="32"/>
          <w:szCs w:val="32"/>
          <w:highlight w:val="none"/>
          <w:shd w:val="clear" w:color="auto" w:fill="FFFFFF"/>
        </w:rPr>
        <w:t>按医疗机构采购需求量从多到少依次排序，取累计采购需求量前</w:t>
      </w:r>
      <w:r>
        <w:rPr>
          <w:rFonts w:hint="eastAsia" w:eastAsia="仿宋"/>
          <w:color w:val="auto"/>
          <w:sz w:val="32"/>
          <w:szCs w:val="32"/>
          <w:highlight w:val="none"/>
          <w:shd w:val="clear" w:color="auto" w:fill="FFFFFF"/>
        </w:rPr>
        <w:t>6</w:t>
      </w:r>
      <w:r>
        <w:rPr>
          <w:color w:val="auto"/>
          <w:sz w:val="32"/>
          <w:szCs w:val="32"/>
          <w:highlight w:val="none"/>
          <w:shd w:val="clear" w:color="auto" w:fill="FFFFFF"/>
        </w:rPr>
        <w:t>0%</w:t>
      </w:r>
      <w:r>
        <w:rPr>
          <w:rFonts w:hint="eastAsia" w:ascii="仿宋" w:hAnsi="仿宋" w:eastAsia="仿宋" w:cs="仿宋"/>
          <w:color w:val="auto"/>
          <w:sz w:val="32"/>
          <w:szCs w:val="32"/>
          <w:highlight w:val="none"/>
          <w:shd w:val="clear" w:color="auto" w:fill="FFFFFF"/>
        </w:rPr>
        <w:t>所涵盖的</w:t>
      </w:r>
      <w:r>
        <w:rPr>
          <w:rFonts w:hint="eastAsia" w:ascii="仿宋" w:hAnsi="仿宋" w:eastAsia="仿宋" w:cs="仿宋"/>
          <w:color w:val="auto"/>
          <w:sz w:val="32"/>
          <w:szCs w:val="32"/>
          <w:highlight w:val="none"/>
          <w:lang w:val="en-US" w:eastAsia="zh-CN"/>
        </w:rPr>
        <w:t>医疗器械</w:t>
      </w:r>
      <w:r>
        <w:rPr>
          <w:rFonts w:hint="eastAsia" w:ascii="仿宋" w:hAnsi="仿宋" w:eastAsia="仿宋" w:cs="仿宋"/>
          <w:color w:val="auto"/>
          <w:sz w:val="32"/>
          <w:szCs w:val="32"/>
          <w:highlight w:val="none"/>
        </w:rPr>
        <w:t>注册证列入A组，</w:t>
      </w:r>
      <w:r>
        <w:rPr>
          <w:rFonts w:hint="eastAsia" w:ascii="仿宋" w:hAnsi="仿宋" w:eastAsia="仿宋" w:cs="仿宋"/>
          <w:color w:val="auto"/>
          <w:sz w:val="32"/>
          <w:szCs w:val="32"/>
          <w:highlight w:val="none"/>
          <w:lang w:val="en-US" w:eastAsia="zh-CN"/>
        </w:rPr>
        <w:t>A组最少医疗器械</w:t>
      </w:r>
      <w:r>
        <w:rPr>
          <w:rFonts w:hint="eastAsia" w:ascii="仿宋" w:hAnsi="仿宋" w:eastAsia="仿宋" w:cs="仿宋"/>
          <w:color w:val="auto"/>
          <w:sz w:val="32"/>
          <w:szCs w:val="32"/>
          <w:highlight w:val="none"/>
        </w:rPr>
        <w:t>注册证</w:t>
      </w:r>
      <w:r>
        <w:rPr>
          <w:rFonts w:hint="eastAsia" w:ascii="仿宋" w:hAnsi="仿宋" w:eastAsia="仿宋" w:cs="仿宋"/>
          <w:color w:val="auto"/>
          <w:sz w:val="32"/>
          <w:szCs w:val="32"/>
          <w:highlight w:val="none"/>
          <w:lang w:val="en-US" w:eastAsia="zh-CN"/>
        </w:rPr>
        <w:t>数量为3个，</w:t>
      </w:r>
      <w:r>
        <w:rPr>
          <w:rFonts w:hint="eastAsia" w:ascii="仿宋" w:hAnsi="仿宋" w:eastAsia="仿宋" w:cs="仿宋"/>
          <w:color w:val="auto"/>
          <w:sz w:val="32"/>
          <w:szCs w:val="32"/>
          <w:highlight w:val="none"/>
        </w:rPr>
        <w:t>不足</w:t>
      </w:r>
      <w:r>
        <w:rPr>
          <w:rFonts w:hint="eastAsia" w:ascii="仿宋" w:hAnsi="仿宋" w:eastAsia="仿宋" w:cs="仿宋"/>
          <w:color w:val="auto"/>
          <w:sz w:val="32"/>
          <w:szCs w:val="32"/>
          <w:highlight w:val="none"/>
          <w:lang w:val="en-US" w:eastAsia="zh-CN"/>
        </w:rPr>
        <w:t>3个</w:t>
      </w:r>
      <w:r>
        <w:rPr>
          <w:rFonts w:hint="eastAsia" w:ascii="仿宋" w:hAnsi="仿宋" w:eastAsia="仿宋" w:cs="仿宋"/>
          <w:color w:val="auto"/>
          <w:sz w:val="32"/>
          <w:szCs w:val="32"/>
          <w:highlight w:val="none"/>
        </w:rPr>
        <w:t>按需求量从高到低排名补足</w:t>
      </w:r>
      <w:r>
        <w:rPr>
          <w:rFonts w:hint="eastAsia" w:ascii="仿宋" w:hAnsi="仿宋" w:eastAsia="仿宋" w:cs="仿宋"/>
          <w:color w:val="auto"/>
          <w:sz w:val="32"/>
          <w:szCs w:val="32"/>
          <w:highlight w:val="none"/>
          <w:lang w:val="en-US" w:eastAsia="zh-CN"/>
        </w:rPr>
        <w:t>3个</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A组最多医疗器械</w:t>
      </w:r>
      <w:r>
        <w:rPr>
          <w:rFonts w:hint="eastAsia" w:ascii="仿宋" w:hAnsi="仿宋" w:eastAsia="仿宋" w:cs="仿宋"/>
          <w:color w:val="auto"/>
          <w:sz w:val="32"/>
          <w:szCs w:val="32"/>
          <w:highlight w:val="none"/>
        </w:rPr>
        <w:t>注册证</w:t>
      </w:r>
      <w:r>
        <w:rPr>
          <w:rFonts w:hint="eastAsia" w:ascii="仿宋" w:hAnsi="仿宋" w:eastAsia="仿宋" w:cs="仿宋"/>
          <w:color w:val="auto"/>
          <w:sz w:val="32"/>
          <w:szCs w:val="32"/>
          <w:highlight w:val="none"/>
          <w:lang w:val="en-US" w:eastAsia="zh-CN"/>
        </w:rPr>
        <w:t>数量依据有效申报医疗器械</w:t>
      </w:r>
      <w:r>
        <w:rPr>
          <w:rFonts w:hint="eastAsia" w:ascii="仿宋" w:hAnsi="仿宋" w:eastAsia="仿宋" w:cs="仿宋"/>
          <w:color w:val="auto"/>
          <w:sz w:val="32"/>
          <w:szCs w:val="32"/>
          <w:highlight w:val="none"/>
        </w:rPr>
        <w:t>注册证</w:t>
      </w:r>
      <w:r>
        <w:rPr>
          <w:rFonts w:hint="eastAsia" w:ascii="仿宋" w:hAnsi="仿宋" w:eastAsia="仿宋" w:cs="仿宋"/>
          <w:color w:val="auto"/>
          <w:sz w:val="32"/>
          <w:szCs w:val="32"/>
          <w:highlight w:val="none"/>
          <w:lang w:val="en-US" w:eastAsia="zh-CN"/>
        </w:rPr>
        <w:t>数量确定，具体为“N-3”，N为有效申报医疗器械注册证数量。</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default"/>
          <w:color w:val="auto"/>
          <w:highlight w:val="none"/>
          <w:lang w:val="en-US" w:eastAsia="zh-CN"/>
        </w:rPr>
      </w:pPr>
      <w:r>
        <w:rPr>
          <w:rFonts w:hint="eastAsia" w:ascii="仿宋" w:hAnsi="仿宋" w:eastAsia="仿宋" w:cs="仿宋"/>
          <w:color w:val="auto"/>
          <w:kern w:val="2"/>
          <w:sz w:val="32"/>
          <w:szCs w:val="32"/>
          <w:highlight w:val="none"/>
          <w:lang w:val="en-US" w:eastAsia="zh-CN" w:bidi="ar-SA"/>
        </w:rPr>
        <w:t xml:space="preserve">2.产品分类为对称型的产品不区分竞价组。  </w:t>
      </w:r>
    </w:p>
    <w:p>
      <w:pPr>
        <w:kinsoku w:val="0"/>
        <w:overflowPunct w:val="0"/>
        <w:spacing w:line="560" w:lineRule="exact"/>
        <w:ind w:firstLine="640" w:firstLineChars="200"/>
        <w:rPr>
          <w:rFonts w:hint="eastAsia" w:ascii="黑体" w:hAnsi="黑体" w:eastAsia="黑体" w:cs="仿宋"/>
          <w:color w:val="auto"/>
          <w:sz w:val="32"/>
          <w:szCs w:val="32"/>
          <w:highlight w:val="none"/>
          <w:lang w:val="en-US" w:eastAsia="zh-CN"/>
        </w:rPr>
      </w:pPr>
      <w:r>
        <w:rPr>
          <w:rFonts w:hint="eastAsia" w:ascii="黑体" w:hAnsi="黑体" w:eastAsia="黑体" w:cs="仿宋"/>
          <w:color w:val="auto"/>
          <w:sz w:val="32"/>
          <w:szCs w:val="32"/>
          <w:highlight w:val="none"/>
        </w:rPr>
        <w:t>六、拟中选规</w:t>
      </w:r>
      <w:r>
        <w:rPr>
          <w:rFonts w:hint="eastAsia" w:ascii="黑体" w:hAnsi="黑体" w:eastAsia="黑体" w:cs="仿宋"/>
          <w:color w:val="auto"/>
          <w:sz w:val="32"/>
          <w:szCs w:val="32"/>
          <w:highlight w:val="none"/>
          <w:lang w:val="en-US" w:eastAsia="zh-CN"/>
        </w:rPr>
        <w:t>则</w:t>
      </w:r>
    </w:p>
    <w:p>
      <w:pPr>
        <w:kinsoku w:val="0"/>
        <w:overflowPunct w:val="0"/>
        <w:spacing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（一）产品排名</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1.产品分类为</w:t>
      </w:r>
      <w:r>
        <w:rPr>
          <w:rFonts w:hint="eastAsia" w:ascii="仿宋" w:hAnsi="仿宋" w:eastAsia="仿宋" w:cs="Times New Roman"/>
          <w:color w:val="auto"/>
          <w:sz w:val="32"/>
          <w:szCs w:val="32"/>
          <w:highlight w:val="none"/>
          <w:u w:val="none"/>
          <w:lang w:val="en-US" w:eastAsia="zh-CN"/>
        </w:rPr>
        <w:t>“分叉型、阶梯型”</w:t>
      </w:r>
      <w:r>
        <w:rPr>
          <w:rFonts w:hint="eastAsia" w:ascii="仿宋" w:hAnsi="仿宋" w:eastAsia="仿宋" w:cs="仿宋"/>
          <w:color w:val="auto"/>
          <w:kern w:val="2"/>
          <w:sz w:val="32"/>
          <w:szCs w:val="32"/>
          <w:highlight w:val="none"/>
          <w:lang w:val="en-US" w:eastAsia="zh-CN" w:bidi="ar-SA"/>
        </w:rPr>
        <w:t>，每个竞价组内按医疗器械注册证有效申报价格由低到高的顺序确定排名，申报价格最低的为第一名，次低的为第二名，以此类推。</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产品分类为对称型，按医疗器械注册证有效申报价格由低到高的顺序确定排名，申报价格最低的为第一名，次低的为第二名，以此类推。</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2.当出现有效申报价格相同的情况，以需求量多的优先。</w:t>
      </w:r>
    </w:p>
    <w:p>
      <w:pPr>
        <w:kinsoku w:val="0"/>
        <w:overflowPunct w:val="0"/>
        <w:spacing w:line="560" w:lineRule="exact"/>
        <w:ind w:firstLine="640" w:firstLineChars="200"/>
        <w:rPr>
          <w:rFonts w:hint="eastAsia" w:ascii="楷体" w:hAnsi="楷体" w:eastAsia="楷体" w:cs="楷体"/>
          <w:color w:val="auto"/>
          <w:sz w:val="32"/>
          <w:szCs w:val="32"/>
          <w:highlight w:val="none"/>
        </w:rPr>
      </w:pPr>
      <w:bookmarkStart w:id="2" w:name="_Hlk118289749"/>
      <w:r>
        <w:rPr>
          <w:rFonts w:hint="eastAsia" w:ascii="楷体" w:hAnsi="楷体" w:eastAsia="楷体" w:cs="楷体"/>
          <w:color w:val="auto"/>
          <w:sz w:val="32"/>
          <w:szCs w:val="32"/>
          <w:highlight w:val="none"/>
        </w:rPr>
        <w:t>（二）拟中选规则</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按照以下规则先后顺序确定拟中选医疗器械注册证。</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Times New Roman"/>
          <w:color w:val="auto"/>
          <w:sz w:val="32"/>
          <w:szCs w:val="32"/>
          <w:highlight w:val="none"/>
          <w:u w:val="none"/>
          <w:lang w:val="en-US" w:eastAsia="zh-CN"/>
        </w:rPr>
      </w:pPr>
      <w:r>
        <w:rPr>
          <w:rFonts w:hint="eastAsia" w:ascii="仿宋" w:hAnsi="仿宋" w:eastAsia="仿宋" w:cs="仿宋"/>
          <w:color w:val="auto"/>
          <w:kern w:val="2"/>
          <w:sz w:val="32"/>
          <w:szCs w:val="32"/>
          <w:highlight w:val="none"/>
          <w:lang w:val="en-US" w:eastAsia="zh-CN" w:bidi="ar-SA"/>
        </w:rPr>
        <w:t>1.产品分类为</w:t>
      </w:r>
      <w:r>
        <w:rPr>
          <w:rFonts w:hint="eastAsia" w:ascii="仿宋" w:hAnsi="仿宋" w:eastAsia="仿宋" w:cs="Times New Roman"/>
          <w:color w:val="auto"/>
          <w:sz w:val="32"/>
          <w:szCs w:val="32"/>
          <w:highlight w:val="none"/>
          <w:u w:val="none"/>
          <w:lang w:val="en-US" w:eastAsia="zh-CN"/>
        </w:rPr>
        <w:t>“分叉型、阶梯型”</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（1）A组中选率最高70%，B组中选率最高70%。最多拟中选医疗器械注册证数量依据组内有效申报价格医疗器械注册证数量确定，并四舍五入保留整数。</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（2）每个竞价组内的申报医疗器械注册证采取竞价方式确定拟中选，同竞价组内最高拟中选价格不得超过最低拟中选价格的1.5倍，若高于最低拟中选价格1.5倍，则申报医疗器械注册证产品为非拟中选产品。</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（3）B组拟中选价格不高于A组平均拟中选价格（含补救和谈判拟中选），若B组申报价格高于A组平均拟中选价格，则申报医疗器械注册证产品为非中选产品。</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（4）每个竞价组内有效申报价格医疗器械注册证数量为1个或有效申报价格企业为1家时，通过谈判议价确定拟中选医疗器械注册证。</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default"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2.产品分类为对称型</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（1）中选率最高70%。最多拟中选医疗器械注册证数量依据有效申报价格医疗器械注册证数量确定，并四舍五入保留整数。</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（2）申报医疗器械注册证采取竞价方式确定拟中选，最高拟中选价格不得超过最低拟中选价格的1.5倍，若高于最低拟中选价格1.5倍，则申报医疗器械注册证产品为非拟中选产品。</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（3）有效申报价格医疗器械注册证数量为1个或有效申报价格企业为1家时，通过谈判议价确定拟中选医疗器械注册证。</w:t>
      </w:r>
    </w:p>
    <w:p>
      <w:pPr>
        <w:numPr>
          <w:ilvl w:val="0"/>
          <w:numId w:val="0"/>
        </w:numPr>
        <w:kinsoku w:val="0"/>
        <w:overflowPunct w:val="0"/>
        <w:spacing w:line="560" w:lineRule="exact"/>
        <w:ind w:firstLine="640" w:firstLineChars="200"/>
        <w:rPr>
          <w:rFonts w:hint="eastAsia" w:eastAsia="楷体"/>
          <w:b/>
          <w:bCs/>
          <w:color w:val="auto"/>
          <w:highlight w:val="none"/>
          <w:lang w:val="en-US" w:eastAsia="zh-CN"/>
        </w:rPr>
      </w:pP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lang w:val="en-US" w:eastAsia="zh-CN"/>
        </w:rPr>
        <w:t>三</w:t>
      </w: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rPr>
        <w:t>熔断补救机制</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Times New Roman"/>
          <w:color w:val="auto"/>
          <w:kern w:val="2"/>
          <w:sz w:val="32"/>
          <w:szCs w:val="32"/>
          <w:highlight w:val="none"/>
          <w:u w:val="none"/>
          <w:lang w:val="en-US" w:eastAsia="zh-CN" w:bidi="ar-SA"/>
        </w:rPr>
      </w:pPr>
      <w:r>
        <w:rPr>
          <w:rFonts w:hint="eastAsia" w:ascii="仿宋" w:hAnsi="仿宋" w:eastAsia="仿宋" w:cs="Times New Roman"/>
          <w:color w:val="auto"/>
          <w:sz w:val="32"/>
          <w:szCs w:val="32"/>
          <w:highlight w:val="none"/>
          <w:u w:val="none"/>
          <w:lang w:val="en-US" w:eastAsia="zh-CN"/>
        </w:rPr>
        <w:t>1.产品分类为“分叉型、阶梯型”,</w:t>
      </w:r>
      <w:r>
        <w:rPr>
          <w:rFonts w:hint="eastAsia" w:ascii="仿宋" w:hAnsi="仿宋" w:eastAsia="仿宋" w:cs="Times New Roman"/>
          <w:color w:val="auto"/>
          <w:kern w:val="2"/>
          <w:sz w:val="32"/>
          <w:szCs w:val="32"/>
          <w:highlight w:val="none"/>
          <w:u w:val="none"/>
          <w:lang w:val="en-US" w:eastAsia="zh-CN" w:bidi="ar-SA"/>
        </w:rPr>
        <w:t>满足以下条件之一的，适用熔断补救机制。</w:t>
      </w:r>
    </w:p>
    <w:p>
      <w:pPr>
        <w:pStyle w:val="2"/>
        <w:keepNext w:val="0"/>
        <w:keepLines w:val="0"/>
        <w:pageBreakBefore w:val="0"/>
        <w:widowControl w:val="0"/>
        <w:kinsoku/>
        <w:wordWrap/>
        <w:overflowPunct/>
        <w:topLinePunct w:val="0"/>
        <w:autoSpaceDE/>
        <w:autoSpaceDN/>
        <w:bidi w:val="0"/>
        <w:adjustRightInd/>
        <w:snapToGrid/>
        <w:spacing w:before="0" w:beforeLines="0" w:line="560" w:lineRule="exact"/>
        <w:ind w:firstLine="640" w:firstLineChars="200"/>
        <w:textAlignment w:val="auto"/>
        <w:rPr>
          <w:rFonts w:hint="eastAsia" w:ascii="仿宋" w:hAnsi="仿宋" w:eastAsia="仿宋" w:cs="Times New Roman"/>
          <w:color w:val="auto"/>
          <w:kern w:val="2"/>
          <w:sz w:val="32"/>
          <w:szCs w:val="32"/>
          <w:highlight w:val="none"/>
          <w:u w:val="none"/>
          <w:lang w:val="en-US" w:eastAsia="zh-CN" w:bidi="ar-SA"/>
        </w:rPr>
      </w:pPr>
      <w:r>
        <w:rPr>
          <w:rFonts w:hint="eastAsia" w:ascii="仿宋" w:hAnsi="仿宋" w:eastAsia="仿宋" w:cs="Times New Roman"/>
          <w:color w:val="auto"/>
          <w:kern w:val="2"/>
          <w:sz w:val="32"/>
          <w:szCs w:val="32"/>
          <w:highlight w:val="none"/>
          <w:u w:val="none"/>
          <w:lang w:val="en-US" w:eastAsia="zh-CN" w:bidi="ar-SA"/>
        </w:rPr>
        <w:t>（1）当A组有效申报医疗器械注册证数量大于3个时。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Times New Roman"/>
          <w:color w:val="auto"/>
          <w:kern w:val="2"/>
          <w:sz w:val="32"/>
          <w:szCs w:val="32"/>
          <w:highlight w:val="none"/>
          <w:u w:val="none"/>
          <w:lang w:val="en-US" w:eastAsia="zh-CN" w:bidi="ar-SA"/>
        </w:rPr>
      </w:pPr>
      <w:r>
        <w:rPr>
          <w:rFonts w:hint="eastAsia" w:ascii="仿宋" w:hAnsi="仿宋" w:eastAsia="仿宋" w:cs="Times New Roman"/>
          <w:color w:val="auto"/>
          <w:kern w:val="2"/>
          <w:sz w:val="32"/>
          <w:szCs w:val="32"/>
          <w:highlight w:val="none"/>
          <w:u w:val="none"/>
          <w:lang w:val="en-US" w:eastAsia="zh-CN" w:bidi="ar-SA"/>
        </w:rPr>
        <w:t>（2）当A组有效申报医疗器械注册证数量为3个且拟中选医疗器械注册证数量为1个时。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Times New Roman"/>
          <w:color w:val="auto"/>
          <w:sz w:val="32"/>
          <w:szCs w:val="32"/>
          <w:highlight w:val="none"/>
          <w:u w:val="none"/>
          <w:lang w:val="en-US" w:eastAsia="zh-CN"/>
        </w:rPr>
      </w:pPr>
      <w:r>
        <w:rPr>
          <w:rFonts w:hint="eastAsia" w:ascii="仿宋" w:hAnsi="仿宋" w:eastAsia="仿宋" w:cs="Times New Roman"/>
          <w:color w:val="auto"/>
          <w:kern w:val="2"/>
          <w:sz w:val="32"/>
          <w:szCs w:val="32"/>
          <w:highlight w:val="none"/>
          <w:u w:val="none"/>
          <w:lang w:val="en-US" w:eastAsia="zh-CN" w:bidi="ar-SA"/>
        </w:rPr>
        <w:t>熔断补救机制按照以下原则确定。</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（1）当A组拟中选医疗器械注册证数未达到70%中选率且小于等于2个时，即为熔断。触发熔断补救机制。</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A组非拟中选医疗器械注册证，确认价格不高于同竞价组最低拟中选价格1.5倍（含），在拟中选医疗器械注册证之后按照确认价格由低到高依次排序，如确认价格相同以需求量多的优先，A组实际中选率最高70%（四舍五入到整数），符合以上条件的确定为拟中选医疗器械注册证。</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（3）启动熔断补救机制后，如A组实际中选率未达到70%（四舍五入到整数）且不能满足联盟地区临床需求，则启动谈判机制，通过谈判议价确定拟中选医疗器械注册证。</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Times New Roman"/>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lang w:val="en-US" w:eastAsia="zh-CN" w:bidi="ar-SA"/>
        </w:rPr>
        <w:t>2.产品分类为对称型,</w:t>
      </w:r>
      <w:r>
        <w:rPr>
          <w:rFonts w:hint="eastAsia" w:ascii="仿宋" w:hAnsi="仿宋" w:eastAsia="仿宋" w:cs="Times New Roman"/>
          <w:color w:val="auto"/>
          <w:kern w:val="2"/>
          <w:sz w:val="32"/>
          <w:szCs w:val="32"/>
          <w:highlight w:val="none"/>
          <w:u w:val="none"/>
          <w:lang w:val="en-US" w:eastAsia="zh-CN" w:bidi="ar-SA"/>
        </w:rPr>
        <w:t>满足以下条件之一的，适用熔断补救机制。</w:t>
      </w:r>
    </w:p>
    <w:p>
      <w:pPr>
        <w:pStyle w:val="2"/>
        <w:keepNext w:val="0"/>
        <w:keepLines w:val="0"/>
        <w:pageBreakBefore w:val="0"/>
        <w:widowControl w:val="0"/>
        <w:kinsoku/>
        <w:wordWrap/>
        <w:overflowPunct/>
        <w:topLinePunct w:val="0"/>
        <w:autoSpaceDE/>
        <w:autoSpaceDN/>
        <w:bidi w:val="0"/>
        <w:adjustRightInd/>
        <w:snapToGrid/>
        <w:spacing w:before="0" w:beforeLines="0" w:line="560" w:lineRule="exact"/>
        <w:ind w:firstLine="640" w:firstLineChars="200"/>
        <w:textAlignment w:val="auto"/>
        <w:rPr>
          <w:rFonts w:hint="eastAsia" w:ascii="仿宋" w:hAnsi="仿宋" w:eastAsia="仿宋" w:cs="Times New Roman"/>
          <w:color w:val="auto"/>
          <w:kern w:val="2"/>
          <w:sz w:val="32"/>
          <w:szCs w:val="32"/>
          <w:highlight w:val="none"/>
          <w:u w:val="none"/>
          <w:lang w:val="en-US" w:eastAsia="zh-CN" w:bidi="ar-SA"/>
        </w:rPr>
      </w:pPr>
      <w:r>
        <w:rPr>
          <w:rFonts w:hint="eastAsia" w:ascii="仿宋" w:hAnsi="仿宋" w:eastAsia="仿宋" w:cs="Times New Roman"/>
          <w:color w:val="auto"/>
          <w:kern w:val="2"/>
          <w:sz w:val="32"/>
          <w:szCs w:val="32"/>
          <w:highlight w:val="none"/>
          <w:u w:val="none"/>
          <w:lang w:val="en-US" w:eastAsia="zh-CN" w:bidi="ar-SA"/>
        </w:rPr>
        <w:t>（1）当有效申报医疗器械注册证数量大于3个时。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Times New Roman"/>
          <w:color w:val="auto"/>
          <w:kern w:val="2"/>
          <w:sz w:val="32"/>
          <w:szCs w:val="32"/>
          <w:highlight w:val="none"/>
          <w:u w:val="none"/>
          <w:lang w:val="en-US" w:eastAsia="zh-CN" w:bidi="ar-SA"/>
        </w:rPr>
      </w:pPr>
      <w:r>
        <w:rPr>
          <w:rFonts w:hint="eastAsia" w:ascii="仿宋" w:hAnsi="仿宋" w:eastAsia="仿宋" w:cs="Times New Roman"/>
          <w:color w:val="auto"/>
          <w:kern w:val="2"/>
          <w:sz w:val="32"/>
          <w:szCs w:val="32"/>
          <w:highlight w:val="none"/>
          <w:u w:val="none"/>
          <w:lang w:val="en-US" w:eastAsia="zh-CN" w:bidi="ar-SA"/>
        </w:rPr>
        <w:t>（2）当有效申报医疗器械注册证数量为3个且拟中选医疗器械注册证数量为1个时。</w:t>
      </w:r>
    </w:p>
    <w:p>
      <w:pPr>
        <w:pStyle w:val="2"/>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default"/>
          <w:color w:val="auto"/>
          <w:highlight w:val="none"/>
          <w:lang w:val="en-US" w:eastAsia="zh-CN"/>
        </w:rPr>
      </w:pPr>
      <w:r>
        <w:rPr>
          <w:rFonts w:hint="eastAsia" w:ascii="仿宋" w:hAnsi="仿宋" w:eastAsia="仿宋" w:cs="Times New Roman"/>
          <w:color w:val="auto"/>
          <w:kern w:val="2"/>
          <w:sz w:val="32"/>
          <w:szCs w:val="32"/>
          <w:highlight w:val="none"/>
          <w:u w:val="none"/>
          <w:lang w:val="en-US" w:eastAsia="zh-CN" w:bidi="ar-SA"/>
        </w:rPr>
        <w:t>熔断补救机制按照以下原则确定。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Times New Roman"/>
          <w:color w:val="auto"/>
          <w:sz w:val="32"/>
          <w:szCs w:val="32"/>
          <w:highlight w:val="none"/>
          <w:u w:val="none"/>
          <w:lang w:val="en-US" w:eastAsia="zh-CN"/>
        </w:rPr>
      </w:pPr>
      <w:r>
        <w:rPr>
          <w:rFonts w:hint="eastAsia" w:ascii="仿宋" w:hAnsi="仿宋" w:eastAsia="仿宋" w:cs="Times New Roman"/>
          <w:color w:val="auto"/>
          <w:sz w:val="32"/>
          <w:szCs w:val="32"/>
          <w:highlight w:val="none"/>
          <w:u w:val="none"/>
          <w:lang w:val="en-US" w:eastAsia="zh-CN"/>
        </w:rPr>
        <w:t>（1）当拟中选医疗器械注册证数未达到70%中选率且小于等于2个时，即为熔断。触发熔断补救机制。</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非拟中选医疗器械注册证，确认价格不高于最低拟中选价格1.5倍（含），在拟中选医疗器械注册证之后按照确认价格由低到高依次排序，如确认价格相同以需求量多的优先，实际中选率最高70%（四舍五入到整数），符合以上条件的确定为拟中选医疗器械注册证。</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color w:val="auto"/>
          <w:highlight w:val="none"/>
          <w:lang w:val="en-US" w:eastAsia="zh-CN"/>
        </w:rPr>
      </w:pPr>
      <w:r>
        <w:rPr>
          <w:rFonts w:hint="eastAsia" w:ascii="仿宋" w:hAnsi="仿宋" w:eastAsia="仿宋" w:cs="仿宋"/>
          <w:color w:val="auto"/>
          <w:kern w:val="2"/>
          <w:sz w:val="32"/>
          <w:szCs w:val="32"/>
          <w:highlight w:val="none"/>
          <w:lang w:val="en-US" w:eastAsia="zh-CN" w:bidi="ar-SA"/>
        </w:rPr>
        <w:t>（3）启动熔断补救机制后，如实际中选率未达到70%（四舍五入到整数）且不能满足联盟地区临床需求，则启动谈判机制，通过谈判议价确定拟中选医疗器械注册证。</w:t>
      </w:r>
    </w:p>
    <w:bookmarkEnd w:id="2"/>
    <w:p>
      <w:pPr>
        <w:keepNext w:val="0"/>
        <w:keepLines w:val="0"/>
        <w:pageBreakBefore w:val="0"/>
        <w:widowControl w:val="0"/>
        <w:kinsoku w:val="0"/>
        <w:wordWrap/>
        <w:overflowPunct w:val="0"/>
        <w:topLinePunct w:val="0"/>
        <w:autoSpaceDE/>
        <w:autoSpaceDN/>
        <w:bidi w:val="0"/>
        <w:adjustRightInd/>
        <w:snapToGrid/>
        <w:spacing w:line="560" w:lineRule="exact"/>
        <w:ind w:firstLine="640" w:firstLineChars="200"/>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七、约定采购量分配</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医疗机构按照采购文件的规定，产品分类为</w:t>
      </w:r>
      <w:r>
        <w:rPr>
          <w:rFonts w:hint="eastAsia" w:ascii="仿宋" w:hAnsi="仿宋" w:eastAsia="仿宋" w:cs="Times New Roman"/>
          <w:color w:val="auto"/>
          <w:sz w:val="32"/>
          <w:szCs w:val="32"/>
          <w:highlight w:val="none"/>
          <w:u w:val="none"/>
          <w:lang w:val="en-US" w:eastAsia="zh-CN"/>
        </w:rPr>
        <w:t>“分叉型、阶梯型”</w:t>
      </w:r>
      <w:r>
        <w:rPr>
          <w:rFonts w:hint="eastAsia" w:ascii="仿宋" w:hAnsi="仿宋" w:eastAsia="仿宋" w:cs="仿宋"/>
          <w:color w:val="auto"/>
          <w:kern w:val="2"/>
          <w:sz w:val="32"/>
          <w:szCs w:val="32"/>
          <w:highlight w:val="none"/>
          <w:lang w:val="en-US" w:eastAsia="zh-CN" w:bidi="ar-SA"/>
        </w:rPr>
        <w:t>的分配给A组或B组最低价格中选医疗器械注册证产品20%的约定采购量；产品分类为对称型的分配给最低价格中选医疗器械注册证产品20%的约定采购量。剩余约定采购量按照以下规则分配：</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（一）医疗机构报量的医疗器械注册证产品若在中选范围，剩余约定采购量可分配给该医疗机构报量的医疗器械注册证产品，也可分配给比报量医疗器械注册证产品价格低的中选产品。</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（二）如医疗机构报量的医疗器械注册证产品未在中选范围，医疗机构一般要选择价格较低的中选产品。</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（三）参与本次集中带量采购的医疗机构，在完成约定采购量后，一般要继续使用该中选医疗器械注册证产品，也可选择比该中选医疗器械注册证产品价格低的其他中选产品。</w:t>
      </w:r>
    </w:p>
    <w:p>
      <w:pPr>
        <w:kinsoku w:val="0"/>
        <w:overflowPunct w:val="0"/>
        <w:spacing w:line="560" w:lineRule="exact"/>
        <w:ind w:firstLine="640" w:firstLineChars="20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八、中选结果确定</w:t>
      </w:r>
    </w:p>
    <w:p>
      <w:pPr>
        <w:kinsoku w:val="0"/>
        <w:overflowPunct w:val="0"/>
        <w:spacing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（一）拟中选结果公示</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拟中选结果在“河北省医用药品器械集中采购中心网站”予以公示，并接受质疑。</w:t>
      </w:r>
    </w:p>
    <w:p>
      <w:pPr>
        <w:kinsoku w:val="0"/>
        <w:overflowPunct w:val="0"/>
        <w:spacing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（二）中选结果公布</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拟中选结果公示无异议后，公布中选结果。</w:t>
      </w:r>
    </w:p>
    <w:p>
      <w:pPr>
        <w:pStyle w:val="3"/>
        <w:autoSpaceDE w:val="0"/>
        <w:autoSpaceDN w:val="0"/>
        <w:spacing w:line="560" w:lineRule="exact"/>
        <w:ind w:left="0" w:firstLine="640" w:firstLineChars="200"/>
        <w:rPr>
          <w:rFonts w:ascii="黑体" w:hAnsi="黑体" w:eastAsia="黑体" w:cs="黑体"/>
          <w:b w:val="0"/>
          <w:bCs w:val="0"/>
          <w:color w:val="auto"/>
          <w:highlight w:val="none"/>
        </w:rPr>
      </w:pPr>
      <w:r>
        <w:rPr>
          <w:rFonts w:hint="eastAsia" w:ascii="黑体" w:hAnsi="黑体" w:eastAsia="黑体" w:cs="黑体"/>
          <w:b w:val="0"/>
          <w:bCs w:val="0"/>
          <w:color w:val="auto"/>
          <w:highlight w:val="none"/>
        </w:rPr>
        <w:t>九、中选结果管理</w:t>
      </w:r>
    </w:p>
    <w:p>
      <w:pPr>
        <w:kinsoku w:val="0"/>
        <w:overflowPunct w:val="0"/>
        <w:spacing w:line="560" w:lineRule="exact"/>
        <w:ind w:firstLine="640" w:firstLineChars="200"/>
        <w:rPr>
          <w:rFonts w:ascii="楷体" w:hAnsi="楷体" w:eastAsia="楷体" w:cs="楷体"/>
          <w:color w:val="auto"/>
          <w:sz w:val="32"/>
          <w:szCs w:val="32"/>
          <w:highlight w:val="none"/>
        </w:rPr>
      </w:pPr>
      <w:r>
        <w:rPr>
          <w:rFonts w:hint="eastAsia" w:ascii="仿宋" w:hAnsi="仿宋" w:eastAsia="仿宋" w:cs="仿宋"/>
          <w:color w:val="auto"/>
          <w:kern w:val="0"/>
          <w:sz w:val="32"/>
          <w:szCs w:val="32"/>
          <w:highlight w:val="none"/>
          <w:shd w:val="clear" w:color="auto" w:fill="FFFFFF"/>
          <w:lang w:bidi="ar"/>
        </w:rPr>
        <w:t>（一</w:t>
      </w:r>
      <w:r>
        <w:rPr>
          <w:rFonts w:hint="eastAsia" w:ascii="楷体" w:hAnsi="楷体" w:eastAsia="楷体" w:cs="楷体"/>
          <w:color w:val="auto"/>
          <w:sz w:val="32"/>
          <w:szCs w:val="32"/>
          <w:highlight w:val="none"/>
        </w:rPr>
        <w:t>）拟中选结果公示</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拟中选结果经确认后，在“河北省医用药品器械集中采购中心网站”进行公示，并接受复核申请。复核申请须在公示期间内提出，并依法依规提供合法有效证明材料，未提供相应证明材料的，原则上不予受理。经公示，如拟中选医疗器械注册证产品被取消中选资格，由同组非中选医疗器械注册证中产品价格最低的替补为拟中选产品。</w:t>
      </w:r>
    </w:p>
    <w:p>
      <w:pPr>
        <w:kinsoku w:val="0"/>
        <w:overflowPunct w:val="0"/>
        <w:spacing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（二）中选通知</w:t>
      </w:r>
    </w:p>
    <w:p>
      <w:pPr>
        <w:kinsoku w:val="0"/>
        <w:overflowPunct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拟中选结果经公示无异议后，河北省医用药品器械集中采购中心将发布中选通知。</w:t>
      </w:r>
    </w:p>
    <w:p>
      <w:pPr>
        <w:kinsoku w:val="0"/>
        <w:overflowPunct w:val="0"/>
        <w:spacing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（三）非中选产品监控</w:t>
      </w:r>
    </w:p>
    <w:p>
      <w:pPr>
        <w:kinsoku w:val="0"/>
        <w:overflowPunct w:val="0"/>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1.非中选产品全部纳入联盟地区监控管理目录，根据其与中选产品（或同类产品）的价格差距，进一步降低价格，并考察考核临床合理使用情况。</w:t>
      </w:r>
    </w:p>
    <w:p>
      <w:pPr>
        <w:kinsoku w:val="0"/>
        <w:overflowPunct w:val="0"/>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2.纳入监控管理目录的非中选产品的采购量不得高于中选产品的最低采购量，监测发现高于中选产品的最低采购量，联盟地区医保部门可暂停该非中选产品采购。</w:t>
      </w:r>
    </w:p>
    <w:p>
      <w:pPr>
        <w:kinsoku w:val="0"/>
        <w:overflowPunct w:val="0"/>
        <w:spacing w:line="560" w:lineRule="exact"/>
        <w:ind w:firstLine="640" w:firstLineChars="200"/>
        <w:rPr>
          <w:rFonts w:ascii="楷体" w:hAnsi="楷体" w:eastAsia="楷体" w:cs="楷体"/>
          <w:b w:val="0"/>
          <w:bCs w:val="0"/>
          <w:color w:val="auto"/>
          <w:sz w:val="32"/>
          <w:szCs w:val="32"/>
          <w:highlight w:val="none"/>
        </w:rPr>
      </w:pPr>
      <w:r>
        <w:rPr>
          <w:rFonts w:hint="eastAsia" w:ascii="楷体" w:hAnsi="楷体" w:eastAsia="楷体" w:cs="楷体"/>
          <w:b w:val="0"/>
          <w:bCs w:val="0"/>
          <w:color w:val="auto"/>
          <w:sz w:val="32"/>
          <w:szCs w:val="32"/>
          <w:highlight w:val="none"/>
        </w:rPr>
        <w:t>（四）签订三方协议</w:t>
      </w:r>
    </w:p>
    <w:p>
      <w:pPr>
        <w:kinsoku w:val="0"/>
        <w:overflowPunct w:val="0"/>
        <w:spacing w:line="560" w:lineRule="exact"/>
        <w:ind w:firstLine="640" w:firstLineChars="200"/>
        <w:rPr>
          <w:rFonts w:hint="eastAsia" w:ascii="仿宋" w:hAnsi="仿宋" w:eastAsia="仿宋" w:cs="仿宋"/>
          <w:color w:val="auto"/>
          <w:sz w:val="32"/>
          <w:szCs w:val="32"/>
          <w:highlight w:val="none"/>
          <w:lang w:val="en-US" w:eastAsia="zh-CN"/>
        </w:rPr>
      </w:pPr>
      <w:bookmarkStart w:id="3" w:name="_TOC_250003"/>
      <w:bookmarkEnd w:id="3"/>
      <w:bookmarkStart w:id="4" w:name="_TOC_250001"/>
      <w:bookmarkEnd w:id="4"/>
      <w:r>
        <w:rPr>
          <w:rFonts w:hint="eastAsia" w:ascii="仿宋" w:hAnsi="仿宋" w:eastAsia="仿宋" w:cs="仿宋"/>
          <w:color w:val="auto"/>
          <w:sz w:val="32"/>
          <w:szCs w:val="32"/>
          <w:highlight w:val="none"/>
          <w:lang w:val="en-US" w:eastAsia="zh-CN"/>
        </w:rPr>
        <w:t>1.各联盟地区医保部门负责组织集中带量采购的落地实施，</w:t>
      </w:r>
      <w:r>
        <w:rPr>
          <w:rFonts w:hint="default" w:ascii="仿宋" w:hAnsi="仿宋" w:eastAsia="仿宋" w:cs="仿宋"/>
          <w:color w:val="auto"/>
          <w:sz w:val="32"/>
          <w:szCs w:val="32"/>
          <w:highlight w:val="none"/>
          <w:lang w:val="en" w:eastAsia="zh-CN"/>
        </w:rPr>
        <w:t>河北省医用药品器械集中采购中心</w:t>
      </w:r>
      <w:r>
        <w:rPr>
          <w:rFonts w:hint="eastAsia" w:ascii="仿宋" w:hAnsi="仿宋" w:eastAsia="仿宋" w:cs="仿宋"/>
          <w:color w:val="auto"/>
          <w:sz w:val="32"/>
          <w:szCs w:val="32"/>
          <w:highlight w:val="none"/>
          <w:lang w:val="en-US" w:eastAsia="zh-CN"/>
        </w:rPr>
        <w:t>发布中选通知后，联盟地区医保部门组织辖区医疗机构与中选企业按照中选价格，签订三方协议并在网上执行采购。</w:t>
      </w:r>
    </w:p>
    <w:p>
      <w:pPr>
        <w:kinsoku w:val="0"/>
        <w:overflowPunct w:val="0"/>
        <w:spacing w:line="560" w:lineRule="exact"/>
        <w:ind w:firstLine="640" w:firstLineChars="200"/>
        <w:rPr>
          <w:rFonts w:hint="eastAsia" w:ascii="仿宋" w:hAnsi="仿宋" w:eastAsia="仿宋" w:cs="仿宋"/>
          <w:color w:val="auto"/>
          <w:sz w:val="32"/>
          <w:szCs w:val="32"/>
          <w:highlight w:val="none"/>
          <w:lang w:val="zh-CN" w:eastAsia="zh-CN"/>
        </w:rPr>
      </w:pPr>
      <w:r>
        <w:rPr>
          <w:rFonts w:hint="eastAsia" w:ascii="仿宋" w:hAnsi="仿宋" w:eastAsia="仿宋" w:cs="仿宋"/>
          <w:color w:val="auto"/>
          <w:sz w:val="32"/>
          <w:szCs w:val="32"/>
          <w:highlight w:val="none"/>
          <w:lang w:val="zh-CN" w:eastAsia="zh-CN"/>
        </w:rPr>
        <w:t>2．三方协议须如实反映实际供应价格和采购量，医疗机构须根据协议的约定及时回款，不得拖欠。</w:t>
      </w:r>
    </w:p>
    <w:p>
      <w:pPr>
        <w:kinsoku w:val="0"/>
        <w:overflowPunct w:val="0"/>
        <w:spacing w:line="560" w:lineRule="exact"/>
        <w:ind w:firstLine="640" w:firstLineChars="200"/>
        <w:rPr>
          <w:rFonts w:hint="eastAsia" w:ascii="仿宋" w:hAnsi="仿宋" w:eastAsia="仿宋" w:cs="仿宋"/>
          <w:color w:val="auto"/>
          <w:sz w:val="32"/>
          <w:szCs w:val="32"/>
          <w:highlight w:val="none"/>
          <w:lang w:val="zh-CN" w:eastAsia="zh-CN"/>
        </w:rPr>
      </w:pPr>
      <w:r>
        <w:rPr>
          <w:rFonts w:hint="eastAsia" w:ascii="仿宋" w:hAnsi="仿宋" w:eastAsia="仿宋" w:cs="仿宋"/>
          <w:color w:val="auto"/>
          <w:sz w:val="32"/>
          <w:szCs w:val="32"/>
          <w:highlight w:val="none"/>
          <w:lang w:val="zh-CN" w:eastAsia="zh-CN"/>
        </w:rPr>
        <w:t>3.三方协议签订后，医疗机构与中选企业不得再订立背离协议实质性内容的其他协议，或提出协议之外的任何利益性要求。</w:t>
      </w:r>
    </w:p>
    <w:p>
      <w:pPr>
        <w:pStyle w:val="3"/>
        <w:autoSpaceDE w:val="0"/>
        <w:autoSpaceDN w:val="0"/>
        <w:spacing w:line="560" w:lineRule="exact"/>
        <w:ind w:left="0" w:firstLine="636" w:firstLineChars="200"/>
        <w:rPr>
          <w:rFonts w:hint="eastAsia" w:ascii="黑体" w:hAnsi="黑体" w:eastAsia="黑体" w:cs="黑体"/>
          <w:b w:val="0"/>
          <w:bCs w:val="0"/>
          <w:color w:val="auto"/>
          <w:spacing w:val="-1"/>
          <w:highlight w:val="none"/>
        </w:rPr>
      </w:pPr>
      <w:r>
        <w:rPr>
          <w:rFonts w:hint="eastAsia" w:ascii="黑体" w:hAnsi="黑体" w:eastAsia="黑体" w:cs="黑体"/>
          <w:b w:val="0"/>
          <w:bCs w:val="0"/>
          <w:color w:val="auto"/>
          <w:spacing w:val="-1"/>
          <w:highlight w:val="none"/>
        </w:rPr>
        <w:t>十、其他事项</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（一）采购周期内，中选医疗器械注册证产品出现无法保证供应等情况，致使协议无法继续履行时，</w:t>
      </w:r>
      <w:r>
        <w:rPr>
          <w:rFonts w:hint="eastAsia" w:ascii="仿宋" w:hAnsi="仿宋" w:eastAsia="仿宋" w:cs="仿宋"/>
          <w:color w:val="auto"/>
          <w:kern w:val="2"/>
          <w:sz w:val="32"/>
          <w:szCs w:val="32"/>
          <w:highlight w:val="none"/>
          <w:lang w:val="en-US" w:eastAsia="zh-CN" w:bidi="ar-SA"/>
        </w:rPr>
        <w:t>由各联盟地区医保部门</w:t>
      </w:r>
      <w:r>
        <w:rPr>
          <w:rFonts w:hint="eastAsia" w:ascii="仿宋" w:hAnsi="仿宋" w:eastAsia="仿宋" w:cs="仿宋"/>
          <w:color w:val="auto"/>
          <w:kern w:val="2"/>
          <w:sz w:val="32"/>
          <w:szCs w:val="32"/>
          <w:highlight w:val="none"/>
          <w:lang w:val="zh-CN" w:eastAsia="zh-CN" w:bidi="ar-SA"/>
        </w:rPr>
        <w:t>按照就低不就高原则从本次集中带量采购同组其他非中选医疗器械注册证产品中确定替补。无法履行协议的原中选医疗器械注册证产品所分配的采购量由医疗机构自行分配给其他中选医疗器械注册证产品。因保障供应产生的额外支出由无法履行协议的原中选企业承担，并且纳入医药企业信用记录。</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（二）采购周期内，对中选产品实行动态管理，包括取消中选资格、调整中选信息（价格）、递（替）补产品进入等。如同一</w:t>
      </w:r>
      <w:r>
        <w:rPr>
          <w:rFonts w:hint="eastAsia" w:ascii="仿宋" w:hAnsi="仿宋" w:eastAsia="仿宋" w:cs="仿宋"/>
          <w:color w:val="auto"/>
          <w:kern w:val="2"/>
          <w:sz w:val="32"/>
          <w:szCs w:val="32"/>
          <w:highlight w:val="none"/>
          <w:lang w:val="en-US" w:eastAsia="zh-CN" w:bidi="ar-SA"/>
        </w:rPr>
        <w:t>医疗器械注册证</w:t>
      </w:r>
      <w:r>
        <w:rPr>
          <w:rFonts w:hint="eastAsia" w:ascii="仿宋" w:hAnsi="仿宋" w:eastAsia="仿宋" w:cs="仿宋"/>
          <w:color w:val="auto"/>
          <w:kern w:val="2"/>
          <w:sz w:val="32"/>
          <w:szCs w:val="32"/>
          <w:highlight w:val="none"/>
          <w:lang w:val="zh-CN" w:eastAsia="zh-CN" w:bidi="ar-SA"/>
        </w:rPr>
        <w:t>中选产品在其他地区产生新的低价，中选企业须于15日内向河北省医用药品器械集中采购中心进行申报，中心将根据申报情况调整至新的低价。</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（三）患者使用中选产品因其质量问题造成的损失，按照相关规定，由中选企业承担全部赔偿责任。</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（四）在履行中选产品协议中如遇国家政策调整或不可抗力致使直接影响协议履行的，由签订三方协议的各方协商解决。</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五）申报企业、中选企业、配送企业如有以下行为，按照国家医疗保障局《关于建立医药价格和招采信用评价制度的指导意见》规定，上报国家医疗保障局，纳入国家医药价格和招采失信事项目录清单，并列入“违规名单”。</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1.提供虚假全国最低价格、证明材料、文献资料或者以其他方式弄虚作假，骗取中选。</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2.中选产品发生质量问题。</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3.除不可抗力因素外，不履行供货承诺，影响到临床使用。</w:t>
      </w:r>
    </w:p>
    <w:p>
      <w:pPr>
        <w:pStyle w:val="5"/>
        <w:wordWrap w:val="0"/>
        <w:spacing w:line="560" w:lineRule="exact"/>
        <w:ind w:firstLine="640" w:firstLineChars="200"/>
        <w:jc w:val="both"/>
        <w:rPr>
          <w:rFonts w:hint="eastAsia" w:ascii="仿宋" w:hAnsi="仿宋" w:eastAsia="仿宋" w:cs="仿宋"/>
          <w:b w:val="0"/>
          <w:bCs w:val="0"/>
          <w:color w:val="auto"/>
          <w:spacing w:val="-3"/>
          <w:sz w:val="32"/>
          <w:highlight w:val="none"/>
        </w:rPr>
      </w:pPr>
      <w:r>
        <w:rPr>
          <w:rFonts w:hint="eastAsia" w:ascii="仿宋" w:hAnsi="仿宋" w:eastAsia="仿宋" w:cs="仿宋"/>
          <w:color w:val="auto"/>
          <w:kern w:val="2"/>
          <w:sz w:val="32"/>
          <w:szCs w:val="32"/>
          <w:highlight w:val="none"/>
          <w:lang w:val="zh-CN" w:eastAsia="zh-CN" w:bidi="ar-SA"/>
        </w:rPr>
        <w:t>4.提供回扣或其他商业贿赂，进行非法</w:t>
      </w:r>
      <w:r>
        <w:rPr>
          <w:rFonts w:hint="eastAsia" w:ascii="仿宋" w:hAnsi="仿宋" w:eastAsia="仿宋" w:cs="仿宋"/>
          <w:color w:val="auto"/>
          <w:kern w:val="2"/>
          <w:sz w:val="32"/>
          <w:szCs w:val="32"/>
          <w:highlight w:val="none"/>
          <w:lang w:val="en-US" w:eastAsia="zh-CN" w:bidi="ar-SA"/>
        </w:rPr>
        <w:t>销售</w:t>
      </w:r>
      <w:r>
        <w:rPr>
          <w:rFonts w:hint="eastAsia" w:ascii="仿宋" w:hAnsi="仿宋" w:eastAsia="仿宋" w:cs="仿宋"/>
          <w:color w:val="auto"/>
          <w:kern w:val="2"/>
          <w:sz w:val="32"/>
          <w:szCs w:val="32"/>
          <w:highlight w:val="none"/>
          <w:lang w:val="zh-CN" w:eastAsia="zh-CN" w:bidi="ar-SA"/>
        </w:rPr>
        <w:t>活动。</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5.以低于成本的价格恶意申报，扰乱</w:t>
      </w:r>
      <w:r>
        <w:rPr>
          <w:rFonts w:hint="eastAsia" w:ascii="仿宋" w:hAnsi="仿宋" w:eastAsia="仿宋" w:cs="仿宋"/>
          <w:color w:val="auto"/>
          <w:kern w:val="2"/>
          <w:sz w:val="32"/>
          <w:szCs w:val="32"/>
          <w:highlight w:val="none"/>
          <w:lang w:val="en-US" w:eastAsia="zh-CN" w:bidi="ar-SA"/>
        </w:rPr>
        <w:t>集中带量采购</w:t>
      </w:r>
      <w:r>
        <w:rPr>
          <w:rFonts w:hint="eastAsia" w:ascii="仿宋" w:hAnsi="仿宋" w:eastAsia="仿宋" w:cs="仿宋"/>
          <w:color w:val="auto"/>
          <w:kern w:val="2"/>
          <w:sz w:val="32"/>
          <w:szCs w:val="32"/>
          <w:highlight w:val="none"/>
          <w:lang w:val="zh-CN" w:eastAsia="zh-CN" w:bidi="ar-SA"/>
        </w:rPr>
        <w:t>秩序。</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6.相互串通申报，排斥其他申报企业的公平竞争，损害采购方或者其他申报企业的合法利益。</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7.以行贿等违法手段牟取中选。</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8.蓄意干扰集中带量采购相关工作秩序。</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9.在规定期限内不签订三方协议。</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10.未按要求申报新的低价。</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11.中选企业、配送企业未按采购方及法律法规要求实行配送。</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12.中选后放弃中选资格。</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13.在抽检或飞行检查中发现中选企业严重违背在申报材料中作出的承诺。</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14.通过恶意投诉等不正当手段竞争的企业。</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15.其他违反法律法规的行为。</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（六）对本次集中带量采购中纳入“违规名单”的相关企业，按以下方式处理。</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1.申报企业列入“违规名单”的，取消该企业的申报资格；中选企业列入“违规名单”的，取消该企业的中选资格。同时取消上述企业在列入“违规名单”之日起2年内参与</w:t>
      </w:r>
      <w:r>
        <w:rPr>
          <w:rFonts w:hint="eastAsia" w:ascii="仿宋" w:hAnsi="仿宋" w:eastAsia="仿宋" w:cs="仿宋"/>
          <w:b w:val="0"/>
          <w:bCs w:val="0"/>
          <w:color w:val="auto"/>
          <w:spacing w:val="-3"/>
          <w:sz w:val="32"/>
          <w:highlight w:val="none"/>
          <w:lang w:val="en-US" w:eastAsia="zh-CN"/>
        </w:rPr>
        <w:t>联盟地区</w:t>
      </w:r>
      <w:r>
        <w:rPr>
          <w:rFonts w:hint="eastAsia" w:ascii="仿宋" w:hAnsi="仿宋" w:eastAsia="仿宋" w:cs="仿宋"/>
          <w:b w:val="0"/>
          <w:bCs w:val="0"/>
          <w:color w:val="auto"/>
          <w:spacing w:val="-3"/>
          <w:sz w:val="32"/>
          <w:highlight w:val="none"/>
        </w:rPr>
        <w:t>医用耗材集中带量采购的资格。</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2.配送企业列入“违规名单”的，取消该企业自列入“违规名单”之日起2年内参与</w:t>
      </w:r>
      <w:r>
        <w:rPr>
          <w:rFonts w:hint="eastAsia" w:ascii="仿宋" w:hAnsi="仿宋" w:eastAsia="仿宋" w:cs="仿宋"/>
          <w:b w:val="0"/>
          <w:bCs w:val="0"/>
          <w:color w:val="auto"/>
          <w:spacing w:val="-3"/>
          <w:sz w:val="32"/>
          <w:highlight w:val="none"/>
          <w:lang w:val="en-US" w:eastAsia="zh-CN"/>
        </w:rPr>
        <w:t>联盟地区</w:t>
      </w:r>
      <w:r>
        <w:rPr>
          <w:rFonts w:hint="eastAsia" w:ascii="仿宋" w:hAnsi="仿宋" w:eastAsia="仿宋" w:cs="仿宋"/>
          <w:b w:val="0"/>
          <w:bCs w:val="0"/>
          <w:color w:val="auto"/>
          <w:spacing w:val="-3"/>
          <w:sz w:val="32"/>
          <w:highlight w:val="none"/>
        </w:rPr>
        <w:t>医用耗材集中带量采购配送资格。</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（七）采购周期内，若中选产品配送企业被相关部门列入“违规名单”，</w:t>
      </w:r>
      <w:r>
        <w:rPr>
          <w:rFonts w:hint="eastAsia" w:ascii="仿宋" w:hAnsi="仿宋" w:eastAsia="仿宋" w:cs="仿宋"/>
          <w:b w:val="0"/>
          <w:bCs w:val="0"/>
          <w:color w:val="auto"/>
          <w:spacing w:val="-3"/>
          <w:sz w:val="32"/>
          <w:highlight w:val="none"/>
          <w:lang w:val="en-US" w:eastAsia="zh-CN"/>
        </w:rPr>
        <w:t>联盟地区医保部门</w:t>
      </w:r>
      <w:r>
        <w:rPr>
          <w:rFonts w:hint="eastAsia" w:ascii="仿宋" w:hAnsi="仿宋" w:eastAsia="仿宋" w:cs="仿宋"/>
          <w:b w:val="0"/>
          <w:bCs w:val="0"/>
          <w:color w:val="auto"/>
          <w:spacing w:val="-3"/>
          <w:sz w:val="32"/>
          <w:highlight w:val="none"/>
        </w:rPr>
        <w:t>将组织中选企业选择其他配送企业，确保中选产品及时配送。</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（八）中选企业应每月向</w:t>
      </w:r>
      <w:r>
        <w:rPr>
          <w:rFonts w:hint="eastAsia" w:ascii="仿宋" w:hAnsi="仿宋" w:eastAsia="仿宋" w:cs="仿宋"/>
          <w:b w:val="0"/>
          <w:bCs w:val="0"/>
          <w:color w:val="auto"/>
          <w:spacing w:val="-3"/>
          <w:sz w:val="32"/>
          <w:highlight w:val="none"/>
          <w:lang w:val="en-US" w:eastAsia="zh-CN"/>
        </w:rPr>
        <w:t>联盟地区医保部门</w:t>
      </w:r>
      <w:r>
        <w:rPr>
          <w:rFonts w:hint="eastAsia" w:ascii="仿宋" w:hAnsi="仿宋" w:eastAsia="仿宋" w:cs="仿宋"/>
          <w:b w:val="0"/>
          <w:bCs w:val="0"/>
          <w:color w:val="auto"/>
          <w:spacing w:val="-3"/>
          <w:sz w:val="32"/>
          <w:highlight w:val="none"/>
        </w:rPr>
        <w:t>报送中选产品医用耗材的库存数量。</w:t>
      </w:r>
    </w:p>
    <w:p>
      <w:pPr>
        <w:wordWrap w:val="0"/>
        <w:spacing w:line="560" w:lineRule="exact"/>
        <w:ind w:firstLine="631" w:firstLineChars="200"/>
        <w:rPr>
          <w:rFonts w:hint="eastAsia" w:ascii="仿宋" w:hAnsi="仿宋" w:eastAsia="仿宋" w:cs="仿宋"/>
          <w:b/>
          <w:bCs/>
          <w:color w:val="auto"/>
          <w:spacing w:val="-3"/>
          <w:sz w:val="32"/>
          <w:highlight w:val="none"/>
        </w:rPr>
      </w:pPr>
      <w:r>
        <w:rPr>
          <w:rFonts w:hint="eastAsia" w:ascii="仿宋" w:hAnsi="仿宋" w:eastAsia="仿宋" w:cs="仿宋"/>
          <w:b/>
          <w:bCs/>
          <w:color w:val="auto"/>
          <w:spacing w:val="-3"/>
          <w:sz w:val="32"/>
          <w:highlight w:val="none"/>
        </w:rPr>
        <w:t>本采购文件仅适用于本次集中带量采购所述项目的医用耗材及相关服务，最终解释权归河北省医用药品器械集中采购中心，河北省医用药品器械集中采购中心负责具体实施。</w:t>
      </w:r>
    </w:p>
    <w:p>
      <w:pPr>
        <w:autoSpaceDE w:val="0"/>
        <w:autoSpaceDN w:val="0"/>
        <w:spacing w:line="560" w:lineRule="exact"/>
        <w:jc w:val="center"/>
        <w:rPr>
          <w:rFonts w:ascii="仿宋" w:hAnsi="仿宋" w:eastAsia="仿宋" w:cs="方正小标宋简体"/>
          <w:color w:val="auto"/>
          <w:sz w:val="44"/>
          <w:highlight w:val="none"/>
        </w:rPr>
      </w:pPr>
      <w:r>
        <w:rPr>
          <w:rFonts w:hint="eastAsia" w:ascii="仿宋" w:hAnsi="仿宋" w:eastAsia="仿宋" w:cs="黑体"/>
          <w:color w:val="auto"/>
          <w:spacing w:val="-3"/>
          <w:sz w:val="32"/>
          <w:highlight w:val="none"/>
        </w:rPr>
        <w:br w:type="page"/>
      </w:r>
      <w:r>
        <w:rPr>
          <w:rFonts w:hint="eastAsia" w:ascii="宋体" w:hAnsi="宋体" w:eastAsia="宋体" w:cs="宋体"/>
          <w:b/>
          <w:color w:val="auto"/>
          <w:sz w:val="44"/>
          <w:szCs w:val="44"/>
          <w:highlight w:val="none"/>
        </w:rPr>
        <w:t>第三部分   附件</w:t>
      </w:r>
    </w:p>
    <w:p>
      <w:pPr>
        <w:pStyle w:val="5"/>
        <w:autoSpaceDE w:val="0"/>
        <w:autoSpaceDN w:val="0"/>
        <w:spacing w:line="560" w:lineRule="exact"/>
        <w:jc w:val="both"/>
        <w:rPr>
          <w:rFonts w:ascii="仿宋" w:hAnsi="仿宋" w:eastAsia="仿宋"/>
          <w:color w:val="auto"/>
          <w:sz w:val="28"/>
          <w:szCs w:val="28"/>
          <w:highlight w:val="none"/>
        </w:rPr>
      </w:pPr>
      <w:r>
        <w:rPr>
          <w:rFonts w:hint="eastAsia" w:ascii="仿宋" w:hAnsi="仿宋" w:eastAsia="仿宋" w:cs="仿宋"/>
          <w:color w:val="auto"/>
          <w:sz w:val="32"/>
          <w:szCs w:val="32"/>
          <w:highlight w:val="none"/>
        </w:rPr>
        <w:t>附件</w:t>
      </w:r>
      <w:r>
        <w:rPr>
          <w:rFonts w:ascii="仿宋" w:hAnsi="仿宋" w:eastAsia="仿宋" w:cs="仿宋"/>
          <w:color w:val="auto"/>
          <w:sz w:val="32"/>
          <w:szCs w:val="32"/>
          <w:highlight w:val="none"/>
        </w:rPr>
        <w:t>1</w:t>
      </w:r>
    </w:p>
    <w:p>
      <w:pPr>
        <w:autoSpaceDE w:val="0"/>
        <w:autoSpaceDN w:val="0"/>
        <w:spacing w:line="560" w:lineRule="exact"/>
        <w:jc w:val="center"/>
        <w:rPr>
          <w:rFonts w:ascii="仿宋" w:hAnsi="仿宋" w:eastAsia="仿宋" w:cs="方正小标宋简体"/>
          <w:color w:val="auto"/>
          <w:sz w:val="44"/>
          <w:highlight w:val="none"/>
        </w:rPr>
      </w:pPr>
    </w:p>
    <w:p>
      <w:pPr>
        <w:autoSpaceDE w:val="0"/>
        <w:autoSpaceDN w:val="0"/>
        <w:spacing w:line="560" w:lineRule="exact"/>
        <w:jc w:val="center"/>
        <w:rPr>
          <w:rFonts w:hint="eastAsia" w:ascii="宋体" w:hAnsi="宋体" w:eastAsia="宋体" w:cs="方正小标宋简体"/>
          <w:b/>
          <w:color w:val="auto"/>
          <w:spacing w:val="-1"/>
          <w:sz w:val="44"/>
          <w:highlight w:val="none"/>
          <w:lang w:val="en-US" w:eastAsia="zh-CN"/>
        </w:rPr>
      </w:pPr>
      <w:r>
        <w:rPr>
          <w:rFonts w:hint="eastAsia" w:ascii="宋体" w:hAnsi="宋体" w:eastAsia="宋体" w:cs="方正小标宋简体"/>
          <w:b/>
          <w:color w:val="auto"/>
          <w:spacing w:val="-1"/>
          <w:sz w:val="44"/>
          <w:highlight w:val="none"/>
          <w:lang w:val="en-US" w:eastAsia="zh-CN"/>
        </w:rPr>
        <w:t>京津冀“3+N”联盟透析用长期中心静脉导管（TCC）集中带量采购法定代表人授权书</w:t>
      </w:r>
    </w:p>
    <w:p>
      <w:pPr>
        <w:pStyle w:val="2"/>
        <w:rPr>
          <w:color w:val="auto"/>
          <w:highlight w:val="none"/>
        </w:rPr>
      </w:pPr>
    </w:p>
    <w:p>
      <w:pPr>
        <w:pStyle w:val="5"/>
        <w:autoSpaceDE w:val="0"/>
        <w:autoSpaceDN w:val="0"/>
        <w:spacing w:line="440" w:lineRule="atLeast"/>
        <w:jc w:val="both"/>
        <w:rPr>
          <w:rFonts w:ascii="仿宋" w:hAnsi="仿宋" w:eastAsia="仿宋" w:cs="仿宋_GB2312"/>
          <w:color w:val="auto"/>
          <w:spacing w:val="-1"/>
          <w:sz w:val="24"/>
          <w:szCs w:val="24"/>
          <w:highlight w:val="none"/>
        </w:rPr>
      </w:pPr>
      <w:r>
        <w:rPr>
          <w:rFonts w:ascii="仿宋" w:hAnsi="仿宋" w:eastAsia="仿宋" w:cs="仿宋"/>
          <w:b/>
          <w:bCs/>
          <w:color w:val="auto"/>
          <w:spacing w:val="-3"/>
          <w:sz w:val="32"/>
          <w:highlight w:val="none"/>
          <w:lang w:val="en"/>
        </w:rPr>
        <w:t>河北省医用药品器械集中采购中心</w:t>
      </w:r>
      <w:r>
        <w:rPr>
          <w:rFonts w:hint="eastAsia" w:ascii="仿宋" w:hAnsi="仿宋" w:eastAsia="仿宋" w:cs="仿宋_GB2312"/>
          <w:color w:val="auto"/>
          <w:spacing w:val="-1"/>
          <w:sz w:val="24"/>
          <w:szCs w:val="24"/>
          <w:highlight w:val="none"/>
        </w:rPr>
        <w:t>：</w:t>
      </w:r>
    </w:p>
    <w:p>
      <w:pPr>
        <w:tabs>
          <w:tab w:val="left" w:pos="9529"/>
        </w:tabs>
        <w:autoSpaceDE w:val="0"/>
        <w:autoSpaceDN w:val="0"/>
        <w:spacing w:line="56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w:t>
      </w:r>
      <w:r>
        <w:rPr>
          <w:rFonts w:hint="eastAsia" w:ascii="仿宋" w:hAnsi="仿宋" w:eastAsia="仿宋" w:cs="仿宋"/>
          <w:color w:val="auto"/>
          <w:spacing w:val="-3"/>
          <w:sz w:val="24"/>
          <w:szCs w:val="24"/>
          <w:highlight w:val="none"/>
        </w:rPr>
        <w:t>书</w:t>
      </w:r>
      <w:r>
        <w:rPr>
          <w:rFonts w:hint="eastAsia" w:ascii="仿宋" w:hAnsi="仿宋" w:eastAsia="仿宋" w:cs="仿宋"/>
          <w:color w:val="auto"/>
          <w:sz w:val="24"/>
          <w:szCs w:val="24"/>
          <w:highlight w:val="none"/>
        </w:rPr>
        <w:t>声明</w:t>
      </w:r>
      <w:r>
        <w:rPr>
          <w:rFonts w:hint="eastAsia" w:ascii="仿宋" w:hAnsi="仿宋" w:eastAsia="仿宋" w:cs="仿宋"/>
          <w:color w:val="auto"/>
          <w:spacing w:val="-3"/>
          <w:sz w:val="24"/>
          <w:szCs w:val="24"/>
          <w:highlight w:val="none"/>
        </w:rPr>
        <w:t>：位</w:t>
      </w:r>
      <w:r>
        <w:rPr>
          <w:rFonts w:hint="eastAsia" w:ascii="仿宋" w:hAnsi="仿宋" w:eastAsia="仿宋" w:cs="仿宋"/>
          <w:color w:val="auto"/>
          <w:sz w:val="24"/>
          <w:szCs w:val="24"/>
          <w:highlight w:val="none"/>
        </w:rPr>
        <w:t>于</w:t>
      </w:r>
      <w:r>
        <w:rPr>
          <w:rFonts w:hint="eastAsia" w:ascii="仿宋" w:hAnsi="仿宋" w:eastAsia="仿宋" w:cs="仿宋"/>
          <w:color w:val="auto"/>
          <w:sz w:val="24"/>
          <w:szCs w:val="24"/>
          <w:highlight w:val="none"/>
        </w:rPr>
        <w:tab/>
      </w:r>
    </w:p>
    <w:p>
      <w:pPr>
        <w:tabs>
          <w:tab w:val="left" w:pos="6064"/>
          <w:tab w:val="left" w:pos="9351"/>
        </w:tabs>
        <w:autoSpaceDE w:val="0"/>
        <w:autoSpaceDN w:val="0"/>
        <w:spacing w:line="560" w:lineRule="exact"/>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（企业</w:t>
      </w:r>
      <w:r>
        <w:rPr>
          <w:rFonts w:hint="eastAsia" w:ascii="仿宋" w:hAnsi="仿宋" w:eastAsia="仿宋" w:cs="仿宋"/>
          <w:color w:val="auto"/>
          <w:spacing w:val="-3"/>
          <w:sz w:val="24"/>
          <w:szCs w:val="24"/>
          <w:highlight w:val="none"/>
        </w:rPr>
        <w:t>地</w:t>
      </w:r>
      <w:r>
        <w:rPr>
          <w:rFonts w:hint="eastAsia" w:ascii="仿宋" w:hAnsi="仿宋" w:eastAsia="仿宋" w:cs="仿宋"/>
          <w:color w:val="auto"/>
          <w:sz w:val="24"/>
          <w:szCs w:val="24"/>
          <w:highlight w:val="none"/>
        </w:rPr>
        <w:t xml:space="preserve">址）的 </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（企业名</w:t>
      </w:r>
      <w:r>
        <w:rPr>
          <w:rFonts w:hint="eastAsia" w:ascii="仿宋" w:hAnsi="仿宋" w:eastAsia="仿宋" w:cs="仿宋"/>
          <w:color w:val="auto"/>
          <w:spacing w:val="-3"/>
          <w:sz w:val="24"/>
          <w:szCs w:val="24"/>
          <w:highlight w:val="none"/>
        </w:rPr>
        <w:t>称</w:t>
      </w:r>
      <w:r>
        <w:rPr>
          <w:rFonts w:hint="eastAsia" w:ascii="仿宋" w:hAnsi="仿宋" w:eastAsia="仿宋" w:cs="仿宋"/>
          <w:color w:val="auto"/>
          <w:sz w:val="24"/>
          <w:szCs w:val="24"/>
          <w:highlight w:val="none"/>
        </w:rPr>
        <w:t xml:space="preserve">）的 </w:t>
      </w:r>
      <w:r>
        <w:rPr>
          <w:rFonts w:hint="eastAsia" w:ascii="仿宋" w:hAnsi="仿宋" w:eastAsia="仿宋" w:cs="仿宋"/>
          <w:color w:val="auto"/>
          <w:sz w:val="24"/>
          <w:szCs w:val="24"/>
          <w:highlight w:val="none"/>
        </w:rPr>
        <w:tab/>
      </w:r>
    </w:p>
    <w:p>
      <w:pPr>
        <w:autoSpaceDE w:val="0"/>
        <w:autoSpaceDN w:val="0"/>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pacing w:val="-3"/>
          <w:sz w:val="24"/>
          <w:szCs w:val="24"/>
          <w:highlight w:val="none"/>
        </w:rPr>
        <w:t>法定代表人姓名</w:t>
      </w:r>
      <w:r>
        <w:rPr>
          <w:rFonts w:hint="eastAsia" w:ascii="仿宋" w:hAnsi="仿宋" w:eastAsia="仿宋" w:cs="仿宋"/>
          <w:color w:val="auto"/>
          <w:spacing w:val="-34"/>
          <w:sz w:val="24"/>
          <w:szCs w:val="24"/>
          <w:highlight w:val="none"/>
        </w:rPr>
        <w:t>）</w:t>
      </w:r>
      <w:r>
        <w:rPr>
          <w:rFonts w:hint="eastAsia" w:ascii="仿宋" w:hAnsi="仿宋" w:eastAsia="仿宋" w:cs="仿宋"/>
          <w:color w:val="auto"/>
          <w:spacing w:val="-1"/>
          <w:sz w:val="24"/>
          <w:szCs w:val="24"/>
          <w:highlight w:val="none"/>
        </w:rPr>
        <w:t>代表本企业授权</w:t>
      </w:r>
      <w:r>
        <w:rPr>
          <w:rFonts w:hint="eastAsia" w:ascii="仿宋" w:hAnsi="仿宋" w:eastAsia="仿宋" w:cs="仿宋"/>
          <w:color w:val="auto"/>
          <w:spacing w:val="31"/>
          <w:sz w:val="24"/>
          <w:szCs w:val="24"/>
          <w:highlight w:val="non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pacing w:val="-2"/>
          <w:sz w:val="24"/>
          <w:szCs w:val="24"/>
          <w:highlight w:val="none"/>
        </w:rPr>
        <w:t>被授权人姓名</w:t>
      </w:r>
      <w:r>
        <w:rPr>
          <w:rFonts w:hint="eastAsia" w:ascii="仿宋" w:hAnsi="仿宋" w:eastAsia="仿宋" w:cs="仿宋"/>
          <w:color w:val="auto"/>
          <w:spacing w:val="-34"/>
          <w:sz w:val="24"/>
          <w:szCs w:val="24"/>
          <w:highlight w:val="none"/>
        </w:rPr>
        <w:t>）</w:t>
      </w:r>
      <w:r>
        <w:rPr>
          <w:rFonts w:hint="eastAsia" w:ascii="仿宋" w:hAnsi="仿宋" w:eastAsia="仿宋" w:cs="仿宋"/>
          <w:color w:val="auto"/>
          <w:spacing w:val="-5"/>
          <w:sz w:val="24"/>
          <w:szCs w:val="24"/>
          <w:highlight w:val="none"/>
        </w:rPr>
        <w:t>为本企</w:t>
      </w:r>
      <w:r>
        <w:rPr>
          <w:rFonts w:hint="eastAsia" w:ascii="仿宋" w:hAnsi="仿宋" w:eastAsia="仿宋" w:cs="仿宋"/>
          <w:color w:val="auto"/>
          <w:spacing w:val="-8"/>
          <w:sz w:val="24"/>
          <w:szCs w:val="24"/>
          <w:highlight w:val="none"/>
        </w:rPr>
        <w:t>业的唯一合法代理人，就本企业生产</w:t>
      </w:r>
      <w:r>
        <w:rPr>
          <w:rFonts w:hint="eastAsia" w:ascii="仿宋" w:hAnsi="仿宋" w:eastAsia="仿宋" w:cs="仿宋"/>
          <w:color w:val="auto"/>
          <w:sz w:val="24"/>
          <w:szCs w:val="24"/>
          <w:highlight w:val="none"/>
        </w:rPr>
        <w:t>（</w:t>
      </w:r>
      <w:r>
        <w:rPr>
          <w:rFonts w:hint="eastAsia" w:ascii="仿宋" w:hAnsi="仿宋" w:eastAsia="仿宋" w:cs="仿宋"/>
          <w:color w:val="auto"/>
          <w:spacing w:val="-2"/>
          <w:sz w:val="24"/>
          <w:szCs w:val="24"/>
          <w:highlight w:val="none"/>
        </w:rPr>
        <w:t>经</w:t>
      </w:r>
      <w:r>
        <w:rPr>
          <w:rFonts w:hint="eastAsia" w:ascii="仿宋" w:hAnsi="仿宋" w:eastAsia="仿宋" w:cs="仿宋"/>
          <w:color w:val="auto"/>
          <w:spacing w:val="-1"/>
          <w:sz w:val="24"/>
          <w:szCs w:val="24"/>
          <w:highlight w:val="none"/>
        </w:rPr>
        <w:t>营）的符合申报条件</w:t>
      </w:r>
      <w:r>
        <w:rPr>
          <w:rFonts w:hint="eastAsia" w:ascii="仿宋" w:hAnsi="仿宋" w:eastAsia="仿宋" w:cs="仿宋"/>
          <w:color w:val="auto"/>
          <w:spacing w:val="-1"/>
          <w:sz w:val="24"/>
          <w:szCs w:val="24"/>
          <w:highlight w:val="none"/>
          <w:lang w:val="en-US" w:eastAsia="zh-CN"/>
        </w:rPr>
        <w:t>的</w:t>
      </w:r>
      <w:r>
        <w:rPr>
          <w:rFonts w:hint="eastAsia" w:ascii="仿宋" w:hAnsi="仿宋" w:eastAsia="仿宋" w:cs="仿宋"/>
          <w:color w:val="auto"/>
          <w:spacing w:val="-1"/>
          <w:sz w:val="24"/>
          <w:szCs w:val="24"/>
          <w:highlight w:val="none"/>
          <w:lang w:eastAsia="zh-CN"/>
        </w:rPr>
        <w:t>透析用长期中心静脉导管（TCC）</w:t>
      </w:r>
      <w:r>
        <w:rPr>
          <w:rFonts w:hint="eastAsia" w:ascii="仿宋" w:hAnsi="仿宋" w:eastAsia="仿宋" w:cs="仿宋"/>
          <w:color w:val="auto"/>
          <w:spacing w:val="-1"/>
          <w:sz w:val="24"/>
          <w:szCs w:val="24"/>
          <w:highlight w:val="none"/>
        </w:rPr>
        <w:t>在</w:t>
      </w:r>
      <w:r>
        <w:rPr>
          <w:rFonts w:hint="eastAsia" w:ascii="仿宋_GB2312" w:hAnsi="仿宋_GB2312" w:eastAsia="仿宋_GB2312" w:cs="仿宋_GB2312"/>
          <w:color w:val="auto"/>
          <w:spacing w:val="-8"/>
          <w:sz w:val="24"/>
          <w:szCs w:val="24"/>
          <w:highlight w:val="none"/>
          <w:lang w:val="en-US" w:eastAsia="zh-CN"/>
        </w:rPr>
        <w:t>京津冀“3+N”联盟</w:t>
      </w:r>
      <w:r>
        <w:rPr>
          <w:rFonts w:hint="eastAsia" w:ascii="仿宋" w:hAnsi="仿宋" w:eastAsia="仿宋" w:cs="仿宋"/>
          <w:color w:val="auto"/>
          <w:spacing w:val="-1"/>
          <w:sz w:val="24"/>
          <w:szCs w:val="24"/>
          <w:highlight w:val="none"/>
          <w:lang w:eastAsia="zh-CN"/>
        </w:rPr>
        <w:t>透析用长期中心静脉导管（TCC）</w:t>
      </w:r>
      <w:r>
        <w:rPr>
          <w:rFonts w:hint="eastAsia" w:ascii="仿宋" w:hAnsi="仿宋" w:eastAsia="仿宋" w:cs="仿宋"/>
          <w:color w:val="auto"/>
          <w:spacing w:val="-1"/>
          <w:sz w:val="24"/>
          <w:szCs w:val="24"/>
          <w:highlight w:val="none"/>
        </w:rPr>
        <w:t>集中</w:t>
      </w:r>
      <w:r>
        <w:rPr>
          <w:rFonts w:hint="eastAsia" w:ascii="仿宋" w:hAnsi="仿宋" w:eastAsia="仿宋" w:cs="仿宋"/>
          <w:color w:val="auto"/>
          <w:spacing w:val="-3"/>
          <w:sz w:val="24"/>
          <w:szCs w:val="24"/>
          <w:highlight w:val="none"/>
        </w:rPr>
        <w:t>带量采购中进行申</w:t>
      </w:r>
      <w:r>
        <w:rPr>
          <w:rFonts w:hint="eastAsia" w:ascii="仿宋" w:hAnsi="仿宋" w:eastAsia="仿宋" w:cs="仿宋"/>
          <w:color w:val="auto"/>
          <w:spacing w:val="-12"/>
          <w:sz w:val="24"/>
          <w:szCs w:val="24"/>
          <w:highlight w:val="none"/>
        </w:rPr>
        <w:t>报，并在整个集中带量采购活动中，以本企业名义全权处理包括企业</w:t>
      </w:r>
      <w:r>
        <w:rPr>
          <w:rFonts w:hint="eastAsia" w:ascii="仿宋" w:hAnsi="仿宋" w:eastAsia="仿宋" w:cs="仿宋"/>
          <w:color w:val="auto"/>
          <w:spacing w:val="-8"/>
          <w:sz w:val="24"/>
          <w:szCs w:val="24"/>
          <w:highlight w:val="none"/>
        </w:rPr>
        <w:t>材料申报及价格谈判等一切与之有关的事务，并保证所提供的资质证</w:t>
      </w:r>
      <w:r>
        <w:rPr>
          <w:rFonts w:hint="eastAsia" w:ascii="仿宋" w:hAnsi="仿宋" w:eastAsia="仿宋" w:cs="仿宋"/>
          <w:color w:val="auto"/>
          <w:spacing w:val="-13"/>
          <w:sz w:val="24"/>
          <w:szCs w:val="24"/>
          <w:highlight w:val="none"/>
        </w:rPr>
        <w:t>明材料</w:t>
      </w:r>
      <w:r>
        <w:rPr>
          <w:rFonts w:hint="eastAsia" w:ascii="仿宋" w:hAnsi="仿宋" w:eastAsia="仿宋" w:cs="仿宋"/>
          <w:color w:val="auto"/>
          <w:spacing w:val="-13"/>
          <w:sz w:val="24"/>
          <w:szCs w:val="24"/>
          <w:highlight w:val="none"/>
          <w:lang w:val="en-US" w:eastAsia="zh-CN"/>
        </w:rPr>
        <w:t>完整、准确、</w:t>
      </w:r>
      <w:r>
        <w:rPr>
          <w:rFonts w:hint="eastAsia" w:ascii="仿宋" w:hAnsi="仿宋" w:eastAsia="仿宋" w:cs="仿宋"/>
          <w:color w:val="auto"/>
          <w:spacing w:val="-13"/>
          <w:sz w:val="24"/>
          <w:szCs w:val="24"/>
          <w:highlight w:val="none"/>
        </w:rPr>
        <w:t>真实、合法。本企业认可，被授权人的签字与本企业公</w:t>
      </w:r>
      <w:r>
        <w:rPr>
          <w:rFonts w:hint="eastAsia" w:ascii="仿宋" w:hAnsi="仿宋" w:eastAsia="仿宋" w:cs="仿宋"/>
          <w:color w:val="auto"/>
          <w:spacing w:val="-11"/>
          <w:sz w:val="24"/>
          <w:szCs w:val="24"/>
          <w:highlight w:val="none"/>
        </w:rPr>
        <w:t>章具有相同的法律效力，授权期限内无特殊情况将不变更合法代理人</w:t>
      </w:r>
      <w:r>
        <w:rPr>
          <w:rFonts w:hint="eastAsia" w:ascii="仿宋" w:hAnsi="仿宋" w:eastAsia="仿宋" w:cs="仿宋"/>
          <w:color w:val="auto"/>
          <w:sz w:val="24"/>
          <w:szCs w:val="24"/>
          <w:highlight w:val="none"/>
        </w:rPr>
        <w:t>（被授权人）。</w:t>
      </w:r>
    </w:p>
    <w:p>
      <w:pPr>
        <w:tabs>
          <w:tab w:val="left" w:pos="3961"/>
          <w:tab w:val="left" w:pos="4662"/>
          <w:tab w:val="left" w:pos="4734"/>
          <w:tab w:val="left" w:pos="5502"/>
          <w:tab w:val="left" w:pos="7807"/>
        </w:tabs>
        <w:autoSpaceDE w:val="0"/>
        <w:autoSpaceDN w:val="0"/>
        <w:spacing w:line="56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w:t>
      </w:r>
      <w:r>
        <w:rPr>
          <w:rFonts w:hint="eastAsia" w:ascii="仿宋" w:hAnsi="仿宋" w:eastAsia="仿宋" w:cs="仿宋"/>
          <w:color w:val="auto"/>
          <w:spacing w:val="-3"/>
          <w:sz w:val="24"/>
          <w:szCs w:val="24"/>
          <w:highlight w:val="none"/>
        </w:rPr>
        <w:t>书</w:t>
      </w:r>
      <w:r>
        <w:rPr>
          <w:rFonts w:hint="eastAsia" w:ascii="仿宋" w:hAnsi="仿宋" w:eastAsia="仿宋" w:cs="仿宋"/>
          <w:color w:val="auto"/>
          <w:sz w:val="24"/>
          <w:szCs w:val="24"/>
          <w:highlight w:val="none"/>
        </w:rPr>
        <w:t>于   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 日签</w:t>
      </w:r>
      <w:r>
        <w:rPr>
          <w:rFonts w:hint="eastAsia" w:ascii="仿宋" w:hAnsi="仿宋" w:eastAsia="仿宋" w:cs="仿宋"/>
          <w:color w:val="auto"/>
          <w:spacing w:val="-3"/>
          <w:sz w:val="24"/>
          <w:szCs w:val="24"/>
          <w:highlight w:val="none"/>
        </w:rPr>
        <w:t>字</w:t>
      </w:r>
      <w:r>
        <w:rPr>
          <w:rFonts w:hint="eastAsia" w:ascii="仿宋" w:hAnsi="仿宋" w:eastAsia="仿宋" w:cs="仿宋"/>
          <w:color w:val="auto"/>
          <w:sz w:val="24"/>
          <w:szCs w:val="24"/>
          <w:highlight w:val="none"/>
        </w:rPr>
        <w:t>生效，</w:t>
      </w:r>
      <w:r>
        <w:rPr>
          <w:rFonts w:hint="eastAsia" w:ascii="仿宋" w:hAnsi="仿宋" w:eastAsia="仿宋" w:cs="仿宋"/>
          <w:color w:val="auto"/>
          <w:spacing w:val="-3"/>
          <w:sz w:val="24"/>
          <w:szCs w:val="24"/>
          <w:highlight w:val="none"/>
        </w:rPr>
        <w:t>特</w:t>
      </w:r>
      <w:r>
        <w:rPr>
          <w:rFonts w:hint="eastAsia" w:ascii="仿宋" w:hAnsi="仿宋" w:eastAsia="仿宋" w:cs="仿宋"/>
          <w:color w:val="auto"/>
          <w:sz w:val="24"/>
          <w:szCs w:val="24"/>
          <w:highlight w:val="none"/>
        </w:rPr>
        <w:t>此声</w:t>
      </w:r>
      <w:r>
        <w:rPr>
          <w:rFonts w:hint="eastAsia" w:ascii="仿宋" w:hAnsi="仿宋" w:eastAsia="仿宋" w:cs="仿宋"/>
          <w:color w:val="auto"/>
          <w:spacing w:val="-3"/>
          <w:sz w:val="24"/>
          <w:szCs w:val="24"/>
          <w:highlight w:val="none"/>
        </w:rPr>
        <w:t>明</w:t>
      </w:r>
      <w:r>
        <w:rPr>
          <w:rFonts w:hint="eastAsia" w:ascii="仿宋" w:hAnsi="仿宋" w:eastAsia="仿宋" w:cs="仿宋"/>
          <w:color w:val="auto"/>
          <w:sz w:val="24"/>
          <w:szCs w:val="24"/>
          <w:highlight w:val="none"/>
        </w:rPr>
        <w:t>。</w:t>
      </w:r>
    </w:p>
    <w:p>
      <w:pPr>
        <w:tabs>
          <w:tab w:val="left" w:pos="3961"/>
          <w:tab w:val="left" w:pos="4662"/>
          <w:tab w:val="left" w:pos="4734"/>
          <w:tab w:val="left" w:pos="5502"/>
          <w:tab w:val="left" w:pos="7807"/>
        </w:tabs>
        <w:autoSpaceDE w:val="0"/>
        <w:autoSpaceDN w:val="0"/>
        <w:spacing w:line="560" w:lineRule="exact"/>
        <w:ind w:firstLine="480" w:firstLineChars="200"/>
        <w:jc w:val="left"/>
        <w:rPr>
          <w:rFonts w:hint="eastAsia" w:ascii="仿宋" w:hAnsi="仿宋" w:eastAsia="仿宋" w:cs="仿宋"/>
          <w:color w:val="auto"/>
          <w:spacing w:val="-15"/>
          <w:sz w:val="24"/>
          <w:szCs w:val="24"/>
          <w:highlight w:val="none"/>
        </w:rPr>
      </w:pPr>
      <w:r>
        <w:rPr>
          <w:rFonts w:hint="eastAsia" w:ascii="仿宋" w:hAnsi="仿宋" w:eastAsia="仿宋" w:cs="仿宋"/>
          <w:color w:val="auto"/>
          <w:sz w:val="24"/>
          <w:szCs w:val="24"/>
          <w:highlight w:val="none"/>
        </w:rPr>
        <w:t>授权期</w:t>
      </w:r>
      <w:r>
        <w:rPr>
          <w:rFonts w:hint="eastAsia" w:ascii="仿宋" w:hAnsi="仿宋" w:eastAsia="仿宋" w:cs="仿宋"/>
          <w:color w:val="auto"/>
          <w:spacing w:val="-3"/>
          <w:sz w:val="24"/>
          <w:szCs w:val="24"/>
          <w:highlight w:val="none"/>
        </w:rPr>
        <w:t>限</w:t>
      </w:r>
      <w:r>
        <w:rPr>
          <w:rFonts w:hint="eastAsia" w:ascii="仿宋" w:hAnsi="仿宋" w:eastAsia="仿宋" w:cs="仿宋"/>
          <w:color w:val="auto"/>
          <w:sz w:val="24"/>
          <w:szCs w:val="24"/>
          <w:highlight w:val="none"/>
        </w:rPr>
        <w:t>为：2023年 月起</w:t>
      </w:r>
      <w:r>
        <w:rPr>
          <w:rFonts w:hint="eastAsia" w:ascii="仿宋" w:hAnsi="仿宋" w:eastAsia="仿宋" w:cs="仿宋"/>
          <w:color w:val="auto"/>
          <w:spacing w:val="-3"/>
          <w:sz w:val="24"/>
          <w:szCs w:val="24"/>
          <w:highlight w:val="none"/>
        </w:rPr>
        <w:t>至</w:t>
      </w:r>
      <w:r>
        <w:rPr>
          <w:rFonts w:hint="eastAsia" w:ascii="仿宋" w:hAnsi="仿宋" w:eastAsia="仿宋" w:cs="仿宋"/>
          <w:color w:val="auto"/>
          <w:sz w:val="24"/>
          <w:szCs w:val="24"/>
          <w:highlight w:val="none"/>
        </w:rPr>
        <w:t>本次</w:t>
      </w:r>
      <w:r>
        <w:rPr>
          <w:rFonts w:hint="eastAsia" w:ascii="仿宋" w:hAnsi="仿宋" w:eastAsia="仿宋" w:cs="仿宋"/>
          <w:color w:val="auto"/>
          <w:spacing w:val="-3"/>
          <w:sz w:val="24"/>
          <w:szCs w:val="24"/>
          <w:highlight w:val="none"/>
        </w:rPr>
        <w:t>集</w:t>
      </w:r>
      <w:r>
        <w:rPr>
          <w:rFonts w:hint="eastAsia" w:ascii="仿宋" w:hAnsi="仿宋" w:eastAsia="仿宋" w:cs="仿宋"/>
          <w:color w:val="auto"/>
          <w:sz w:val="24"/>
          <w:szCs w:val="24"/>
          <w:highlight w:val="none"/>
        </w:rPr>
        <w:t>中带量</w:t>
      </w:r>
      <w:r>
        <w:rPr>
          <w:rFonts w:hint="eastAsia" w:ascii="仿宋" w:hAnsi="仿宋" w:eastAsia="仿宋" w:cs="仿宋"/>
          <w:color w:val="auto"/>
          <w:spacing w:val="-3"/>
          <w:sz w:val="24"/>
          <w:szCs w:val="24"/>
          <w:highlight w:val="none"/>
        </w:rPr>
        <w:t>采</w:t>
      </w:r>
      <w:r>
        <w:rPr>
          <w:rFonts w:hint="eastAsia" w:ascii="仿宋" w:hAnsi="仿宋" w:eastAsia="仿宋" w:cs="仿宋"/>
          <w:color w:val="auto"/>
          <w:sz w:val="24"/>
          <w:szCs w:val="24"/>
          <w:highlight w:val="none"/>
        </w:rPr>
        <w:t>购期</w:t>
      </w:r>
      <w:r>
        <w:rPr>
          <w:rFonts w:hint="eastAsia" w:ascii="仿宋" w:hAnsi="仿宋" w:eastAsia="仿宋" w:cs="仿宋"/>
          <w:color w:val="auto"/>
          <w:spacing w:val="-3"/>
          <w:sz w:val="24"/>
          <w:szCs w:val="24"/>
          <w:highlight w:val="none"/>
        </w:rPr>
        <w:t>结束</w:t>
      </w:r>
      <w:r>
        <w:rPr>
          <w:rFonts w:hint="eastAsia" w:ascii="仿宋" w:hAnsi="仿宋" w:eastAsia="仿宋" w:cs="仿宋"/>
          <w:color w:val="auto"/>
          <w:spacing w:val="-15"/>
          <w:sz w:val="24"/>
          <w:szCs w:val="24"/>
          <w:highlight w:val="none"/>
        </w:rPr>
        <w:t>。</w:t>
      </w:r>
    </w:p>
    <w:p>
      <w:pPr>
        <w:tabs>
          <w:tab w:val="left" w:pos="3961"/>
          <w:tab w:val="left" w:pos="4662"/>
          <w:tab w:val="left" w:pos="4734"/>
          <w:tab w:val="left" w:pos="5502"/>
          <w:tab w:val="left" w:pos="7807"/>
        </w:tabs>
        <w:autoSpaceDE w:val="0"/>
        <w:autoSpaceDN w:val="0"/>
        <w:spacing w:line="560" w:lineRule="exact"/>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w:t>
      </w:r>
      <w:r>
        <w:rPr>
          <w:rFonts w:hint="eastAsia" w:ascii="仿宋" w:hAnsi="仿宋" w:eastAsia="仿宋" w:cs="仿宋"/>
          <w:color w:val="auto"/>
          <w:spacing w:val="-3"/>
          <w:sz w:val="24"/>
          <w:szCs w:val="24"/>
          <w:highlight w:val="none"/>
        </w:rPr>
        <w:t>表</w:t>
      </w:r>
      <w:r>
        <w:rPr>
          <w:rFonts w:hint="eastAsia" w:ascii="仿宋" w:hAnsi="仿宋" w:eastAsia="仿宋" w:cs="仿宋"/>
          <w:color w:val="auto"/>
          <w:sz w:val="24"/>
          <w:szCs w:val="24"/>
          <w:highlight w:val="none"/>
        </w:rPr>
        <w:t>人签</w:t>
      </w:r>
      <w:r>
        <w:rPr>
          <w:rFonts w:hint="eastAsia" w:ascii="仿宋" w:hAnsi="仿宋" w:eastAsia="仿宋" w:cs="仿宋"/>
          <w:color w:val="auto"/>
          <w:spacing w:val="-3"/>
          <w:sz w:val="24"/>
          <w:szCs w:val="24"/>
          <w:highlight w:val="none"/>
        </w:rPr>
        <w:t>字或</w:t>
      </w:r>
      <w:r>
        <w:rPr>
          <w:rFonts w:hint="eastAsia" w:ascii="仿宋" w:hAnsi="仿宋" w:eastAsia="仿宋" w:cs="仿宋"/>
          <w:color w:val="auto"/>
          <w:sz w:val="24"/>
          <w:szCs w:val="24"/>
          <w:highlight w:val="none"/>
        </w:rPr>
        <w:t xml:space="preserve">盖章 </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p>
    <w:p>
      <w:pPr>
        <w:tabs>
          <w:tab w:val="left" w:pos="7807"/>
        </w:tabs>
        <w:autoSpaceDE w:val="0"/>
        <w:autoSpaceDN w:val="0"/>
        <w:spacing w:line="560" w:lineRule="exact"/>
        <w:rPr>
          <w:rFonts w:ascii="仿宋" w:hAnsi="仿宋" w:eastAsia="仿宋" w:cs="仿宋_GB2312"/>
          <w:color w:val="auto"/>
          <w:sz w:val="24"/>
          <w:highlight w:val="non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授权单</w:t>
      </w:r>
      <w:r>
        <w:rPr>
          <w:rFonts w:hint="eastAsia" w:ascii="仿宋" w:hAnsi="仿宋" w:eastAsia="仿宋" w:cs="仿宋"/>
          <w:color w:val="auto"/>
          <w:spacing w:val="-3"/>
          <w:sz w:val="24"/>
          <w:szCs w:val="24"/>
          <w:highlight w:val="none"/>
        </w:rPr>
        <w:t>位</w:t>
      </w:r>
      <w:r>
        <w:rPr>
          <w:rFonts w:hint="eastAsia" w:ascii="仿宋" w:hAnsi="仿宋" w:eastAsia="仿宋" w:cs="仿宋"/>
          <w:color w:val="auto"/>
          <w:sz w:val="24"/>
          <w:szCs w:val="24"/>
          <w:highlight w:val="none"/>
        </w:rPr>
        <w:t>名称</w:t>
      </w:r>
      <w:r>
        <w:rPr>
          <w:rFonts w:hint="eastAsia" w:ascii="仿宋" w:hAnsi="仿宋" w:eastAsia="仿宋" w:cs="仿宋"/>
          <w:color w:val="auto"/>
          <w:spacing w:val="-3"/>
          <w:sz w:val="24"/>
          <w:szCs w:val="24"/>
          <w:highlight w:val="none"/>
        </w:rPr>
        <w:t>和盖</w:t>
      </w:r>
      <w:r>
        <w:rPr>
          <w:rFonts w:hint="eastAsia" w:ascii="仿宋" w:hAnsi="仿宋" w:eastAsia="仿宋" w:cs="仿宋"/>
          <w:color w:val="auto"/>
          <w:sz w:val="24"/>
          <w:szCs w:val="24"/>
          <w:highlight w:val="none"/>
        </w:rPr>
        <w:t>章</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被授权</w:t>
      </w:r>
      <w:r>
        <w:rPr>
          <w:rFonts w:hint="eastAsia" w:ascii="仿宋" w:hAnsi="仿宋" w:eastAsia="仿宋" w:cs="仿宋"/>
          <w:color w:val="auto"/>
          <w:spacing w:val="-3"/>
          <w:sz w:val="24"/>
          <w:szCs w:val="24"/>
          <w:highlight w:val="none"/>
        </w:rPr>
        <w:t>人</w:t>
      </w:r>
      <w:r>
        <w:rPr>
          <w:rFonts w:hint="eastAsia" w:ascii="仿宋" w:hAnsi="仿宋" w:eastAsia="仿宋" w:cs="仿宋"/>
          <w:color w:val="auto"/>
          <w:sz w:val="24"/>
          <w:szCs w:val="24"/>
          <w:highlight w:val="none"/>
        </w:rPr>
        <w:t>签字</w:t>
      </w:r>
      <w:r>
        <w:rPr>
          <w:rFonts w:hint="eastAsia" w:ascii="仿宋" w:hAnsi="仿宋" w:eastAsia="仿宋" w:cs="仿宋"/>
          <w:color w:val="auto"/>
          <w:spacing w:val="-3"/>
          <w:sz w:val="24"/>
          <w:szCs w:val="24"/>
          <w:highlight w:val="none"/>
        </w:rPr>
        <w:t>或盖</w:t>
      </w:r>
      <w:r>
        <w:rPr>
          <w:rFonts w:hint="eastAsia" w:ascii="仿宋" w:hAnsi="仿宋" w:eastAsia="仿宋" w:cs="仿宋"/>
          <w:color w:val="auto"/>
          <w:sz w:val="24"/>
          <w:szCs w:val="24"/>
          <w:highlight w:val="none"/>
        </w:rPr>
        <w:t>章</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被授权</w:t>
      </w:r>
      <w:r>
        <w:rPr>
          <w:rFonts w:hint="eastAsia" w:ascii="仿宋" w:hAnsi="仿宋" w:eastAsia="仿宋" w:cs="仿宋"/>
          <w:color w:val="auto"/>
          <w:spacing w:val="-3"/>
          <w:sz w:val="24"/>
          <w:szCs w:val="24"/>
          <w:highlight w:val="none"/>
        </w:rPr>
        <w:t>人</w:t>
      </w:r>
      <w:r>
        <w:rPr>
          <w:rFonts w:hint="eastAsia" w:ascii="仿宋" w:hAnsi="仿宋" w:eastAsia="仿宋" w:cs="仿宋"/>
          <w:color w:val="auto"/>
          <w:sz w:val="24"/>
          <w:szCs w:val="24"/>
          <w:highlight w:val="none"/>
        </w:rPr>
        <w:t xml:space="preserve">手机 </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t xml:space="preserve">     </w:t>
      </w:r>
      <w:r>
        <w:rPr>
          <w:rFonts w:hint="eastAsia" w:ascii="仿宋" w:hAnsi="仿宋" w:eastAsia="仿宋" w:cs="仿宋_GB2312"/>
          <w:color w:val="auto"/>
          <w:sz w:val="24"/>
          <w:highlight w:val="none"/>
        </w:rPr>
        <w:t xml:space="preserve"> </w:t>
      </w:r>
    </w:p>
    <w:p>
      <w:pPr>
        <w:pStyle w:val="5"/>
        <w:autoSpaceDE w:val="0"/>
        <w:autoSpaceDN w:val="0"/>
        <w:spacing w:line="560" w:lineRule="exact"/>
        <w:ind w:firstLine="420" w:firstLineChars="200"/>
        <w:rPr>
          <w:rFonts w:ascii="仿宋" w:hAnsi="仿宋" w:eastAsia="仿宋"/>
          <w:color w:val="auto"/>
          <w:sz w:val="20"/>
          <w:highlight w:val="none"/>
        </w:rPr>
      </w:pPr>
      <w:r>
        <w:rPr>
          <w:rFonts w:ascii="仿宋" w:hAnsi="仿宋" w:eastAsia="仿宋"/>
          <w:color w:val="auto"/>
          <w:highlight w:val="none"/>
        </w:rPr>
        <mc:AlternateContent>
          <mc:Choice Requires="wps">
            <w:drawing>
              <wp:anchor distT="0" distB="0" distL="114300" distR="114300" simplePos="0" relativeHeight="251660288" behindDoc="1" locked="0" layoutInCell="1" allowOverlap="1">
                <wp:simplePos x="0" y="0"/>
                <wp:positionH relativeFrom="page">
                  <wp:posOffset>3881120</wp:posOffset>
                </wp:positionH>
                <wp:positionV relativeFrom="paragraph">
                  <wp:posOffset>522605</wp:posOffset>
                </wp:positionV>
                <wp:extent cx="2829560" cy="1609090"/>
                <wp:effectExtent l="0" t="0" r="27940" b="10160"/>
                <wp:wrapTopAndBottom/>
                <wp:docPr id="2" name="文本框 2"/>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居民身份证复印件(反面)粘贴处</w:t>
                            </w:r>
                          </w:p>
                          <w:p>
                            <w:pPr>
                              <w:spacing w:before="209"/>
                              <w:ind w:left="661" w:right="659"/>
                              <w:jc w:val="center"/>
                              <w:rPr>
                                <w:sz w:val="28"/>
                              </w:rPr>
                            </w:pPr>
                            <w:r>
                              <w:rPr>
                                <w:sz w:val="28"/>
                              </w:rPr>
                              <w:t>（</w:t>
                            </w:r>
                            <w:r>
                              <w:rPr>
                                <w:spacing w:val="-3"/>
                                <w:sz w:val="28"/>
                              </w:rPr>
                              <w:t>骑缝处加盖单位公章</w:t>
                            </w:r>
                            <w:r>
                              <w:rPr>
                                <w:sz w:val="28"/>
                              </w:rPr>
                              <w:t>）</w:t>
                            </w:r>
                          </w:p>
                          <w:p/>
                        </w:txbxContent>
                      </wps:txbx>
                      <wps:bodyPr lIns="0" tIns="0" rIns="0" bIns="0" upright="1"/>
                    </wps:wsp>
                  </a:graphicData>
                </a:graphic>
              </wp:anchor>
            </w:drawing>
          </mc:Choice>
          <mc:Fallback>
            <w:pict>
              <v:shape id="_x0000_s1026" o:spid="_x0000_s1026" o:spt="202" type="#_x0000_t202" style="position:absolute;left:0pt;margin-left:305.6pt;margin-top:41.15pt;height:126.7pt;width:222.8pt;mso-position-horizontal-relative:page;mso-wrap-distance-bottom:0pt;mso-wrap-distance-top:0pt;z-index:-251656192;mso-width-relative:page;mso-height-relative:page;" filled="f" stroked="t" coordsize="21600,21600" o:gfxdata="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A5kon/aAAAACwEAAA8AAAAA&#10;AAAAAQAgAAAAIgAAAGRycy9kb3ducmV2LnhtbFBLAQIUABQAAAAIAIdO4kCO10GqEgIAADIEAAAO&#10;AAAAAAAAAAEAIAAAACkBAABkcnMvZTJvRG9jLnhtbFBLBQYAAAAABgAGAFkBAACtBQAAAAA=&#10;">
                <v:fill on="f" focussize="0,0"/>
                <v:stroke color="#000000" joinstyle="miter"/>
                <v:imagedata o:title=""/>
                <o:lock v:ext="edit" aspectratio="f"/>
                <v:textbox inset="0mm,0mm,0mm,0mm">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居民身份证复印件(反面)粘贴处</w:t>
                      </w:r>
                    </w:p>
                    <w:p>
                      <w:pPr>
                        <w:spacing w:before="209"/>
                        <w:ind w:left="661" w:right="659"/>
                        <w:jc w:val="center"/>
                        <w:rPr>
                          <w:sz w:val="28"/>
                        </w:rPr>
                      </w:pPr>
                      <w:r>
                        <w:rPr>
                          <w:sz w:val="28"/>
                        </w:rPr>
                        <w:t>（</w:t>
                      </w:r>
                      <w:r>
                        <w:rPr>
                          <w:spacing w:val="-3"/>
                          <w:sz w:val="28"/>
                        </w:rPr>
                        <w:t>骑缝处加盖单位公章</w:t>
                      </w:r>
                      <w:r>
                        <w:rPr>
                          <w:sz w:val="28"/>
                        </w:rPr>
                        <w:t>）</w:t>
                      </w:r>
                    </w:p>
                    <w:p/>
                  </w:txbxContent>
                </v:textbox>
                <w10:wrap type="topAndBottom"/>
              </v:shape>
            </w:pict>
          </mc:Fallback>
        </mc:AlternateContent>
      </w:r>
      <w:r>
        <w:rPr>
          <w:rFonts w:ascii="仿宋" w:hAnsi="仿宋" w:eastAsia="仿宋"/>
          <w:color w:val="auto"/>
          <w:highlight w:val="none"/>
        </w:rPr>
        <mc:AlternateContent>
          <mc:Choice Requires="wps">
            <w:drawing>
              <wp:anchor distT="0" distB="0" distL="114300" distR="114300" simplePos="0" relativeHeight="251659264" behindDoc="1" locked="0" layoutInCell="1" allowOverlap="1">
                <wp:simplePos x="0" y="0"/>
                <wp:positionH relativeFrom="page">
                  <wp:posOffset>883285</wp:posOffset>
                </wp:positionH>
                <wp:positionV relativeFrom="paragraph">
                  <wp:posOffset>503555</wp:posOffset>
                </wp:positionV>
                <wp:extent cx="2829560" cy="1609090"/>
                <wp:effectExtent l="0" t="0" r="27940" b="10160"/>
                <wp:wrapTopAndBottom/>
                <wp:docPr id="4" name="文本框 4"/>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居民身份证复印件（正面）粘贴处</w:t>
                            </w:r>
                          </w:p>
                          <w:p>
                            <w:pPr>
                              <w:spacing w:before="209"/>
                              <w:ind w:left="661" w:right="659"/>
                              <w:jc w:val="center"/>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69.55pt;margin-top:39.65pt;height:126.7pt;width:222.8pt;mso-position-horizontal-relative:page;mso-wrap-distance-bottom:0pt;mso-wrap-distance-top:0pt;z-index:-251657216;mso-width-relative:page;mso-height-relative:page;" filled="f" stroked="t" coordsize="21600,21600" o:gfxdata="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TCYR52gAAAAoBAAAPAAAA&#10;AAAAAAEAIAAAACIAAABkcnMvZG93bnJldi54bWxQSwECFAAUAAAACACHTuJA3nsHLhMCAAAyBAAA&#10;DgAAAAAAAAABACAAAAApAQAAZHJzL2Uyb0RvYy54bWxQSwUGAAAAAAYABgBZAQAArgUAAAAA&#10;">
                <v:fill on="f" focussize="0,0"/>
                <v:stroke color="#000000" joinstyle="miter"/>
                <v:imagedata o:title=""/>
                <o:lock v:ext="edit" aspectratio="f"/>
                <v:textbox inset="0mm,0mm,0mm,0mm">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居民身份证复印件（正面）粘贴处</w:t>
                      </w:r>
                    </w:p>
                    <w:p>
                      <w:pPr>
                        <w:spacing w:before="209"/>
                        <w:ind w:left="661" w:right="659"/>
                        <w:jc w:val="center"/>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mc:AlternateContent>
          <mc:Choice Requires="wps">
            <w:drawing>
              <wp:anchor distT="0" distB="0" distL="114300" distR="114300" simplePos="0" relativeHeight="251661312" behindDoc="1" locked="0" layoutInCell="1" allowOverlap="1">
                <wp:simplePos x="0" y="0"/>
                <wp:positionH relativeFrom="page">
                  <wp:posOffset>965835</wp:posOffset>
                </wp:positionH>
                <wp:positionV relativeFrom="paragraph">
                  <wp:posOffset>1073150</wp:posOffset>
                </wp:positionV>
                <wp:extent cx="2829560" cy="1609090"/>
                <wp:effectExtent l="0" t="0" r="27940" b="10160"/>
                <wp:wrapTopAndBottom/>
                <wp:docPr id="1" name="文本框 1"/>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居民身份证复印件（正面）粘贴处</w:t>
                            </w:r>
                          </w:p>
                          <w:p>
                            <w:pPr>
                              <w:spacing w:before="125"/>
                              <w:ind w:left="680"/>
                              <w:jc w:val="left"/>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76.05pt;margin-top:84.5pt;height:126.7pt;width:222.8pt;mso-position-horizontal-relative:page;mso-wrap-distance-bottom:0pt;mso-wrap-distance-top:0pt;z-index:-251655168;mso-width-relative:page;mso-height-relative:page;" filled="f" stroked="t" coordsize="21600,21600" o:gfxdata="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W/QTFNkAAAALAQAADwAAAAAA&#10;AAABACAAAAAiAAAAZHJzL2Rvd25yZXYueG1sUEsBAhQAFAAAAAgAh07iQKaBYugSAgAAMgQAAA4A&#10;AAAAAAAAAQAgAAAAKAEAAGRycy9lMm9Eb2MueG1sUEsFBgAAAAAGAAYAWQEAAKwFAAAAAA==&#10;">
                <v:fill on="f" focussize="0,0"/>
                <v:stroke color="#000000" joinstyle="miter"/>
                <v:imagedata o:title=""/>
                <o:lock v:ext="edit" aspectratio="f"/>
                <v:textbox inset="0mm,0mm,0mm,0mm">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居民身份证复印件（正面）粘贴处</w:t>
                      </w:r>
                    </w:p>
                    <w:p>
                      <w:pPr>
                        <w:spacing w:before="125"/>
                        <w:ind w:left="680"/>
                        <w:jc w:val="left"/>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mc:AlternateContent>
          <mc:Choice Requires="wps">
            <w:drawing>
              <wp:anchor distT="0" distB="0" distL="114300" distR="114300" simplePos="0" relativeHeight="251662336" behindDoc="1" locked="0" layoutInCell="1" allowOverlap="1">
                <wp:simplePos x="0" y="0"/>
                <wp:positionH relativeFrom="page">
                  <wp:posOffset>3937635</wp:posOffset>
                </wp:positionH>
                <wp:positionV relativeFrom="paragraph">
                  <wp:posOffset>361950</wp:posOffset>
                </wp:positionV>
                <wp:extent cx="2829560" cy="1609090"/>
                <wp:effectExtent l="0" t="0" r="27940" b="10160"/>
                <wp:wrapTopAndBottom/>
                <wp:docPr id="6" name="文本框 6"/>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居民身份证复印件（反面）粘贴处</w:t>
                            </w:r>
                          </w:p>
                          <w:p>
                            <w:pPr>
                              <w:spacing w:before="125"/>
                              <w:ind w:left="680"/>
                              <w:jc w:val="left"/>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310.05pt;margin-top:28.5pt;height:126.7pt;width:222.8pt;mso-position-horizontal-relative:page;mso-wrap-distance-bottom:0pt;mso-wrap-distance-top:0pt;z-index:-251654144;mso-width-relative:page;mso-height-relative:page;" filled="f" stroked="t" coordsize="21600,21600" o:gfxdata="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yh8az2gAAAAsBAAAPAAAA&#10;AAAAAAEAIAAAACIAAABkcnMvZG93bnJldi54bWxQSwECFAAUAAAACACHTuJA0R3q5BMCAAAyBAAA&#10;DgAAAAAAAAABACAAAAApAQAAZHJzL2Uyb0RvYy54bWxQSwUGAAAAAAYABgBZAQAArgUAAAAA&#10;">
                <v:fill on="f" focussize="0,0"/>
                <v:stroke color="#000000" joinstyle="miter"/>
                <v:imagedata o:title=""/>
                <o:lock v:ext="edit" aspectratio="f"/>
                <v:textbox inset="0mm,0mm,0mm,0mm">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居民身份证复印件（反面）粘贴处</w:t>
                      </w:r>
                    </w:p>
                    <w:p>
                      <w:pPr>
                        <w:spacing w:before="125"/>
                        <w:ind w:left="680"/>
                        <w:jc w:val="left"/>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480" w:lineRule="atLeast"/>
        <w:jc w:val="both"/>
        <w:rPr>
          <w:rFonts w:ascii="仿宋" w:hAnsi="仿宋" w:eastAsia="仿宋" w:cs="仿宋"/>
          <w:color w:val="auto"/>
          <w:sz w:val="32"/>
          <w:szCs w:val="32"/>
          <w:highlight w:val="none"/>
        </w:rPr>
      </w:pPr>
    </w:p>
    <w:p>
      <w:pPr>
        <w:pStyle w:val="5"/>
        <w:autoSpaceDE w:val="0"/>
        <w:autoSpaceDN w:val="0"/>
        <w:spacing w:line="480" w:lineRule="atLeast"/>
        <w:jc w:val="both"/>
        <w:rPr>
          <w:rFonts w:ascii="仿宋" w:hAnsi="仿宋" w:eastAsia="仿宋" w:cs="仿宋"/>
          <w:color w:val="auto"/>
          <w:sz w:val="32"/>
          <w:szCs w:val="32"/>
          <w:highlight w:val="none"/>
        </w:rPr>
      </w:pPr>
    </w:p>
    <w:p>
      <w:pPr>
        <w:pStyle w:val="5"/>
        <w:autoSpaceDE w:val="0"/>
        <w:autoSpaceDN w:val="0"/>
        <w:spacing w:line="480" w:lineRule="atLeast"/>
        <w:jc w:val="both"/>
        <w:rPr>
          <w:rFonts w:ascii="仿宋" w:hAnsi="仿宋" w:eastAsia="仿宋" w:cs="仿宋"/>
          <w:color w:val="auto"/>
          <w:sz w:val="32"/>
          <w:szCs w:val="32"/>
          <w:highlight w:val="none"/>
        </w:rPr>
      </w:pPr>
    </w:p>
    <w:p>
      <w:pPr>
        <w:pStyle w:val="5"/>
        <w:autoSpaceDE w:val="0"/>
        <w:autoSpaceDN w:val="0"/>
        <w:spacing w:line="480" w:lineRule="atLeast"/>
        <w:jc w:val="both"/>
        <w:rPr>
          <w:rFonts w:ascii="仿宋" w:hAnsi="仿宋" w:eastAsia="仿宋"/>
          <w:color w:val="auto"/>
          <w:sz w:val="28"/>
          <w:szCs w:val="28"/>
          <w:highlight w:val="none"/>
        </w:rPr>
      </w:pPr>
      <w:r>
        <w:rPr>
          <w:rFonts w:hint="eastAsia" w:ascii="仿宋" w:hAnsi="仿宋" w:eastAsia="仿宋" w:cs="仿宋"/>
          <w:color w:val="auto"/>
          <w:sz w:val="32"/>
          <w:szCs w:val="32"/>
          <w:highlight w:val="none"/>
        </w:rPr>
        <w:t>附件2</w:t>
      </w:r>
    </w:p>
    <w:p>
      <w:pPr>
        <w:autoSpaceDE w:val="0"/>
        <w:autoSpaceDN w:val="0"/>
        <w:spacing w:line="560" w:lineRule="exact"/>
        <w:jc w:val="center"/>
        <w:rPr>
          <w:rFonts w:hint="eastAsia" w:ascii="宋体" w:hAnsi="宋体" w:eastAsia="宋体" w:cs="方正小标宋简体"/>
          <w:b/>
          <w:color w:val="auto"/>
          <w:spacing w:val="-1"/>
          <w:sz w:val="44"/>
          <w:highlight w:val="none"/>
          <w:lang w:val="en-US" w:eastAsia="zh-CN"/>
        </w:rPr>
      </w:pPr>
      <w:r>
        <w:rPr>
          <w:rFonts w:hint="eastAsia" w:ascii="宋体" w:hAnsi="宋体" w:eastAsia="宋体" w:cs="方正小标宋简体"/>
          <w:b/>
          <w:color w:val="auto"/>
          <w:spacing w:val="-1"/>
          <w:sz w:val="44"/>
          <w:highlight w:val="none"/>
          <w:lang w:val="en-US" w:eastAsia="zh-CN"/>
        </w:rPr>
        <w:t>京津冀“3+N”联盟</w:t>
      </w:r>
      <w:r>
        <w:rPr>
          <w:rFonts w:hint="eastAsia" w:ascii="宋体" w:hAnsi="宋体" w:cs="方正小标宋简体"/>
          <w:b/>
          <w:color w:val="auto"/>
          <w:spacing w:val="-1"/>
          <w:sz w:val="44"/>
          <w:highlight w:val="none"/>
          <w:lang w:val="en-US" w:eastAsia="zh-CN"/>
        </w:rPr>
        <w:t>透析用长期中心静脉导管（TCC）</w:t>
      </w:r>
      <w:r>
        <w:rPr>
          <w:rFonts w:hint="eastAsia" w:ascii="宋体" w:hAnsi="宋体" w:eastAsia="宋体" w:cs="方正小标宋简体"/>
          <w:b/>
          <w:color w:val="auto"/>
          <w:spacing w:val="-1"/>
          <w:sz w:val="44"/>
          <w:highlight w:val="none"/>
          <w:lang w:val="en-US" w:eastAsia="zh-CN"/>
        </w:rPr>
        <w:t>集中带量采购企业承诺函</w:t>
      </w:r>
    </w:p>
    <w:p>
      <w:pPr>
        <w:pStyle w:val="2"/>
        <w:rPr>
          <w:rFonts w:hint="eastAsia"/>
          <w:color w:val="auto"/>
          <w:highlight w:val="none"/>
          <w:lang w:val="en-US" w:eastAsia="zh-CN"/>
        </w:rPr>
      </w:pPr>
    </w:p>
    <w:p>
      <w:pPr>
        <w:pStyle w:val="5"/>
        <w:autoSpaceDE w:val="0"/>
        <w:autoSpaceDN w:val="0"/>
        <w:spacing w:line="440" w:lineRule="atLeast"/>
        <w:jc w:val="both"/>
        <w:rPr>
          <w:rFonts w:ascii="仿宋" w:hAnsi="仿宋" w:eastAsia="仿宋" w:cs="仿宋_GB2312"/>
          <w:color w:val="auto"/>
          <w:sz w:val="32"/>
          <w:szCs w:val="32"/>
          <w:highlight w:val="none"/>
        </w:rPr>
      </w:pPr>
      <w:r>
        <w:rPr>
          <w:rFonts w:ascii="仿宋" w:hAnsi="仿宋" w:eastAsia="仿宋" w:cs="仿宋"/>
          <w:b/>
          <w:bCs/>
          <w:color w:val="auto"/>
          <w:spacing w:val="-3"/>
          <w:sz w:val="32"/>
          <w:highlight w:val="none"/>
          <w:lang w:val="en"/>
        </w:rPr>
        <w:t>河北省医用药品器械集中采购中心</w:t>
      </w:r>
      <w:r>
        <w:rPr>
          <w:rFonts w:hint="eastAsia" w:ascii="仿宋" w:hAnsi="仿宋" w:eastAsia="仿宋" w:cs="仿宋_GB2312"/>
          <w:color w:val="auto"/>
          <w:sz w:val="32"/>
          <w:szCs w:val="32"/>
          <w:highlight w:val="none"/>
        </w:rPr>
        <w:t>：</w:t>
      </w:r>
    </w:p>
    <w:p>
      <w:pPr>
        <w:pStyle w:val="5"/>
        <w:keepNext w:val="0"/>
        <w:keepLines w:val="0"/>
        <w:pageBreakBefore w:val="0"/>
        <w:widowControl w:val="0"/>
        <w:kinsoku/>
        <w:wordWrap/>
        <w:overflowPunct/>
        <w:topLinePunct w:val="0"/>
        <w:autoSpaceDE w:val="0"/>
        <w:autoSpaceDN w:val="0"/>
        <w:bidi w:val="0"/>
        <w:adjustRightInd/>
        <w:snapToGrid/>
        <w:spacing w:line="480" w:lineRule="atLeast"/>
        <w:ind w:firstLine="640" w:firstLineChars="200"/>
        <w:jc w:val="both"/>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本企业自愿参与</w:t>
      </w:r>
      <w:r>
        <w:rPr>
          <w:rFonts w:hint="eastAsia" w:ascii="仿宋" w:hAnsi="仿宋" w:eastAsia="仿宋" w:cs="仿宋"/>
          <w:color w:val="auto"/>
          <w:kern w:val="2"/>
          <w:sz w:val="32"/>
          <w:szCs w:val="32"/>
          <w:highlight w:val="none"/>
          <w:u w:val="none"/>
          <w:lang w:val="zh-CN" w:eastAsia="zh-CN" w:bidi="ar-SA"/>
        </w:rPr>
        <w:t>本次</w:t>
      </w:r>
      <w:r>
        <w:rPr>
          <w:rFonts w:hint="eastAsia" w:ascii="仿宋_GB2312" w:hAnsi="仿宋_GB2312" w:eastAsia="仿宋_GB2312" w:cs="仿宋_GB2312"/>
          <w:color w:val="auto"/>
          <w:spacing w:val="-8"/>
          <w:sz w:val="32"/>
          <w:szCs w:val="32"/>
          <w:highlight w:val="none"/>
          <w:lang w:val="en-US" w:eastAsia="zh-CN"/>
        </w:rPr>
        <w:t>京津冀“3+N”联盟</w:t>
      </w:r>
      <w:r>
        <w:rPr>
          <w:rFonts w:hint="eastAsia" w:ascii="仿宋" w:hAnsi="仿宋" w:eastAsia="仿宋" w:cs="仿宋"/>
          <w:color w:val="auto"/>
          <w:kern w:val="2"/>
          <w:sz w:val="32"/>
          <w:szCs w:val="32"/>
          <w:highlight w:val="none"/>
          <w:u w:val="none"/>
          <w:lang w:val="en-US" w:eastAsia="zh-CN" w:bidi="ar-SA"/>
        </w:rPr>
        <w:t>透析用长期中心静脉导管（TCC）</w:t>
      </w:r>
      <w:r>
        <w:rPr>
          <w:rFonts w:hint="eastAsia" w:ascii="仿宋" w:hAnsi="仿宋" w:eastAsia="仿宋" w:cs="仿宋"/>
          <w:color w:val="auto"/>
          <w:kern w:val="2"/>
          <w:sz w:val="32"/>
          <w:szCs w:val="32"/>
          <w:highlight w:val="none"/>
          <w:u w:val="none"/>
          <w:lang w:val="zh-CN" w:eastAsia="zh-CN" w:bidi="ar-SA"/>
        </w:rPr>
        <w:t>集中带量采购项目，在整个集中带量采购过程中，我企业做出如</w:t>
      </w:r>
      <w:r>
        <w:rPr>
          <w:rFonts w:hint="eastAsia" w:ascii="仿宋" w:hAnsi="仿宋" w:eastAsia="仿宋" w:cs="仿宋"/>
          <w:color w:val="auto"/>
          <w:kern w:val="2"/>
          <w:sz w:val="32"/>
          <w:szCs w:val="32"/>
          <w:highlight w:val="none"/>
          <w:u w:val="none"/>
          <w:lang w:val="en-US" w:eastAsia="zh-CN" w:bidi="ar-SA"/>
        </w:rPr>
        <w:t>下承诺：</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1.保证提供的所有材料均</w:t>
      </w:r>
      <w:r>
        <w:rPr>
          <w:rFonts w:hint="eastAsia" w:ascii="仿宋" w:hAnsi="仿宋" w:eastAsia="仿宋" w:cs="仿宋"/>
          <w:color w:val="auto"/>
          <w:spacing w:val="-13"/>
          <w:sz w:val="32"/>
          <w:szCs w:val="32"/>
          <w:highlight w:val="none"/>
          <w:lang w:val="en-US" w:eastAsia="zh-CN"/>
        </w:rPr>
        <w:t>完整、准确、</w:t>
      </w:r>
      <w:r>
        <w:rPr>
          <w:rFonts w:hint="eastAsia" w:ascii="仿宋" w:hAnsi="仿宋" w:eastAsia="仿宋" w:cs="仿宋"/>
          <w:color w:val="auto"/>
          <w:spacing w:val="-13"/>
          <w:sz w:val="32"/>
          <w:szCs w:val="32"/>
          <w:highlight w:val="none"/>
        </w:rPr>
        <w:t>真实、合法</w:t>
      </w:r>
      <w:r>
        <w:rPr>
          <w:rFonts w:hint="eastAsia" w:ascii="仿宋" w:hAnsi="仿宋" w:eastAsia="仿宋" w:cs="仿宋"/>
          <w:color w:val="auto"/>
          <w:kern w:val="2"/>
          <w:sz w:val="32"/>
          <w:szCs w:val="32"/>
          <w:highlight w:val="none"/>
          <w:u w:val="none"/>
          <w:lang w:val="en-US" w:eastAsia="zh-CN" w:bidi="ar-SA"/>
        </w:rPr>
        <w:t>，不会在集中带量采购过程中发生任何违法违规行为。</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2.本企业所有符合申报条件且在联盟地区有销售的产品均已申报进入《供应品种清单》。</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3.保证按照本项目规定的时间和工作要求参加集中带量采购活动，如因自身原因未能在规定时间内递交申报材料等而造成的申报失败，责任由我方承担。</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4.在本次采购周期内能够连续生产中选产品，保证货源充足，能够及时足量供应。除遇不可抗力外，如出现断供情况，自愿承担一切损失。</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5.本企业申报的产品如能获得中选资格，保证按照中选的产品信息、产品质量标准提供合格医用耗材，有效期符合有关规定。</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6.不论医疗机构路程远近及采购数量和金额多少，均按照合同要求保证及时供货并提供全面、完善的服务。</w:t>
      </w:r>
    </w:p>
    <w:p>
      <w:pPr>
        <w:pStyle w:val="5"/>
        <w:keepNext w:val="0"/>
        <w:keepLines w:val="0"/>
        <w:pageBreakBefore w:val="0"/>
        <w:widowControl w:val="0"/>
        <w:tabs>
          <w:tab w:val="left" w:pos="3884"/>
          <w:tab w:val="left" w:pos="9538"/>
        </w:tabs>
        <w:kinsoku/>
        <w:wordWrap/>
        <w:overflowPunct/>
        <w:topLinePunct w:val="0"/>
        <w:autoSpaceDE w:val="0"/>
        <w:autoSpaceDN w:val="0"/>
        <w:bidi w:val="0"/>
        <w:adjustRightInd/>
        <w:snapToGrid/>
        <w:spacing w:line="480" w:lineRule="atLeast"/>
        <w:jc w:val="both"/>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生产企业（盖章）：</w:t>
      </w:r>
      <w:r>
        <w:rPr>
          <w:rFonts w:hint="eastAsia" w:ascii="仿宋" w:hAnsi="仿宋" w:eastAsia="仿宋" w:cs="仿宋"/>
          <w:color w:val="auto"/>
          <w:kern w:val="2"/>
          <w:sz w:val="32"/>
          <w:szCs w:val="32"/>
          <w:highlight w:val="none"/>
          <w:u w:val="none"/>
          <w:lang w:val="en-US" w:eastAsia="zh-CN" w:bidi="ar-SA"/>
        </w:rPr>
        <w:tab/>
      </w:r>
      <w:r>
        <w:rPr>
          <w:rFonts w:hint="eastAsia" w:ascii="仿宋" w:hAnsi="仿宋" w:eastAsia="仿宋" w:cs="仿宋"/>
          <w:color w:val="auto"/>
          <w:kern w:val="2"/>
          <w:sz w:val="32"/>
          <w:szCs w:val="32"/>
          <w:highlight w:val="none"/>
          <w:u w:val="none"/>
          <w:lang w:val="en-US" w:eastAsia="zh-CN" w:bidi="ar-SA"/>
        </w:rPr>
        <w:t xml:space="preserve">                             法定代表人（签字或盖章）：                           </w:t>
      </w:r>
    </w:p>
    <w:p>
      <w:pPr>
        <w:pStyle w:val="5"/>
        <w:keepNext w:val="0"/>
        <w:keepLines w:val="0"/>
        <w:pageBreakBefore w:val="0"/>
        <w:widowControl w:val="0"/>
        <w:tabs>
          <w:tab w:val="left" w:pos="3884"/>
          <w:tab w:val="left" w:pos="9538"/>
        </w:tabs>
        <w:kinsoku/>
        <w:wordWrap/>
        <w:overflowPunct/>
        <w:topLinePunct w:val="0"/>
        <w:autoSpaceDE w:val="0"/>
        <w:autoSpaceDN w:val="0"/>
        <w:bidi w:val="0"/>
        <w:adjustRightInd/>
        <w:snapToGrid/>
        <w:spacing w:line="480" w:lineRule="atLeast"/>
        <w:jc w:val="both"/>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zh-CN" w:eastAsia="zh-CN" w:bidi="ar-SA"/>
        </w:rPr>
        <w:t>被授权人（签字或盖章）：</w:t>
      </w:r>
      <w:r>
        <w:rPr>
          <w:rFonts w:hint="eastAsia" w:ascii="仿宋" w:hAnsi="仿宋" w:eastAsia="仿宋" w:cs="仿宋"/>
          <w:color w:val="auto"/>
          <w:kern w:val="2"/>
          <w:sz w:val="32"/>
          <w:szCs w:val="32"/>
          <w:highlight w:val="none"/>
          <w:u w:val="none"/>
          <w:lang w:val="en-US" w:eastAsia="zh-CN" w:bidi="ar-SA"/>
        </w:rPr>
        <w:t xml:space="preserve">                                                      </w:t>
      </w:r>
    </w:p>
    <w:p>
      <w:pPr>
        <w:pStyle w:val="5"/>
        <w:keepNext w:val="0"/>
        <w:keepLines w:val="0"/>
        <w:pageBreakBefore w:val="0"/>
        <w:widowControl w:val="0"/>
        <w:tabs>
          <w:tab w:val="left" w:pos="3884"/>
          <w:tab w:val="left" w:pos="9538"/>
        </w:tabs>
        <w:kinsoku/>
        <w:wordWrap/>
        <w:overflowPunct/>
        <w:topLinePunct w:val="0"/>
        <w:autoSpaceDE w:val="0"/>
        <w:autoSpaceDN w:val="0"/>
        <w:bidi w:val="0"/>
        <w:adjustRightInd/>
        <w:snapToGrid/>
        <w:spacing w:line="480" w:lineRule="atLeast"/>
        <w:ind w:firstLine="3200" w:firstLineChars="10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zh-CN" w:eastAsia="zh-CN" w:bidi="ar-SA"/>
        </w:rPr>
        <w:t xml:space="preserve">日期： </w:t>
      </w:r>
      <w:r>
        <w:rPr>
          <w:rFonts w:hint="eastAsia" w:ascii="仿宋" w:hAnsi="仿宋" w:eastAsia="仿宋" w:cs="仿宋"/>
          <w:color w:val="auto"/>
          <w:kern w:val="2"/>
          <w:sz w:val="32"/>
          <w:szCs w:val="32"/>
          <w:highlight w:val="none"/>
          <w:u w:val="none"/>
          <w:lang w:val="en-US" w:eastAsia="zh-CN" w:bidi="ar-SA"/>
        </w:rPr>
        <w:t xml:space="preserve">   </w:t>
      </w:r>
      <w:r>
        <w:rPr>
          <w:rFonts w:hint="eastAsia" w:ascii="仿宋" w:hAnsi="仿宋" w:eastAsia="仿宋" w:cs="仿宋"/>
          <w:color w:val="auto"/>
          <w:kern w:val="2"/>
          <w:sz w:val="32"/>
          <w:szCs w:val="32"/>
          <w:highlight w:val="none"/>
          <w:u w:val="none"/>
          <w:lang w:val="zh-CN" w:eastAsia="zh-CN" w:bidi="ar-SA"/>
        </w:rPr>
        <w:t>年</w:t>
      </w:r>
      <w:r>
        <w:rPr>
          <w:rFonts w:hint="eastAsia" w:ascii="仿宋" w:hAnsi="仿宋" w:eastAsia="仿宋" w:cs="仿宋"/>
          <w:color w:val="auto"/>
          <w:kern w:val="2"/>
          <w:sz w:val="32"/>
          <w:szCs w:val="32"/>
          <w:highlight w:val="none"/>
          <w:u w:val="none"/>
          <w:lang w:val="en-US" w:eastAsia="zh-CN" w:bidi="ar-SA"/>
        </w:rPr>
        <w:t xml:space="preserve"> </w:t>
      </w:r>
      <w:r>
        <w:rPr>
          <w:rFonts w:hint="eastAsia" w:ascii="仿宋" w:hAnsi="仿宋" w:eastAsia="仿宋" w:cs="仿宋"/>
          <w:color w:val="auto"/>
          <w:kern w:val="2"/>
          <w:sz w:val="32"/>
          <w:szCs w:val="32"/>
          <w:highlight w:val="none"/>
          <w:u w:val="none"/>
          <w:lang w:val="zh-CN" w:eastAsia="zh-CN" w:bidi="ar-SA"/>
        </w:rPr>
        <w:t xml:space="preserve"> </w:t>
      </w:r>
      <w:r>
        <w:rPr>
          <w:rFonts w:hint="eastAsia" w:ascii="仿宋" w:hAnsi="仿宋" w:eastAsia="仿宋" w:cs="仿宋"/>
          <w:color w:val="auto"/>
          <w:kern w:val="2"/>
          <w:sz w:val="32"/>
          <w:szCs w:val="32"/>
          <w:highlight w:val="none"/>
          <w:u w:val="none"/>
          <w:lang w:val="en-US" w:eastAsia="zh-CN" w:bidi="ar-SA"/>
        </w:rPr>
        <w:t xml:space="preserve">  </w:t>
      </w:r>
      <w:r>
        <w:rPr>
          <w:rFonts w:hint="eastAsia" w:ascii="仿宋" w:hAnsi="仿宋" w:eastAsia="仿宋" w:cs="仿宋"/>
          <w:color w:val="auto"/>
          <w:kern w:val="2"/>
          <w:sz w:val="32"/>
          <w:szCs w:val="32"/>
          <w:highlight w:val="none"/>
          <w:u w:val="none"/>
          <w:lang w:val="zh-CN" w:eastAsia="zh-CN" w:bidi="ar-SA"/>
        </w:rPr>
        <w:t xml:space="preserve">月 </w:t>
      </w:r>
      <w:r>
        <w:rPr>
          <w:rFonts w:hint="eastAsia" w:ascii="仿宋" w:hAnsi="仿宋" w:eastAsia="仿宋" w:cs="仿宋"/>
          <w:color w:val="auto"/>
          <w:kern w:val="2"/>
          <w:sz w:val="32"/>
          <w:szCs w:val="32"/>
          <w:highlight w:val="none"/>
          <w:u w:val="none"/>
          <w:lang w:val="en-US" w:eastAsia="zh-CN" w:bidi="ar-SA"/>
        </w:rPr>
        <w:t xml:space="preserve">  </w:t>
      </w:r>
      <w:r>
        <w:rPr>
          <w:rFonts w:hint="eastAsia" w:ascii="仿宋" w:hAnsi="仿宋" w:eastAsia="仿宋" w:cs="仿宋"/>
          <w:color w:val="auto"/>
          <w:kern w:val="2"/>
          <w:sz w:val="32"/>
          <w:szCs w:val="32"/>
          <w:highlight w:val="none"/>
          <w:u w:val="none"/>
          <w:lang w:val="zh-CN" w:eastAsia="zh-CN" w:bidi="ar-SA"/>
        </w:rPr>
        <w:t>日</w:t>
      </w:r>
    </w:p>
    <w:p>
      <w:pPr>
        <w:autoSpaceDE w:val="0"/>
        <w:autoSpaceDN w:val="0"/>
        <w:spacing w:line="440" w:lineRule="atLeast"/>
        <w:ind w:firstLine="640" w:firstLineChars="200"/>
        <w:rPr>
          <w:rFonts w:hint="eastAsia" w:ascii="仿宋" w:hAnsi="仿宋" w:eastAsia="仿宋" w:cs="仿宋"/>
          <w:color w:val="auto"/>
          <w:kern w:val="2"/>
          <w:sz w:val="32"/>
          <w:szCs w:val="32"/>
          <w:highlight w:val="none"/>
          <w:u w:val="none"/>
          <w:lang w:val="zh-CN" w:eastAsia="zh-CN" w:bidi="ar-SA"/>
        </w:rPr>
        <w:sectPr>
          <w:footerReference r:id="rId3" w:type="default"/>
          <w:pgSz w:w="11910" w:h="16840"/>
          <w:pgMar w:top="1701" w:right="1701" w:bottom="1701" w:left="1701" w:header="0" w:footer="1474" w:gutter="0"/>
          <w:cols w:space="720" w:num="1"/>
          <w:docGrid w:linePitch="1" w:charSpace="0"/>
        </w:sectPr>
      </w:pPr>
    </w:p>
    <w:p>
      <w:pPr>
        <w:pStyle w:val="5"/>
        <w:autoSpaceDE w:val="0"/>
        <w:autoSpaceDN w:val="0"/>
        <w:spacing w:line="560" w:lineRule="exact"/>
        <w:jc w:val="both"/>
        <w:rPr>
          <w:rFonts w:ascii="仿宋" w:hAnsi="仿宋" w:eastAsia="仿宋"/>
          <w:color w:val="auto"/>
          <w:sz w:val="28"/>
          <w:szCs w:val="28"/>
          <w:highlight w:val="none"/>
        </w:rPr>
      </w:pPr>
      <w:r>
        <w:rPr>
          <w:rFonts w:hint="eastAsia" w:ascii="仿宋" w:hAnsi="仿宋" w:eastAsia="仿宋" w:cs="仿宋"/>
          <w:color w:val="auto"/>
          <w:sz w:val="32"/>
          <w:szCs w:val="32"/>
          <w:highlight w:val="none"/>
        </w:rPr>
        <w:t>附件</w:t>
      </w:r>
      <w:r>
        <w:rPr>
          <w:rFonts w:ascii="仿宋" w:hAnsi="仿宋" w:eastAsia="仿宋" w:cs="仿宋"/>
          <w:color w:val="auto"/>
          <w:sz w:val="32"/>
          <w:szCs w:val="32"/>
          <w:highlight w:val="none"/>
        </w:rPr>
        <w:t>3</w:t>
      </w:r>
    </w:p>
    <w:p>
      <w:pPr>
        <w:autoSpaceDE w:val="0"/>
        <w:autoSpaceDN w:val="0"/>
        <w:spacing w:line="560" w:lineRule="exact"/>
        <w:jc w:val="center"/>
        <w:rPr>
          <w:rFonts w:hint="eastAsia" w:ascii="宋体" w:hAnsi="宋体" w:eastAsia="宋体" w:cs="宋体"/>
          <w:b/>
          <w:color w:val="auto"/>
          <w:sz w:val="44"/>
          <w:highlight w:val="none"/>
        </w:rPr>
      </w:pPr>
      <w:r>
        <w:rPr>
          <w:rFonts w:hint="eastAsia" w:ascii="宋体" w:hAnsi="宋体" w:eastAsia="宋体" w:cs="宋体"/>
          <w:b/>
          <w:color w:val="auto"/>
          <w:sz w:val="44"/>
          <w:highlight w:val="none"/>
        </w:rPr>
        <w:t>企业基本情况表</w:t>
      </w:r>
    </w:p>
    <w:p>
      <w:pPr>
        <w:pStyle w:val="5"/>
        <w:autoSpaceDE w:val="0"/>
        <w:autoSpaceDN w:val="0"/>
        <w:spacing w:line="560" w:lineRule="exact"/>
        <w:ind w:firstLine="200" w:firstLineChars="200"/>
        <w:rPr>
          <w:rFonts w:ascii="仿宋" w:hAnsi="仿宋" w:eastAsia="仿宋"/>
          <w:color w:val="auto"/>
          <w:sz w:val="10"/>
          <w:highlight w:val="none"/>
        </w:rPr>
      </w:pPr>
    </w:p>
    <w:p>
      <w:pPr>
        <w:pStyle w:val="5"/>
        <w:autoSpaceDE w:val="0"/>
        <w:autoSpaceDN w:val="0"/>
        <w:spacing w:line="560" w:lineRule="exact"/>
        <w:ind w:firstLine="640" w:firstLineChars="200"/>
        <w:jc w:val="left"/>
        <w:rPr>
          <w:rFonts w:hint="eastAsia" w:ascii="仿宋" w:hAnsi="仿宋" w:eastAsia="仿宋" w:cs="仿宋_GB2312"/>
          <w:color w:val="auto"/>
          <w:sz w:val="32"/>
          <w:szCs w:val="32"/>
          <w:highlight w:val="none"/>
          <w:lang w:eastAsia="zh-CN"/>
        </w:rPr>
      </w:pPr>
      <w:r>
        <w:rPr>
          <w:rFonts w:hint="eastAsia" w:ascii="仿宋" w:hAnsi="仿宋" w:eastAsia="仿宋" w:cs="仿宋_GB2312"/>
          <w:color w:val="auto"/>
          <w:sz w:val="32"/>
          <w:szCs w:val="32"/>
          <w:highlight w:val="none"/>
        </w:rPr>
        <w:t>企业名称（中/英文）</w:t>
      </w:r>
      <w:r>
        <w:rPr>
          <w:rFonts w:hint="eastAsia" w:ascii="仿宋" w:hAnsi="仿宋" w:eastAsia="仿宋" w:cs="仿宋_GB2312"/>
          <w:color w:val="auto"/>
          <w:sz w:val="32"/>
          <w:szCs w:val="32"/>
          <w:highlight w:val="none"/>
          <w:lang w:eastAsia="zh-CN"/>
        </w:rPr>
        <w:t>：</w:t>
      </w:r>
    </w:p>
    <w:p>
      <w:pPr>
        <w:autoSpaceDE w:val="0"/>
        <w:autoSpaceDN w:val="0"/>
        <w:spacing w:line="560" w:lineRule="exact"/>
        <w:ind w:firstLine="640" w:firstLineChars="200"/>
        <w:jc w:val="left"/>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法定代表人(手写签字)：</w:t>
      </w:r>
    </w:p>
    <w:p>
      <w:pPr>
        <w:tabs>
          <w:tab w:val="left" w:pos="7092"/>
        </w:tabs>
        <w:autoSpaceDE w:val="0"/>
        <w:autoSpaceDN w:val="0"/>
        <w:spacing w:line="560" w:lineRule="exact"/>
        <w:ind w:firstLine="640" w:firstLineChars="200"/>
        <w:jc w:val="left"/>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授权代表(手写签</w:t>
      </w:r>
      <w:r>
        <w:rPr>
          <w:rFonts w:hint="eastAsia" w:ascii="仿宋" w:hAnsi="仿宋" w:eastAsia="仿宋" w:cs="仿宋_GB2312"/>
          <w:color w:val="auto"/>
          <w:spacing w:val="4"/>
          <w:sz w:val="32"/>
          <w:szCs w:val="32"/>
          <w:highlight w:val="none"/>
        </w:rPr>
        <w:t>字</w:t>
      </w:r>
      <w:r>
        <w:rPr>
          <w:rFonts w:hint="eastAsia" w:ascii="仿宋" w:hAnsi="仿宋" w:eastAsia="仿宋" w:cs="仿宋_GB2312"/>
          <w:color w:val="auto"/>
          <w:sz w:val="32"/>
          <w:szCs w:val="32"/>
          <w:highlight w:val="none"/>
        </w:rPr>
        <w:t>)：         联系电话：</w:t>
      </w:r>
    </w:p>
    <w:p>
      <w:pPr>
        <w:pStyle w:val="5"/>
        <w:tabs>
          <w:tab w:val="left" w:pos="7085"/>
        </w:tabs>
        <w:autoSpaceDE w:val="0"/>
        <w:autoSpaceDN w:val="0"/>
        <w:spacing w:line="560" w:lineRule="exact"/>
        <w:ind w:firstLine="640" w:firstLineChars="200"/>
        <w:jc w:val="both"/>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移动电话：                   传真：</w:t>
      </w:r>
    </w:p>
    <w:p>
      <w:pPr>
        <w:pStyle w:val="5"/>
        <w:tabs>
          <w:tab w:val="left" w:pos="7085"/>
        </w:tabs>
        <w:autoSpaceDE w:val="0"/>
        <w:autoSpaceDN w:val="0"/>
        <w:spacing w:line="560" w:lineRule="exact"/>
        <w:ind w:firstLine="640" w:firstLineChars="200"/>
        <w:jc w:val="both"/>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详细地址：                   邮政编码：</w:t>
      </w:r>
    </w:p>
    <w:p>
      <w:pPr>
        <w:pStyle w:val="5"/>
        <w:autoSpaceDE w:val="0"/>
        <w:autoSpaceDN w:val="0"/>
        <w:spacing w:line="560" w:lineRule="exact"/>
        <w:ind w:firstLine="640" w:firstLineChars="200"/>
        <w:jc w:val="both"/>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注册资本金（万元）：</w:t>
      </w:r>
    </w:p>
    <w:p>
      <w:pPr>
        <w:pStyle w:val="5"/>
        <w:autoSpaceDE w:val="0"/>
        <w:autoSpaceDN w:val="0"/>
        <w:spacing w:line="560" w:lineRule="exact"/>
        <w:ind w:firstLine="640" w:firstLineChars="200"/>
        <w:rPr>
          <w:rFonts w:ascii="仿宋" w:hAnsi="仿宋" w:eastAsia="仿宋" w:cs="仿宋_GB2312"/>
          <w:color w:val="auto"/>
          <w:sz w:val="32"/>
          <w:szCs w:val="32"/>
          <w:highlight w:val="none"/>
        </w:rPr>
      </w:pPr>
    </w:p>
    <w:p>
      <w:pPr>
        <w:pStyle w:val="5"/>
        <w:tabs>
          <w:tab w:val="left" w:pos="7565"/>
          <w:tab w:val="left" w:pos="7644"/>
        </w:tabs>
        <w:autoSpaceDE w:val="0"/>
        <w:autoSpaceDN w:val="0"/>
        <w:spacing w:line="560" w:lineRule="exact"/>
        <w:ind w:firstLine="640" w:firstLineChars="200"/>
        <w:jc w:val="both"/>
        <w:rPr>
          <w:rFonts w:ascii="仿宋" w:hAnsi="仿宋" w:eastAsia="仿宋" w:cs="仿宋_GB2312"/>
          <w:color w:val="auto"/>
          <w:spacing w:val="-17"/>
          <w:sz w:val="32"/>
          <w:szCs w:val="32"/>
          <w:highlight w:val="none"/>
        </w:rPr>
      </w:pPr>
      <w:r>
        <w:rPr>
          <w:rFonts w:hint="eastAsia" w:ascii="仿宋" w:hAnsi="仿宋" w:eastAsia="仿宋" w:cs="仿宋_GB2312"/>
          <w:color w:val="auto"/>
          <w:sz w:val="32"/>
          <w:szCs w:val="32"/>
          <w:highlight w:val="none"/>
        </w:rPr>
        <w:t>202</w:t>
      </w:r>
      <w:r>
        <w:rPr>
          <w:rFonts w:ascii="仿宋" w:hAnsi="仿宋" w:eastAsia="仿宋" w:cs="仿宋_GB2312"/>
          <w:color w:val="auto"/>
          <w:sz w:val="32"/>
          <w:szCs w:val="32"/>
          <w:highlight w:val="none"/>
        </w:rPr>
        <w:t>2</w:t>
      </w:r>
      <w:r>
        <w:rPr>
          <w:rFonts w:hint="eastAsia" w:ascii="仿宋" w:hAnsi="仿宋" w:eastAsia="仿宋" w:cs="仿宋_GB2312"/>
          <w:color w:val="auto"/>
          <w:sz w:val="32"/>
          <w:szCs w:val="32"/>
          <w:highlight w:val="none"/>
        </w:rPr>
        <w:t>年度增值税应纳税额（万元）：</w:t>
      </w:r>
      <w:r>
        <w:rPr>
          <w:rFonts w:hint="eastAsia" w:ascii="仿宋" w:hAnsi="仿宋" w:eastAsia="仿宋" w:cs="仿宋_GB2312"/>
          <w:color w:val="auto"/>
          <w:sz w:val="32"/>
          <w:szCs w:val="32"/>
          <w:highlight w:val="none"/>
        </w:rPr>
        <w:tab/>
      </w:r>
      <w:r>
        <w:rPr>
          <w:rFonts w:hint="eastAsia" w:ascii="仿宋" w:hAnsi="仿宋" w:eastAsia="仿宋" w:cs="仿宋_GB2312"/>
          <w:color w:val="auto"/>
          <w:sz w:val="32"/>
          <w:szCs w:val="32"/>
          <w:highlight w:val="none"/>
        </w:rPr>
        <w:tab/>
      </w:r>
      <w:r>
        <w:rPr>
          <w:rFonts w:hint="eastAsia" w:ascii="仿宋" w:hAnsi="仿宋" w:eastAsia="仿宋" w:cs="仿宋_GB2312"/>
          <w:color w:val="auto"/>
          <w:spacing w:val="-17"/>
          <w:sz w:val="32"/>
          <w:szCs w:val="32"/>
          <w:highlight w:val="none"/>
        </w:rPr>
        <w:t xml:space="preserve">； </w:t>
      </w:r>
    </w:p>
    <w:p>
      <w:pPr>
        <w:pStyle w:val="5"/>
        <w:tabs>
          <w:tab w:val="left" w:pos="7565"/>
          <w:tab w:val="left" w:pos="7644"/>
        </w:tabs>
        <w:autoSpaceDE w:val="0"/>
        <w:autoSpaceDN w:val="0"/>
        <w:spacing w:line="560" w:lineRule="exact"/>
        <w:ind w:firstLine="640" w:firstLineChars="200"/>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 xml:space="preserve">        对应销售金额（万元）：</w:t>
      </w:r>
      <w:r>
        <w:rPr>
          <w:rFonts w:hint="eastAsia" w:ascii="仿宋" w:hAnsi="仿宋" w:eastAsia="仿宋" w:cs="仿宋_GB2312"/>
          <w:color w:val="auto"/>
          <w:sz w:val="32"/>
          <w:szCs w:val="32"/>
          <w:highlight w:val="none"/>
        </w:rPr>
        <w:tab/>
      </w:r>
      <w:r>
        <w:rPr>
          <w:rFonts w:hint="eastAsia" w:ascii="仿宋" w:hAnsi="仿宋" w:eastAsia="仿宋" w:cs="仿宋_GB2312"/>
          <w:color w:val="auto"/>
          <w:sz w:val="32"/>
          <w:szCs w:val="32"/>
          <w:highlight w:val="none"/>
        </w:rPr>
        <w:t>；</w:t>
      </w:r>
    </w:p>
    <w:p>
      <w:pPr>
        <w:pStyle w:val="5"/>
        <w:autoSpaceDE w:val="0"/>
        <w:autoSpaceDN w:val="0"/>
        <w:spacing w:line="560" w:lineRule="exact"/>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（以202</w:t>
      </w:r>
      <w:r>
        <w:rPr>
          <w:rFonts w:hint="eastAsia" w:ascii="仿宋" w:hAnsi="仿宋" w:eastAsia="仿宋" w:cs="仿宋_GB2312"/>
          <w:color w:val="auto"/>
          <w:sz w:val="32"/>
          <w:szCs w:val="32"/>
          <w:highlight w:val="none"/>
          <w:lang w:val="en-US" w:eastAsia="zh-CN"/>
        </w:rPr>
        <w:t>2</w:t>
      </w:r>
      <w:r>
        <w:rPr>
          <w:rFonts w:hint="eastAsia" w:ascii="仿宋" w:hAnsi="仿宋" w:eastAsia="仿宋" w:cs="仿宋_GB2312"/>
          <w:color w:val="auto"/>
          <w:sz w:val="32"/>
          <w:szCs w:val="32"/>
          <w:highlight w:val="none"/>
        </w:rPr>
        <w:t>年度单一企业增值税纳税报表为准，纳税额按报表“应纳税额合计”填报）</w:t>
      </w:r>
    </w:p>
    <w:p>
      <w:pPr>
        <w:autoSpaceDE w:val="0"/>
        <w:autoSpaceDN w:val="0"/>
        <w:spacing w:line="560" w:lineRule="exact"/>
        <w:jc w:val="left"/>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（202</w:t>
      </w:r>
      <w:r>
        <w:rPr>
          <w:rFonts w:ascii="仿宋" w:hAnsi="仿宋" w:eastAsia="仿宋" w:cs="仿宋_GB2312"/>
          <w:color w:val="auto"/>
          <w:sz w:val="32"/>
          <w:szCs w:val="32"/>
          <w:highlight w:val="none"/>
        </w:rPr>
        <w:t>3</w:t>
      </w:r>
      <w:r>
        <w:rPr>
          <w:rFonts w:hint="eastAsia" w:ascii="仿宋" w:hAnsi="仿宋" w:eastAsia="仿宋" w:cs="仿宋_GB2312"/>
          <w:color w:val="auto"/>
          <w:spacing w:val="-10"/>
          <w:sz w:val="32"/>
          <w:szCs w:val="32"/>
          <w:highlight w:val="none"/>
        </w:rPr>
        <w:t>年成立的企业按</w:t>
      </w:r>
      <w:r>
        <w:rPr>
          <w:rFonts w:hint="eastAsia" w:ascii="仿宋" w:hAnsi="仿宋" w:eastAsia="仿宋" w:cs="仿宋_GB2312"/>
          <w:color w:val="auto"/>
          <w:sz w:val="32"/>
          <w:szCs w:val="32"/>
          <w:highlight w:val="none"/>
        </w:rPr>
        <w:t>202</w:t>
      </w:r>
      <w:r>
        <w:rPr>
          <w:rFonts w:ascii="仿宋" w:hAnsi="仿宋" w:eastAsia="仿宋" w:cs="仿宋_GB2312"/>
          <w:color w:val="auto"/>
          <w:sz w:val="32"/>
          <w:szCs w:val="32"/>
          <w:highlight w:val="none"/>
        </w:rPr>
        <w:t>3</w:t>
      </w:r>
      <w:r>
        <w:rPr>
          <w:rFonts w:hint="eastAsia" w:ascii="仿宋" w:hAnsi="仿宋" w:eastAsia="仿宋" w:cs="仿宋_GB2312"/>
          <w:color w:val="auto"/>
          <w:spacing w:val="-12"/>
          <w:sz w:val="32"/>
          <w:szCs w:val="32"/>
          <w:highlight w:val="none"/>
        </w:rPr>
        <w:t>年最近月份纳税报表数据填报</w:t>
      </w:r>
      <w:r>
        <w:rPr>
          <w:rFonts w:hint="eastAsia" w:ascii="仿宋" w:hAnsi="仿宋" w:eastAsia="仿宋" w:cs="仿宋_GB2312"/>
          <w:color w:val="auto"/>
          <w:sz w:val="32"/>
          <w:szCs w:val="32"/>
          <w:highlight w:val="none"/>
        </w:rPr>
        <w:t xml:space="preserve">） </w:t>
      </w:r>
    </w:p>
    <w:p>
      <w:pPr>
        <w:autoSpaceDE w:val="0"/>
        <w:autoSpaceDN w:val="0"/>
        <w:spacing w:line="560" w:lineRule="exact"/>
        <w:ind w:firstLine="643" w:firstLineChars="200"/>
        <w:jc w:val="left"/>
        <w:rPr>
          <w:rFonts w:ascii="仿宋" w:hAnsi="仿宋" w:eastAsia="仿宋" w:cs="仿宋_GB2312"/>
          <w:color w:val="auto"/>
          <w:sz w:val="32"/>
          <w:szCs w:val="32"/>
          <w:highlight w:val="none"/>
        </w:rPr>
      </w:pPr>
      <w:r>
        <w:rPr>
          <w:rFonts w:hint="eastAsia" w:ascii="仿宋" w:hAnsi="仿宋" w:eastAsia="仿宋" w:cs="仿宋_GB2312"/>
          <w:b/>
          <w:bCs/>
          <w:color w:val="auto"/>
          <w:sz w:val="32"/>
          <w:szCs w:val="32"/>
          <w:highlight w:val="none"/>
        </w:rPr>
        <w:t>本企业为本申明的真实性承担一切责任，特此申明。</w:t>
      </w:r>
    </w:p>
    <w:p>
      <w:pPr>
        <w:pStyle w:val="5"/>
        <w:autoSpaceDE w:val="0"/>
        <w:autoSpaceDN w:val="0"/>
        <w:spacing w:line="560" w:lineRule="exact"/>
        <w:ind w:firstLine="4838" w:firstLineChars="1512"/>
        <w:rPr>
          <w:rFonts w:ascii="仿宋" w:hAnsi="仿宋" w:eastAsia="仿宋" w:cs="仿宋_GB2312"/>
          <w:color w:val="auto"/>
          <w:sz w:val="32"/>
          <w:szCs w:val="32"/>
          <w:highlight w:val="none"/>
        </w:rPr>
      </w:pPr>
    </w:p>
    <w:p>
      <w:pPr>
        <w:pStyle w:val="5"/>
        <w:autoSpaceDE w:val="0"/>
        <w:autoSpaceDN w:val="0"/>
        <w:spacing w:line="560" w:lineRule="exact"/>
        <w:ind w:firstLine="3840" w:firstLineChars="1200"/>
        <w:jc w:val="both"/>
        <w:rPr>
          <w:rFonts w:ascii="仿宋" w:hAnsi="仿宋" w:eastAsia="仿宋" w:cs="仿宋_GB2312"/>
          <w:color w:val="auto"/>
          <w:sz w:val="32"/>
          <w:szCs w:val="32"/>
          <w:highlight w:val="none"/>
        </w:rPr>
      </w:pPr>
    </w:p>
    <w:p>
      <w:pPr>
        <w:pStyle w:val="5"/>
        <w:autoSpaceDE w:val="0"/>
        <w:autoSpaceDN w:val="0"/>
        <w:spacing w:line="560" w:lineRule="exact"/>
        <w:ind w:firstLine="3840" w:firstLineChars="1200"/>
        <w:jc w:val="both"/>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 xml:space="preserve">法定代表人签章： </w:t>
      </w:r>
    </w:p>
    <w:p>
      <w:pPr>
        <w:pStyle w:val="5"/>
        <w:autoSpaceDE w:val="0"/>
        <w:autoSpaceDN w:val="0"/>
        <w:spacing w:line="560" w:lineRule="exact"/>
        <w:ind w:firstLine="3840" w:firstLineChars="1200"/>
        <w:jc w:val="both"/>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单位盖章：</w:t>
      </w:r>
    </w:p>
    <w:p>
      <w:pPr>
        <w:pStyle w:val="5"/>
        <w:autoSpaceDE w:val="0"/>
        <w:autoSpaceDN w:val="0"/>
        <w:spacing w:line="560" w:lineRule="exact"/>
        <w:ind w:firstLine="3840" w:firstLineChars="1200"/>
        <w:jc w:val="both"/>
        <w:rPr>
          <w:rFonts w:ascii="仿宋" w:hAnsi="仿宋" w:eastAsia="仿宋"/>
          <w:color w:val="auto"/>
          <w:highlight w:val="none"/>
        </w:rPr>
      </w:pPr>
      <w:r>
        <w:rPr>
          <w:rFonts w:hint="eastAsia" w:ascii="仿宋" w:hAnsi="仿宋" w:eastAsia="仿宋" w:cs="仿宋_GB2312"/>
          <w:color w:val="auto"/>
          <w:sz w:val="32"/>
          <w:szCs w:val="32"/>
          <w:highlight w:val="none"/>
        </w:rPr>
        <w:t>日期：</w:t>
      </w:r>
    </w:p>
    <w:p>
      <w:pPr>
        <w:autoSpaceDE w:val="0"/>
        <w:autoSpaceDN w:val="0"/>
        <w:spacing w:line="560" w:lineRule="exact"/>
        <w:ind w:firstLine="420" w:firstLineChars="200"/>
        <w:rPr>
          <w:rFonts w:ascii="仿宋" w:hAnsi="仿宋" w:eastAsia="仿宋"/>
          <w:color w:val="auto"/>
          <w:highlight w:val="none"/>
        </w:rPr>
      </w:pPr>
    </w:p>
    <w:p>
      <w:pPr>
        <w:autoSpaceDE w:val="0"/>
        <w:autoSpaceDN w:val="0"/>
        <w:spacing w:line="560" w:lineRule="exact"/>
        <w:ind w:firstLine="420" w:firstLineChars="200"/>
        <w:rPr>
          <w:rFonts w:ascii="仿宋" w:hAnsi="仿宋" w:eastAsia="仿宋"/>
          <w:color w:val="auto"/>
          <w:highlight w:val="none"/>
        </w:rPr>
        <w:sectPr>
          <w:pgSz w:w="11910" w:h="16840"/>
          <w:pgMar w:top="1701" w:right="1701" w:bottom="1701" w:left="1701" w:header="0" w:footer="1474" w:gutter="0"/>
          <w:cols w:space="720" w:num="1"/>
          <w:docGrid w:linePitch="1" w:charSpace="0"/>
        </w:sectPr>
      </w:pPr>
    </w:p>
    <w:p>
      <w:pPr>
        <w:pStyle w:val="5"/>
        <w:autoSpaceDE w:val="0"/>
        <w:autoSpaceDN w:val="0"/>
        <w:spacing w:line="560" w:lineRule="exact"/>
        <w:jc w:val="both"/>
        <w:rPr>
          <w:rFonts w:ascii="仿宋" w:hAnsi="仿宋" w:eastAsia="仿宋"/>
          <w:color w:val="auto"/>
          <w:sz w:val="28"/>
          <w:szCs w:val="28"/>
          <w:highlight w:val="none"/>
        </w:rPr>
      </w:pPr>
      <w:r>
        <w:rPr>
          <w:rFonts w:hint="eastAsia" w:ascii="仿宋" w:hAnsi="仿宋" w:eastAsia="仿宋" w:cs="仿宋"/>
          <w:color w:val="auto"/>
          <w:sz w:val="32"/>
          <w:szCs w:val="32"/>
          <w:highlight w:val="none"/>
        </w:rPr>
        <w:t>附件</w:t>
      </w:r>
      <w:r>
        <w:rPr>
          <w:rFonts w:ascii="仿宋" w:hAnsi="仿宋" w:eastAsia="仿宋" w:cs="仿宋"/>
          <w:color w:val="auto"/>
          <w:sz w:val="32"/>
          <w:szCs w:val="32"/>
          <w:highlight w:val="none"/>
        </w:rPr>
        <w:t>4</w:t>
      </w:r>
    </w:p>
    <w:p>
      <w:pPr>
        <w:pStyle w:val="5"/>
        <w:autoSpaceDE w:val="0"/>
        <w:autoSpaceDN w:val="0"/>
        <w:spacing w:line="560" w:lineRule="exact"/>
        <w:jc w:val="left"/>
        <w:rPr>
          <w:rFonts w:ascii="仿宋" w:hAnsi="仿宋" w:eastAsia="仿宋"/>
          <w:color w:val="auto"/>
          <w:sz w:val="28"/>
          <w:szCs w:val="28"/>
          <w:highlight w:val="none"/>
        </w:rPr>
      </w:pPr>
    </w:p>
    <w:p>
      <w:pPr>
        <w:autoSpaceDE w:val="0"/>
        <w:autoSpaceDN w:val="0"/>
        <w:spacing w:line="560" w:lineRule="exact"/>
        <w:jc w:val="center"/>
        <w:rPr>
          <w:rFonts w:hint="eastAsia" w:ascii="宋体" w:hAnsi="宋体" w:eastAsia="宋体" w:cs="宋体"/>
          <w:b/>
          <w:color w:val="auto"/>
          <w:sz w:val="44"/>
          <w:highlight w:val="none"/>
        </w:rPr>
      </w:pPr>
      <w:r>
        <w:rPr>
          <w:rFonts w:hint="eastAsia" w:ascii="宋体" w:hAnsi="宋体" w:eastAsia="宋体" w:cs="宋体"/>
          <w:b/>
          <w:color w:val="auto"/>
          <w:sz w:val="44"/>
          <w:highlight w:val="none"/>
        </w:rPr>
        <w:t>无违法、违规行为的证明材料</w:t>
      </w:r>
    </w:p>
    <w:p>
      <w:pPr>
        <w:pStyle w:val="18"/>
        <w:tabs>
          <w:tab w:val="left" w:pos="2126"/>
        </w:tabs>
        <w:autoSpaceDE w:val="0"/>
        <w:autoSpaceDN w:val="0"/>
        <w:spacing w:line="560" w:lineRule="exact"/>
        <w:ind w:left="0" w:firstLineChars="200"/>
        <w:jc w:val="left"/>
        <w:rPr>
          <w:rFonts w:ascii="仿宋" w:hAnsi="仿宋" w:eastAsia="仿宋" w:cs="仿宋_GB2312"/>
          <w:color w:val="auto"/>
          <w:sz w:val="32"/>
          <w:highlight w:val="none"/>
        </w:rPr>
      </w:pPr>
    </w:p>
    <w:p>
      <w:pPr>
        <w:pStyle w:val="18"/>
        <w:tabs>
          <w:tab w:val="left" w:pos="2126"/>
        </w:tabs>
        <w:autoSpaceDE w:val="0"/>
        <w:autoSpaceDN w:val="0"/>
        <w:spacing w:line="560" w:lineRule="exact"/>
        <w:ind w:left="0" w:firstLineChars="200"/>
        <w:jc w:val="left"/>
        <w:rPr>
          <w:rFonts w:ascii="仿宋" w:hAnsi="仿宋" w:eastAsia="仿宋" w:cs="仿宋_GB2312"/>
          <w:color w:val="auto"/>
          <w:sz w:val="32"/>
          <w:highlight w:val="none"/>
        </w:rPr>
      </w:pPr>
      <w:r>
        <w:rPr>
          <w:rFonts w:hint="eastAsia" w:ascii="仿宋" w:hAnsi="仿宋" w:eastAsia="仿宋" w:cs="仿宋_GB2312"/>
          <w:color w:val="auto"/>
          <w:sz w:val="32"/>
          <w:highlight w:val="none"/>
        </w:rPr>
        <w:t>资料递交要求：</w:t>
      </w:r>
    </w:p>
    <w:p>
      <w:pPr>
        <w:pStyle w:val="18"/>
        <w:tabs>
          <w:tab w:val="left" w:pos="2126"/>
        </w:tabs>
        <w:wordWrap w:val="0"/>
        <w:autoSpaceDE w:val="0"/>
        <w:autoSpaceDN w:val="0"/>
        <w:spacing w:line="560" w:lineRule="exact"/>
        <w:ind w:left="0" w:firstLineChars="200"/>
        <w:jc w:val="left"/>
        <w:rPr>
          <w:rFonts w:ascii="仿宋" w:hAnsi="仿宋" w:eastAsia="仿宋" w:cs="仿宋_GB2312"/>
          <w:color w:val="auto"/>
          <w:sz w:val="32"/>
          <w:highlight w:val="none"/>
        </w:rPr>
      </w:pPr>
      <w:r>
        <w:rPr>
          <w:rFonts w:hint="eastAsia" w:ascii="仿宋" w:hAnsi="仿宋" w:eastAsia="仿宋" w:cs="仿宋_GB2312"/>
          <w:color w:val="auto"/>
          <w:sz w:val="32"/>
          <w:highlight w:val="none"/>
          <w:lang w:val="en-US"/>
        </w:rPr>
        <w:t>1．</w:t>
      </w:r>
      <w:r>
        <w:rPr>
          <w:rFonts w:hint="eastAsia" w:ascii="仿宋" w:hAnsi="仿宋" w:eastAsia="仿宋" w:cs="仿宋_GB2312"/>
          <w:color w:val="auto"/>
          <w:sz w:val="32"/>
          <w:highlight w:val="none"/>
        </w:rPr>
        <w:t>企业提供“信用中国”（</w:t>
      </w:r>
      <w:r>
        <w:rPr>
          <w:color w:val="auto"/>
          <w:highlight w:val="none"/>
        </w:rPr>
        <w:fldChar w:fldCharType="begin"/>
      </w:r>
      <w:r>
        <w:rPr>
          <w:color w:val="auto"/>
          <w:highlight w:val="none"/>
        </w:rPr>
        <w:instrText xml:space="preserve"> HYPERLINK "http://www.creditchina.gov.cn/" \h </w:instrText>
      </w:r>
      <w:r>
        <w:rPr>
          <w:color w:val="auto"/>
          <w:highlight w:val="none"/>
        </w:rPr>
        <w:fldChar w:fldCharType="separate"/>
      </w:r>
      <w:r>
        <w:rPr>
          <w:rFonts w:hint="eastAsia" w:ascii="仿宋" w:hAnsi="仿宋" w:eastAsia="仿宋" w:cs="仿宋_GB2312"/>
          <w:color w:val="auto"/>
          <w:sz w:val="32"/>
          <w:highlight w:val="none"/>
        </w:rPr>
        <w:t>http://www.creditchina.gov.cn/</w:t>
      </w:r>
      <w:r>
        <w:rPr>
          <w:rFonts w:hint="eastAsia" w:ascii="仿宋" w:hAnsi="仿宋" w:eastAsia="仿宋" w:cs="仿宋_GB2312"/>
          <w:color w:val="auto"/>
          <w:sz w:val="32"/>
          <w:highlight w:val="none"/>
        </w:rPr>
        <w:fldChar w:fldCharType="end"/>
      </w:r>
      <w:r>
        <w:rPr>
          <w:rFonts w:hint="eastAsia" w:ascii="仿宋" w:hAnsi="仿宋" w:eastAsia="仿宋" w:cs="仿宋_GB2312"/>
          <w:color w:val="auto"/>
          <w:sz w:val="32"/>
          <w:highlight w:val="none"/>
        </w:rPr>
        <w:t>）平台的该企业“信用报告”彩色件。</w:t>
      </w:r>
    </w:p>
    <w:p>
      <w:pPr>
        <w:pStyle w:val="18"/>
        <w:tabs>
          <w:tab w:val="left" w:pos="2126"/>
        </w:tabs>
        <w:autoSpaceDE w:val="0"/>
        <w:autoSpaceDN w:val="0"/>
        <w:spacing w:line="560" w:lineRule="exact"/>
        <w:ind w:left="0" w:firstLineChars="200"/>
        <w:jc w:val="left"/>
        <w:rPr>
          <w:rFonts w:ascii="仿宋" w:hAnsi="仿宋" w:eastAsia="仿宋" w:cs="仿宋_GB2312"/>
          <w:color w:val="auto"/>
          <w:sz w:val="32"/>
          <w:highlight w:val="none"/>
        </w:rPr>
      </w:pPr>
      <w:r>
        <w:rPr>
          <w:rFonts w:hint="eastAsia" w:ascii="仿宋" w:hAnsi="仿宋" w:eastAsia="仿宋" w:cs="仿宋_GB2312"/>
          <w:color w:val="auto"/>
          <w:sz w:val="32"/>
          <w:highlight w:val="none"/>
          <w:lang w:val="en-US"/>
        </w:rPr>
        <w:t>2．</w:t>
      </w:r>
      <w:r>
        <w:rPr>
          <w:rFonts w:hint="eastAsia" w:ascii="仿宋" w:hAnsi="仿宋" w:eastAsia="仿宋" w:cs="仿宋_GB2312"/>
          <w:color w:val="auto"/>
          <w:sz w:val="32"/>
          <w:highlight w:val="none"/>
        </w:rPr>
        <w:t>逐页加盖申报企业电子印章。</w:t>
      </w:r>
    </w:p>
    <w:p>
      <w:pPr>
        <w:pStyle w:val="5"/>
        <w:autoSpaceDE w:val="0"/>
        <w:autoSpaceDN w:val="0"/>
        <w:spacing w:line="560" w:lineRule="exact"/>
        <w:ind w:firstLine="420" w:firstLineChars="200"/>
        <w:rPr>
          <w:rFonts w:ascii="仿宋" w:hAnsi="仿宋" w:eastAsia="仿宋"/>
          <w:color w:val="auto"/>
          <w:highlight w:val="none"/>
        </w:rPr>
      </w:pPr>
    </w:p>
    <w:p>
      <w:pPr>
        <w:pStyle w:val="5"/>
        <w:autoSpaceDE w:val="0"/>
        <w:autoSpaceDN w:val="0"/>
        <w:spacing w:line="560" w:lineRule="exact"/>
        <w:ind w:firstLine="840" w:firstLineChars="200"/>
        <w:rPr>
          <w:rFonts w:ascii="仿宋" w:hAnsi="仿宋" w:eastAsia="仿宋"/>
          <w:color w:val="auto"/>
          <w:sz w:val="42"/>
          <w:highlight w:val="none"/>
        </w:rPr>
      </w:pPr>
    </w:p>
    <w:p>
      <w:pPr>
        <w:autoSpaceDE w:val="0"/>
        <w:autoSpaceDN w:val="0"/>
        <w:spacing w:line="560" w:lineRule="exact"/>
        <w:jc w:val="center"/>
        <w:rPr>
          <w:rFonts w:ascii="仿宋" w:hAnsi="仿宋" w:eastAsia="仿宋"/>
          <w:color w:val="auto"/>
          <w:sz w:val="44"/>
          <w:highlight w:val="none"/>
        </w:rPr>
      </w:pPr>
      <w:r>
        <w:rPr>
          <w:rFonts w:hint="eastAsia" w:ascii="仿宋" w:hAnsi="仿宋" w:eastAsia="仿宋" w:cs="方正小标宋简体"/>
          <w:color w:val="auto"/>
          <w:sz w:val="44"/>
          <w:highlight w:val="none"/>
        </w:rPr>
        <w:t>（彩色复印件）</w:t>
      </w:r>
    </w:p>
    <w:p>
      <w:pPr>
        <w:autoSpaceDE w:val="0"/>
        <w:autoSpaceDN w:val="0"/>
        <w:spacing w:line="560" w:lineRule="exact"/>
        <w:ind w:firstLine="880" w:firstLineChars="200"/>
        <w:jc w:val="center"/>
        <w:rPr>
          <w:rFonts w:ascii="仿宋" w:hAnsi="仿宋" w:eastAsia="仿宋"/>
          <w:color w:val="auto"/>
          <w:sz w:val="44"/>
          <w:highlight w:val="none"/>
        </w:rPr>
        <w:sectPr>
          <w:pgSz w:w="11910" w:h="16840"/>
          <w:pgMar w:top="1701" w:right="1701" w:bottom="1701" w:left="1701" w:header="0" w:footer="1474" w:gutter="0"/>
          <w:cols w:space="720" w:num="1"/>
          <w:docGrid w:linePitch="1" w:charSpace="0"/>
        </w:sectPr>
      </w:pPr>
    </w:p>
    <w:p>
      <w:pPr>
        <w:pStyle w:val="5"/>
        <w:autoSpaceDE w:val="0"/>
        <w:autoSpaceDN w:val="0"/>
        <w:spacing w:line="560" w:lineRule="exact"/>
        <w:jc w:val="both"/>
        <w:rPr>
          <w:rFonts w:ascii="仿宋" w:hAnsi="仿宋" w:eastAsia="仿宋"/>
          <w:color w:val="auto"/>
          <w:sz w:val="28"/>
          <w:szCs w:val="28"/>
          <w:highlight w:val="none"/>
        </w:rPr>
      </w:pPr>
      <w:r>
        <w:rPr>
          <w:rFonts w:hint="eastAsia" w:ascii="仿宋" w:hAnsi="仿宋" w:eastAsia="仿宋" w:cs="仿宋"/>
          <w:color w:val="auto"/>
          <w:sz w:val="32"/>
          <w:szCs w:val="32"/>
          <w:highlight w:val="none"/>
        </w:rPr>
        <w:t>附件</w:t>
      </w:r>
      <w:r>
        <w:rPr>
          <w:rFonts w:ascii="仿宋" w:hAnsi="仿宋" w:eastAsia="仿宋" w:cs="仿宋"/>
          <w:color w:val="auto"/>
          <w:sz w:val="32"/>
          <w:szCs w:val="32"/>
          <w:highlight w:val="none"/>
        </w:rPr>
        <w:t>5</w:t>
      </w:r>
    </w:p>
    <w:p>
      <w:pPr>
        <w:pStyle w:val="5"/>
        <w:autoSpaceDE w:val="0"/>
        <w:autoSpaceDN w:val="0"/>
        <w:spacing w:line="560" w:lineRule="exact"/>
        <w:jc w:val="left"/>
        <w:rPr>
          <w:rFonts w:ascii="仿宋" w:hAnsi="仿宋" w:eastAsia="仿宋"/>
          <w:color w:val="auto"/>
          <w:sz w:val="28"/>
          <w:szCs w:val="28"/>
          <w:highlight w:val="none"/>
        </w:rPr>
      </w:pPr>
    </w:p>
    <w:p>
      <w:pPr>
        <w:autoSpaceDE w:val="0"/>
        <w:autoSpaceDN w:val="0"/>
        <w:spacing w:line="560" w:lineRule="exact"/>
        <w:jc w:val="center"/>
        <w:rPr>
          <w:rFonts w:hint="eastAsia" w:ascii="宋体" w:hAnsi="宋体" w:eastAsia="宋体" w:cs="宋体"/>
          <w:b/>
          <w:color w:val="auto"/>
          <w:sz w:val="44"/>
          <w:highlight w:val="none"/>
        </w:rPr>
      </w:pPr>
      <w:r>
        <w:rPr>
          <w:rFonts w:hint="eastAsia" w:ascii="宋体" w:hAnsi="宋体" w:eastAsia="宋体" w:cs="宋体"/>
          <w:b/>
          <w:color w:val="auto"/>
          <w:sz w:val="44"/>
          <w:highlight w:val="none"/>
        </w:rPr>
        <w:t>产品不良记录</w:t>
      </w:r>
    </w:p>
    <w:p>
      <w:pPr>
        <w:pStyle w:val="5"/>
        <w:autoSpaceDE w:val="0"/>
        <w:autoSpaceDN w:val="0"/>
        <w:spacing w:line="560" w:lineRule="exact"/>
        <w:ind w:firstLine="440" w:firstLineChars="200"/>
        <w:rPr>
          <w:rFonts w:ascii="仿宋" w:hAnsi="仿宋" w:eastAsia="仿宋"/>
          <w:color w:val="auto"/>
          <w:sz w:val="22"/>
          <w:highlight w:val="none"/>
        </w:rPr>
      </w:pPr>
    </w:p>
    <w:p>
      <w:pPr>
        <w:pStyle w:val="5"/>
        <w:autoSpaceDE w:val="0"/>
        <w:autoSpaceDN w:val="0"/>
        <w:spacing w:line="560" w:lineRule="exact"/>
        <w:ind w:firstLine="636" w:firstLineChars="200"/>
        <w:jc w:val="left"/>
        <w:rPr>
          <w:rFonts w:ascii="仿宋" w:hAnsi="仿宋" w:eastAsia="仿宋" w:cs="仿宋_GB2312"/>
          <w:color w:val="auto"/>
          <w:spacing w:val="-1"/>
          <w:sz w:val="32"/>
          <w:szCs w:val="24"/>
          <w:highlight w:val="none"/>
          <w:lang w:val="zh-CN" w:bidi="zh-CN"/>
        </w:rPr>
      </w:pPr>
      <w:r>
        <w:rPr>
          <w:rFonts w:hint="eastAsia" w:ascii="仿宋" w:hAnsi="仿宋" w:eastAsia="仿宋" w:cs="仿宋_GB2312"/>
          <w:color w:val="auto"/>
          <w:spacing w:val="-1"/>
          <w:sz w:val="32"/>
          <w:szCs w:val="24"/>
          <w:highlight w:val="none"/>
          <w:lang w:val="zh-CN" w:bidi="zh-CN"/>
        </w:rPr>
        <w:t>资料上传要求：</w:t>
      </w:r>
    </w:p>
    <w:p>
      <w:pPr>
        <w:pStyle w:val="18"/>
        <w:tabs>
          <w:tab w:val="left" w:pos="2126"/>
        </w:tabs>
        <w:autoSpaceDE w:val="0"/>
        <w:autoSpaceDN w:val="0"/>
        <w:spacing w:line="560" w:lineRule="exact"/>
        <w:ind w:left="0" w:firstLine="636" w:firstLineChars="200"/>
        <w:jc w:val="left"/>
        <w:rPr>
          <w:rFonts w:ascii="仿宋" w:hAnsi="仿宋" w:eastAsia="仿宋" w:cs="仿宋_GB2312"/>
          <w:color w:val="auto"/>
          <w:sz w:val="32"/>
          <w:highlight w:val="none"/>
        </w:rPr>
      </w:pPr>
      <w:r>
        <w:rPr>
          <w:rFonts w:hint="eastAsia" w:ascii="仿宋" w:hAnsi="仿宋" w:eastAsia="仿宋" w:cs="仿宋_GB2312"/>
          <w:color w:val="auto"/>
          <w:spacing w:val="-1"/>
          <w:sz w:val="32"/>
          <w:highlight w:val="none"/>
          <w:lang w:val="en-US"/>
        </w:rPr>
        <w:t>1．</w:t>
      </w:r>
      <w:r>
        <w:rPr>
          <w:rFonts w:hint="eastAsia" w:ascii="仿宋" w:hAnsi="仿宋" w:eastAsia="仿宋" w:cs="仿宋_GB2312"/>
          <w:color w:val="auto"/>
          <w:spacing w:val="-1"/>
          <w:sz w:val="32"/>
          <w:highlight w:val="none"/>
        </w:rPr>
        <w:t>省级及以上药品监督管理部门产品抽查结果为不合格</w:t>
      </w:r>
      <w:r>
        <w:rPr>
          <w:rFonts w:hint="eastAsia" w:ascii="仿宋" w:hAnsi="仿宋" w:eastAsia="仿宋" w:cs="仿宋_GB2312"/>
          <w:color w:val="auto"/>
          <w:sz w:val="32"/>
          <w:highlight w:val="none"/>
        </w:rPr>
        <w:t>的报告复印件。</w:t>
      </w:r>
    </w:p>
    <w:p>
      <w:pPr>
        <w:pStyle w:val="18"/>
        <w:tabs>
          <w:tab w:val="left" w:pos="2126"/>
        </w:tabs>
        <w:autoSpaceDE w:val="0"/>
        <w:autoSpaceDN w:val="0"/>
        <w:spacing w:line="560" w:lineRule="exact"/>
        <w:ind w:left="0" w:firstLineChars="200"/>
        <w:jc w:val="left"/>
        <w:rPr>
          <w:rFonts w:ascii="仿宋" w:hAnsi="仿宋" w:eastAsia="仿宋" w:cs="仿宋_GB2312"/>
          <w:color w:val="auto"/>
          <w:sz w:val="32"/>
          <w:highlight w:val="none"/>
        </w:rPr>
      </w:pPr>
      <w:r>
        <w:rPr>
          <w:rFonts w:hint="eastAsia" w:ascii="仿宋" w:hAnsi="仿宋" w:eastAsia="仿宋" w:cs="仿宋_GB2312"/>
          <w:color w:val="auto"/>
          <w:sz w:val="32"/>
          <w:highlight w:val="none"/>
          <w:lang w:val="en-US"/>
        </w:rPr>
        <w:t>2．</w:t>
      </w:r>
      <w:r>
        <w:rPr>
          <w:rFonts w:hint="eastAsia" w:ascii="仿宋" w:hAnsi="仿宋" w:eastAsia="仿宋" w:cs="仿宋_GB2312"/>
          <w:color w:val="auto"/>
          <w:sz w:val="32"/>
          <w:highlight w:val="none"/>
        </w:rPr>
        <w:t>企业自行申报的产品不良反应报告复印件。</w:t>
      </w:r>
    </w:p>
    <w:p>
      <w:pPr>
        <w:pStyle w:val="18"/>
        <w:ind w:left="0" w:firstLine="566" w:firstLineChars="177"/>
        <w:jc w:val="left"/>
        <w:rPr>
          <w:rFonts w:ascii="仿宋" w:hAnsi="仿宋" w:eastAsia="仿宋" w:cs="仿宋_GB2312"/>
          <w:color w:val="auto"/>
          <w:sz w:val="32"/>
          <w:highlight w:val="none"/>
          <w:lang w:val="en-US"/>
        </w:rPr>
      </w:pPr>
      <w:r>
        <w:rPr>
          <w:rFonts w:hint="eastAsia" w:ascii="仿宋" w:hAnsi="仿宋" w:eastAsia="仿宋" w:cs="仿宋_GB2312"/>
          <w:color w:val="auto"/>
          <w:sz w:val="32"/>
          <w:highlight w:val="none"/>
          <w:lang w:val="en-US"/>
        </w:rPr>
        <w:t>3．若产品无不良记录的，该页直接写“参与本次集中带量采购产品无不良记录”，并加盖申报企业电子印章。</w:t>
      </w: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5"/>
        <w:autoSpaceDE w:val="0"/>
        <w:autoSpaceDN w:val="0"/>
        <w:spacing w:line="560" w:lineRule="exact"/>
        <w:jc w:val="both"/>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附件6</w:t>
      </w:r>
    </w:p>
    <w:p>
      <w:pPr>
        <w:pStyle w:val="5"/>
        <w:autoSpaceDE w:val="0"/>
        <w:autoSpaceDN w:val="0"/>
        <w:spacing w:line="560" w:lineRule="exact"/>
        <w:rPr>
          <w:rFonts w:ascii="仿宋" w:hAnsi="仿宋" w:eastAsia="仿宋" w:cs="仿宋"/>
          <w:b/>
          <w:color w:val="auto"/>
          <w:sz w:val="44"/>
          <w:szCs w:val="44"/>
          <w:highlight w:val="none"/>
        </w:rPr>
      </w:pPr>
      <w:r>
        <w:rPr>
          <w:rFonts w:ascii="仿宋" w:hAnsi="仿宋" w:eastAsia="仿宋" w:cs="仿宋"/>
          <w:b/>
          <w:color w:val="auto"/>
          <w:sz w:val="44"/>
          <w:szCs w:val="44"/>
          <w:highlight w:val="none"/>
        </w:rPr>
        <w:t>供应品种清单</w:t>
      </w:r>
    </w:p>
    <w:p>
      <w:pPr>
        <w:pStyle w:val="5"/>
        <w:autoSpaceDE w:val="0"/>
        <w:autoSpaceDN w:val="0"/>
        <w:spacing w:line="560" w:lineRule="exact"/>
        <w:rPr>
          <w:rFonts w:ascii="仿宋" w:hAnsi="仿宋" w:eastAsia="仿宋" w:cs="仿宋"/>
          <w:b/>
          <w:color w:val="auto"/>
          <w:sz w:val="44"/>
          <w:szCs w:val="44"/>
          <w:highlight w:val="none"/>
        </w:rPr>
      </w:pPr>
    </w:p>
    <w:tbl>
      <w:tblPr>
        <w:tblStyle w:val="10"/>
        <w:tblW w:w="109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1278"/>
        <w:gridCol w:w="1275"/>
        <w:gridCol w:w="1199"/>
        <w:gridCol w:w="1399"/>
        <w:gridCol w:w="963"/>
        <w:gridCol w:w="910"/>
        <w:gridCol w:w="2314"/>
        <w:gridCol w:w="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序号</w:t>
            </w:r>
          </w:p>
        </w:tc>
        <w:tc>
          <w:tcPr>
            <w:tcW w:w="1278" w:type="dxa"/>
            <w:vAlign w:val="center"/>
          </w:tcPr>
          <w:p>
            <w:pPr>
              <w:pStyle w:val="5"/>
              <w:autoSpaceDE w:val="0"/>
              <w:autoSpaceDN w:val="0"/>
              <w:spacing w:line="560" w:lineRule="exact"/>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商品编号</w:t>
            </w:r>
          </w:p>
        </w:tc>
        <w:tc>
          <w:tcPr>
            <w:tcW w:w="1275" w:type="dxa"/>
            <w:vAlign w:val="center"/>
          </w:tcPr>
          <w:p>
            <w:pPr>
              <w:pStyle w:val="5"/>
              <w:autoSpaceDE w:val="0"/>
              <w:autoSpaceDN w:val="0"/>
              <w:spacing w:line="560" w:lineRule="exact"/>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产品名称</w:t>
            </w:r>
          </w:p>
        </w:tc>
        <w:tc>
          <w:tcPr>
            <w:tcW w:w="1199" w:type="dxa"/>
            <w:vAlign w:val="center"/>
          </w:tcPr>
          <w:p>
            <w:pPr>
              <w:pStyle w:val="5"/>
              <w:tabs>
                <w:tab w:val="left" w:pos="478"/>
              </w:tabs>
              <w:autoSpaceDE w:val="0"/>
              <w:autoSpaceDN w:val="0"/>
              <w:spacing w:line="560" w:lineRule="exact"/>
              <w:jc w:val="left"/>
              <w:rPr>
                <w:rFonts w:hint="default"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产品分类</w:t>
            </w:r>
          </w:p>
        </w:tc>
        <w:tc>
          <w:tcPr>
            <w:tcW w:w="1399" w:type="dxa"/>
            <w:vAlign w:val="center"/>
          </w:tcPr>
          <w:p>
            <w:pPr>
              <w:pStyle w:val="5"/>
              <w:autoSpaceDE w:val="0"/>
              <w:autoSpaceDN w:val="0"/>
              <w:spacing w:line="560" w:lineRule="exact"/>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注册证号</w:t>
            </w:r>
          </w:p>
        </w:tc>
        <w:tc>
          <w:tcPr>
            <w:tcW w:w="963" w:type="dxa"/>
            <w:vAlign w:val="center"/>
          </w:tcPr>
          <w:p>
            <w:pPr>
              <w:pStyle w:val="5"/>
              <w:autoSpaceDE w:val="0"/>
              <w:autoSpaceDN w:val="0"/>
              <w:spacing w:line="560" w:lineRule="exact"/>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规格</w:t>
            </w:r>
          </w:p>
        </w:tc>
        <w:tc>
          <w:tcPr>
            <w:tcW w:w="910" w:type="dxa"/>
            <w:vAlign w:val="center"/>
          </w:tcPr>
          <w:p>
            <w:pPr>
              <w:pStyle w:val="5"/>
              <w:autoSpaceDE w:val="0"/>
              <w:autoSpaceDN w:val="0"/>
              <w:spacing w:line="560" w:lineRule="exact"/>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型号</w:t>
            </w:r>
          </w:p>
        </w:tc>
        <w:tc>
          <w:tcPr>
            <w:tcW w:w="2314" w:type="dxa"/>
            <w:vAlign w:val="center"/>
          </w:tcPr>
          <w:p>
            <w:pPr>
              <w:pStyle w:val="5"/>
              <w:autoSpaceDE w:val="0"/>
              <w:autoSpaceDN w:val="0"/>
              <w:spacing w:line="560" w:lineRule="exact"/>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国家医用耗材代码</w:t>
            </w:r>
          </w:p>
        </w:tc>
        <w:tc>
          <w:tcPr>
            <w:tcW w:w="873" w:type="dxa"/>
            <w:vAlign w:val="center"/>
          </w:tcPr>
          <w:p>
            <w:pPr>
              <w:pStyle w:val="5"/>
              <w:autoSpaceDE w:val="0"/>
              <w:autoSpaceDN w:val="0"/>
              <w:spacing w:line="560" w:lineRule="exact"/>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1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63"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10" w:type="dxa"/>
          </w:tcPr>
          <w:p>
            <w:pPr>
              <w:pStyle w:val="5"/>
              <w:autoSpaceDE w:val="0"/>
              <w:autoSpaceDN w:val="0"/>
              <w:spacing w:line="560" w:lineRule="exact"/>
              <w:rPr>
                <w:rFonts w:ascii="仿宋" w:hAnsi="仿宋" w:eastAsia="仿宋" w:cs="仿宋"/>
                <w:color w:val="auto"/>
                <w:sz w:val="24"/>
                <w:szCs w:val="24"/>
                <w:highlight w:val="none"/>
              </w:rPr>
            </w:pPr>
          </w:p>
        </w:tc>
        <w:tc>
          <w:tcPr>
            <w:tcW w:w="2314"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1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63"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10" w:type="dxa"/>
          </w:tcPr>
          <w:p>
            <w:pPr>
              <w:pStyle w:val="5"/>
              <w:autoSpaceDE w:val="0"/>
              <w:autoSpaceDN w:val="0"/>
              <w:spacing w:line="560" w:lineRule="exact"/>
              <w:rPr>
                <w:rFonts w:ascii="仿宋" w:hAnsi="仿宋" w:eastAsia="仿宋" w:cs="仿宋"/>
                <w:color w:val="auto"/>
                <w:sz w:val="24"/>
                <w:szCs w:val="24"/>
                <w:highlight w:val="none"/>
              </w:rPr>
            </w:pPr>
          </w:p>
        </w:tc>
        <w:tc>
          <w:tcPr>
            <w:tcW w:w="2314"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1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63"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10" w:type="dxa"/>
          </w:tcPr>
          <w:p>
            <w:pPr>
              <w:pStyle w:val="5"/>
              <w:autoSpaceDE w:val="0"/>
              <w:autoSpaceDN w:val="0"/>
              <w:spacing w:line="560" w:lineRule="exact"/>
              <w:rPr>
                <w:rFonts w:ascii="仿宋" w:hAnsi="仿宋" w:eastAsia="仿宋" w:cs="仿宋"/>
                <w:color w:val="auto"/>
                <w:sz w:val="24"/>
                <w:szCs w:val="24"/>
                <w:highlight w:val="none"/>
              </w:rPr>
            </w:pPr>
          </w:p>
        </w:tc>
        <w:tc>
          <w:tcPr>
            <w:tcW w:w="2314"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1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63"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10" w:type="dxa"/>
          </w:tcPr>
          <w:p>
            <w:pPr>
              <w:pStyle w:val="5"/>
              <w:autoSpaceDE w:val="0"/>
              <w:autoSpaceDN w:val="0"/>
              <w:spacing w:line="560" w:lineRule="exact"/>
              <w:rPr>
                <w:rFonts w:ascii="仿宋" w:hAnsi="仿宋" w:eastAsia="仿宋" w:cs="仿宋"/>
                <w:color w:val="auto"/>
                <w:sz w:val="24"/>
                <w:szCs w:val="24"/>
                <w:highlight w:val="none"/>
              </w:rPr>
            </w:pPr>
          </w:p>
        </w:tc>
        <w:tc>
          <w:tcPr>
            <w:tcW w:w="2314"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1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63"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10" w:type="dxa"/>
          </w:tcPr>
          <w:p>
            <w:pPr>
              <w:pStyle w:val="5"/>
              <w:autoSpaceDE w:val="0"/>
              <w:autoSpaceDN w:val="0"/>
              <w:spacing w:line="560" w:lineRule="exact"/>
              <w:rPr>
                <w:rFonts w:ascii="仿宋" w:hAnsi="仿宋" w:eastAsia="仿宋" w:cs="仿宋"/>
                <w:color w:val="auto"/>
                <w:sz w:val="24"/>
                <w:szCs w:val="24"/>
                <w:highlight w:val="none"/>
              </w:rPr>
            </w:pPr>
          </w:p>
        </w:tc>
        <w:tc>
          <w:tcPr>
            <w:tcW w:w="2314"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1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63"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10" w:type="dxa"/>
          </w:tcPr>
          <w:p>
            <w:pPr>
              <w:pStyle w:val="5"/>
              <w:autoSpaceDE w:val="0"/>
              <w:autoSpaceDN w:val="0"/>
              <w:spacing w:line="560" w:lineRule="exact"/>
              <w:rPr>
                <w:rFonts w:ascii="仿宋" w:hAnsi="仿宋" w:eastAsia="仿宋" w:cs="仿宋"/>
                <w:color w:val="auto"/>
                <w:sz w:val="24"/>
                <w:szCs w:val="24"/>
                <w:highlight w:val="none"/>
              </w:rPr>
            </w:pPr>
          </w:p>
        </w:tc>
        <w:tc>
          <w:tcPr>
            <w:tcW w:w="2314"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1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63"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10" w:type="dxa"/>
          </w:tcPr>
          <w:p>
            <w:pPr>
              <w:pStyle w:val="5"/>
              <w:autoSpaceDE w:val="0"/>
              <w:autoSpaceDN w:val="0"/>
              <w:spacing w:line="560" w:lineRule="exact"/>
              <w:rPr>
                <w:rFonts w:ascii="仿宋" w:hAnsi="仿宋" w:eastAsia="仿宋" w:cs="仿宋"/>
                <w:color w:val="auto"/>
                <w:sz w:val="24"/>
                <w:szCs w:val="24"/>
                <w:highlight w:val="none"/>
              </w:rPr>
            </w:pPr>
          </w:p>
        </w:tc>
        <w:tc>
          <w:tcPr>
            <w:tcW w:w="2314"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1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63"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10" w:type="dxa"/>
          </w:tcPr>
          <w:p>
            <w:pPr>
              <w:pStyle w:val="5"/>
              <w:autoSpaceDE w:val="0"/>
              <w:autoSpaceDN w:val="0"/>
              <w:spacing w:line="560" w:lineRule="exact"/>
              <w:rPr>
                <w:rFonts w:ascii="仿宋" w:hAnsi="仿宋" w:eastAsia="仿宋" w:cs="仿宋"/>
                <w:color w:val="auto"/>
                <w:sz w:val="24"/>
                <w:szCs w:val="24"/>
                <w:highlight w:val="none"/>
              </w:rPr>
            </w:pPr>
          </w:p>
        </w:tc>
        <w:tc>
          <w:tcPr>
            <w:tcW w:w="2314"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bl>
    <w:p>
      <w:pPr>
        <w:pStyle w:val="5"/>
        <w:autoSpaceDE w:val="0"/>
        <w:autoSpaceDN w:val="0"/>
        <w:spacing w:line="560" w:lineRule="exact"/>
        <w:jc w:val="both"/>
        <w:rPr>
          <w:rFonts w:ascii="仿宋" w:hAnsi="仿宋" w:eastAsia="仿宋" w:cs="仿宋"/>
          <w:bCs/>
          <w:color w:val="auto"/>
          <w:sz w:val="44"/>
          <w:szCs w:val="44"/>
          <w:highlight w:val="none"/>
        </w:rPr>
      </w:pPr>
    </w:p>
    <w:p>
      <w:pPr>
        <w:pStyle w:val="5"/>
        <w:keepNext w:val="0"/>
        <w:keepLines w:val="0"/>
        <w:pageBreakBefore w:val="0"/>
        <w:widowControl w:val="0"/>
        <w:kinsoku/>
        <w:wordWrap/>
        <w:overflowPunct/>
        <w:topLinePunct w:val="0"/>
        <w:autoSpaceDE w:val="0"/>
        <w:autoSpaceDN w:val="0"/>
        <w:bidi w:val="0"/>
        <w:adjustRightInd/>
        <w:snapToGrid/>
        <w:spacing w:line="560" w:lineRule="exact"/>
        <w:ind w:left="640" w:hanging="640" w:hangingChars="200"/>
        <w:jc w:val="both"/>
        <w:textAlignment w:val="auto"/>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注：1.申报企业如果中选，须向医疗机构提供《供应品种清单》内所有规格型号产品。</w:t>
      </w:r>
    </w:p>
    <w:p>
      <w:pPr>
        <w:pStyle w:val="5"/>
        <w:numPr>
          <w:ilvl w:val="0"/>
          <w:numId w:val="2"/>
        </w:numPr>
        <w:autoSpaceDE w:val="0"/>
        <w:autoSpaceDN w:val="0"/>
        <w:spacing w:line="560" w:lineRule="exact"/>
        <w:ind w:left="1118" w:leftChars="304" w:hanging="480" w:hangingChars="150"/>
        <w:jc w:val="both"/>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商品编号填写产品报名中的商品编号。</w:t>
      </w:r>
    </w:p>
    <w:p>
      <w:pPr>
        <w:pStyle w:val="5"/>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left="638" w:leftChars="304" w:firstLine="0" w:firstLineChars="0"/>
        <w:jc w:val="both"/>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val="en-US" w:eastAsia="zh-CN"/>
        </w:rPr>
        <w:t>3.产品分类填写“</w:t>
      </w:r>
      <w:r>
        <w:rPr>
          <w:rFonts w:hint="eastAsia" w:ascii="仿宋" w:hAnsi="仿宋" w:eastAsia="仿宋" w:cs="仿宋"/>
          <w:color w:val="auto"/>
          <w:sz w:val="32"/>
          <w:szCs w:val="32"/>
          <w:highlight w:val="none"/>
          <w:lang w:val="en-US" w:eastAsia="zh-CN"/>
        </w:rPr>
        <w:t>分叉</w:t>
      </w:r>
      <w:bookmarkStart w:id="5" w:name="_GoBack"/>
      <w:bookmarkEnd w:id="5"/>
      <w:r>
        <w:rPr>
          <w:rFonts w:hint="eastAsia" w:ascii="仿宋" w:hAnsi="仿宋" w:eastAsia="仿宋" w:cs="仿宋"/>
          <w:color w:val="auto"/>
          <w:sz w:val="32"/>
          <w:szCs w:val="32"/>
          <w:highlight w:val="none"/>
          <w:lang w:val="en-US" w:eastAsia="zh-CN"/>
        </w:rPr>
        <w:t>型、阶梯型</w:t>
      </w:r>
      <w:r>
        <w:rPr>
          <w:rFonts w:hint="eastAsia" w:ascii="仿宋" w:hAnsi="仿宋" w:eastAsia="仿宋" w:cs="仿宋"/>
          <w:color w:val="auto"/>
          <w:sz w:val="32"/>
          <w:szCs w:val="32"/>
          <w:highlight w:val="none"/>
          <w:u w:val="none"/>
          <w:lang w:eastAsia="zh-CN"/>
        </w:rPr>
        <w:t>”、</w:t>
      </w:r>
      <w:r>
        <w:rPr>
          <w:rFonts w:hint="eastAsia" w:ascii="仿宋" w:hAnsi="仿宋" w:eastAsia="仿宋" w:cs="仿宋"/>
          <w:color w:val="auto"/>
          <w:sz w:val="32"/>
          <w:szCs w:val="32"/>
          <w:highlight w:val="none"/>
          <w:u w:val="none"/>
          <w:lang w:val="en-US" w:eastAsia="zh-CN"/>
        </w:rPr>
        <w:t>“</w:t>
      </w:r>
      <w:r>
        <w:rPr>
          <w:rFonts w:hint="eastAsia" w:ascii="仿宋" w:hAnsi="仿宋" w:eastAsia="仿宋" w:cs="仿宋"/>
          <w:color w:val="auto"/>
          <w:sz w:val="32"/>
          <w:szCs w:val="32"/>
          <w:highlight w:val="none"/>
          <w:lang w:val="en-US" w:eastAsia="zh-CN"/>
        </w:rPr>
        <w:t>对称型</w:t>
      </w:r>
      <w:r>
        <w:rPr>
          <w:rFonts w:hint="eastAsia" w:ascii="仿宋" w:hAnsi="仿宋" w:eastAsia="仿宋" w:cs="仿宋"/>
          <w:color w:val="auto"/>
          <w:sz w:val="32"/>
          <w:szCs w:val="32"/>
          <w:highlight w:val="none"/>
          <w:u w:val="none"/>
          <w:lang w:eastAsia="zh-CN"/>
        </w:rPr>
        <w:t>”。每个产品分类</w:t>
      </w:r>
      <w:r>
        <w:rPr>
          <w:rFonts w:hint="eastAsia" w:ascii="仿宋" w:hAnsi="仿宋" w:eastAsia="仿宋" w:cs="仿宋"/>
          <w:color w:val="auto"/>
          <w:sz w:val="32"/>
          <w:szCs w:val="32"/>
          <w:highlight w:val="none"/>
          <w:u w:val="none"/>
          <w:lang w:val="en-US" w:eastAsia="zh-CN"/>
        </w:rPr>
        <w:t>须</w:t>
      </w:r>
      <w:r>
        <w:rPr>
          <w:rFonts w:hint="eastAsia" w:ascii="仿宋" w:hAnsi="仿宋" w:eastAsia="仿宋" w:cs="仿宋"/>
          <w:color w:val="auto"/>
          <w:sz w:val="32"/>
          <w:szCs w:val="32"/>
          <w:highlight w:val="none"/>
          <w:u w:val="none"/>
          <w:lang w:eastAsia="zh-CN"/>
        </w:rPr>
        <w:t>单独填写</w:t>
      </w:r>
      <w:r>
        <w:rPr>
          <w:rFonts w:hint="eastAsia" w:ascii="仿宋" w:hAnsi="仿宋" w:eastAsia="仿宋" w:cs="仿宋"/>
          <w:color w:val="auto"/>
          <w:sz w:val="32"/>
          <w:szCs w:val="32"/>
          <w:highlight w:val="none"/>
          <w:u w:val="none"/>
          <w:lang w:val="en-US" w:eastAsia="zh-CN"/>
        </w:rPr>
        <w:t>一</w:t>
      </w:r>
      <w:r>
        <w:rPr>
          <w:rFonts w:hint="eastAsia" w:ascii="仿宋" w:hAnsi="仿宋" w:eastAsia="仿宋" w:cs="仿宋"/>
          <w:color w:val="auto"/>
          <w:sz w:val="32"/>
          <w:szCs w:val="32"/>
          <w:highlight w:val="none"/>
          <w:u w:val="none"/>
          <w:lang w:eastAsia="zh-CN"/>
        </w:rPr>
        <w:t>张表格。每个产品分类须单独填写一张表格。如企业同时申报</w:t>
      </w:r>
      <w:r>
        <w:rPr>
          <w:rFonts w:hint="eastAsia" w:ascii="仿宋" w:hAnsi="仿宋" w:eastAsia="仿宋" w:cs="仿宋"/>
          <w:color w:val="auto"/>
          <w:sz w:val="32"/>
          <w:szCs w:val="32"/>
          <w:highlight w:val="none"/>
          <w:u w:val="none"/>
          <w:lang w:val="en-US" w:eastAsia="zh-CN"/>
        </w:rPr>
        <w:t>2</w:t>
      </w:r>
      <w:r>
        <w:rPr>
          <w:rFonts w:hint="eastAsia" w:ascii="仿宋" w:hAnsi="仿宋" w:eastAsia="仿宋" w:cs="仿宋"/>
          <w:color w:val="auto"/>
          <w:sz w:val="32"/>
          <w:szCs w:val="32"/>
          <w:highlight w:val="none"/>
          <w:u w:val="none"/>
          <w:lang w:eastAsia="zh-CN"/>
        </w:rPr>
        <w:t>个产品分类须分别填写</w:t>
      </w:r>
      <w:r>
        <w:rPr>
          <w:rFonts w:hint="eastAsia" w:ascii="仿宋" w:hAnsi="仿宋" w:eastAsia="仿宋" w:cs="仿宋"/>
          <w:color w:val="auto"/>
          <w:sz w:val="32"/>
          <w:szCs w:val="32"/>
          <w:highlight w:val="none"/>
          <w:u w:val="none"/>
          <w:lang w:val="en-US" w:eastAsia="zh-CN"/>
        </w:rPr>
        <w:t>2</w:t>
      </w:r>
      <w:r>
        <w:rPr>
          <w:rFonts w:hint="eastAsia" w:ascii="仿宋" w:hAnsi="仿宋" w:eastAsia="仿宋" w:cs="仿宋"/>
          <w:color w:val="auto"/>
          <w:sz w:val="32"/>
          <w:szCs w:val="32"/>
          <w:highlight w:val="none"/>
          <w:u w:val="none"/>
          <w:lang w:eastAsia="zh-CN"/>
        </w:rPr>
        <w:t>张供应品种清单。</w:t>
      </w:r>
    </w:p>
    <w:p>
      <w:pPr>
        <w:pStyle w:val="5"/>
        <w:numPr>
          <w:ilvl w:val="0"/>
          <w:numId w:val="0"/>
        </w:numPr>
        <w:wordWrap w:val="0"/>
        <w:spacing w:line="560" w:lineRule="exact"/>
        <w:ind w:leftChars="154" w:firstLine="320" w:firstLineChars="1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4.</w:t>
      </w:r>
      <w:r>
        <w:rPr>
          <w:rFonts w:hint="eastAsia" w:ascii="仿宋" w:hAnsi="仿宋" w:eastAsia="仿宋" w:cs="仿宋"/>
          <w:color w:val="auto"/>
          <w:sz w:val="32"/>
          <w:szCs w:val="32"/>
          <w:highlight w:val="none"/>
          <w:u w:val="none"/>
          <w:lang w:val="en-US" w:eastAsia="zh-CN"/>
        </w:rPr>
        <w:t>含药物涂层产品须在备注栏中注明。</w:t>
      </w:r>
    </w:p>
    <w:p>
      <w:pPr>
        <w:pStyle w:val="5"/>
        <w:numPr>
          <w:ilvl w:val="0"/>
          <w:numId w:val="0"/>
        </w:numPr>
        <w:autoSpaceDE w:val="0"/>
        <w:autoSpaceDN w:val="0"/>
        <w:spacing w:line="560" w:lineRule="exact"/>
        <w:ind w:leftChars="154" w:firstLine="320" w:firstLineChars="100"/>
        <w:jc w:val="both"/>
        <w:rPr>
          <w:rFonts w:ascii="仿宋" w:hAnsi="仿宋" w:eastAsia="仿宋" w:cs="仿宋"/>
          <w:color w:val="auto"/>
          <w:sz w:val="32"/>
          <w:szCs w:val="32"/>
          <w:highlight w:val="none"/>
        </w:rPr>
      </w:pPr>
    </w:p>
    <w:p>
      <w:pPr>
        <w:pStyle w:val="5"/>
        <w:autoSpaceDE w:val="0"/>
        <w:autoSpaceDN w:val="0"/>
        <w:spacing w:line="560" w:lineRule="exact"/>
        <w:ind w:firstLine="4160" w:firstLineChars="1300"/>
        <w:jc w:val="both"/>
        <w:rPr>
          <w:rFonts w:ascii="仿宋" w:hAnsi="仿宋" w:eastAsia="仿宋" w:cs="仿宋"/>
          <w:color w:val="auto"/>
          <w:sz w:val="32"/>
          <w:szCs w:val="32"/>
          <w:highlight w:val="none"/>
        </w:rPr>
      </w:pPr>
      <w:r>
        <w:rPr>
          <w:rFonts w:ascii="仿宋" w:hAnsi="仿宋" w:eastAsia="仿宋" w:cs="仿宋"/>
          <w:color w:val="auto"/>
          <w:sz w:val="32"/>
          <w:szCs w:val="32"/>
          <w:highlight w:val="none"/>
        </w:rPr>
        <w:t>申报企业（盖章）：</w:t>
      </w:r>
    </w:p>
    <w:p>
      <w:pPr>
        <w:pStyle w:val="18"/>
        <w:ind w:firstLine="2892" w:firstLineChars="904"/>
        <w:jc w:val="left"/>
        <w:rPr>
          <w:rFonts w:ascii="仿宋" w:hAnsi="仿宋" w:eastAsia="仿宋"/>
          <w:color w:val="auto"/>
          <w:highlight w:val="none"/>
        </w:rPr>
      </w:pPr>
      <w:r>
        <w:rPr>
          <w:rFonts w:ascii="仿宋" w:hAnsi="仿宋" w:eastAsia="仿宋" w:cs="仿宋"/>
          <w:color w:val="auto"/>
          <w:sz w:val="32"/>
          <w:szCs w:val="32"/>
          <w:highlight w:val="none"/>
        </w:rPr>
        <w:t xml:space="preserve">日期： </w:t>
      </w:r>
      <w:r>
        <w:rPr>
          <w:rFonts w:hint="eastAsia" w:ascii="仿宋" w:hAnsi="仿宋" w:eastAsia="仿宋" w:cs="仿宋"/>
          <w:color w:val="auto"/>
          <w:sz w:val="32"/>
          <w:szCs w:val="32"/>
          <w:highlight w:val="none"/>
        </w:rPr>
        <w:t xml:space="preserve">   </w:t>
      </w:r>
      <w:r>
        <w:rPr>
          <w:rFonts w:ascii="仿宋" w:hAnsi="仿宋" w:eastAsia="仿宋" w:cs="仿宋"/>
          <w:color w:val="auto"/>
          <w:sz w:val="32"/>
          <w:szCs w:val="32"/>
          <w:highlight w:val="none"/>
        </w:rPr>
        <w:t xml:space="preserve">年 </w:t>
      </w:r>
      <w:r>
        <w:rPr>
          <w:rFonts w:hint="eastAsia" w:ascii="仿宋" w:hAnsi="仿宋" w:eastAsia="仿宋" w:cs="仿宋"/>
          <w:color w:val="auto"/>
          <w:sz w:val="32"/>
          <w:szCs w:val="32"/>
          <w:highlight w:val="none"/>
        </w:rPr>
        <w:t xml:space="preserve">   月</w:t>
      </w:r>
      <w:r>
        <w:rPr>
          <w:rFonts w:ascii="仿宋" w:hAnsi="仿宋" w:eastAsia="仿宋" w:cs="仿宋"/>
          <w:color w:val="auto"/>
          <w:sz w:val="32"/>
          <w:szCs w:val="32"/>
          <w:highlight w:val="none"/>
        </w:rPr>
        <w:t xml:space="preserve"> </w:t>
      </w:r>
      <w:r>
        <w:rPr>
          <w:rFonts w:hint="eastAsia" w:ascii="仿宋" w:hAnsi="仿宋" w:eastAsia="仿宋" w:cs="仿宋"/>
          <w:color w:val="auto"/>
          <w:sz w:val="32"/>
          <w:szCs w:val="32"/>
          <w:highlight w:val="none"/>
        </w:rPr>
        <w:t xml:space="preserve">   </w:t>
      </w:r>
      <w:r>
        <w:rPr>
          <w:rFonts w:ascii="仿宋" w:hAnsi="仿宋" w:eastAsia="仿宋" w:cs="仿宋"/>
          <w:color w:val="auto"/>
          <w:sz w:val="32"/>
          <w:szCs w:val="32"/>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思源黑体 CN Bold">
    <w:altName w:val="黑体"/>
    <w:panose1 w:val="00000000000000000000"/>
    <w:charset w:val="80"/>
    <w:family w:val="swiss"/>
    <w:pitch w:val="default"/>
    <w:sig w:usb0="00000000" w:usb1="00000000" w:usb2="00000016" w:usb3="00000000" w:csb0="60060107"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73194017"/>
    </w:sdtPr>
    <w:sdtContent>
      <w:p>
        <w:pPr>
          <w:pStyle w:val="7"/>
          <w:jc w:val="center"/>
        </w:pPr>
        <w:r>
          <w:fldChar w:fldCharType="begin"/>
        </w:r>
        <w:r>
          <w:instrText xml:space="preserve">PAGE   \* MERGEFORMAT</w:instrText>
        </w:r>
        <w:r>
          <w:fldChar w:fldCharType="separate"/>
        </w:r>
        <w:r>
          <w:rPr>
            <w:lang w:val="zh-CN"/>
          </w:rPr>
          <w:t>2</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E426EA"/>
    <w:multiLevelType w:val="singleLevel"/>
    <w:tmpl w:val="A3E426EA"/>
    <w:lvl w:ilvl="0" w:tentative="0">
      <w:start w:val="1"/>
      <w:numFmt w:val="chineseCounting"/>
      <w:suff w:val="space"/>
      <w:lvlText w:val="第%1部分"/>
      <w:lvlJc w:val="left"/>
      <w:rPr>
        <w:rFonts w:hint="eastAsia"/>
      </w:rPr>
    </w:lvl>
  </w:abstractNum>
  <w:abstractNum w:abstractNumId="1">
    <w:nsid w:val="5AAC1B7A"/>
    <w:multiLevelType w:val="singleLevel"/>
    <w:tmpl w:val="5AAC1B7A"/>
    <w:lvl w:ilvl="0" w:tentative="0">
      <w:start w:val="2"/>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VmYzA0ZWRkNTQyNjA1YWQyOTU3Y2Y5ZThmZTlhNDIifQ=="/>
  </w:docVars>
  <w:rsids>
    <w:rsidRoot w:val="009877C5"/>
    <w:rsid w:val="000058C4"/>
    <w:rsid w:val="0001056B"/>
    <w:rsid w:val="000217F3"/>
    <w:rsid w:val="000273CC"/>
    <w:rsid w:val="00030DDC"/>
    <w:rsid w:val="00035BD5"/>
    <w:rsid w:val="00037014"/>
    <w:rsid w:val="00040418"/>
    <w:rsid w:val="00043562"/>
    <w:rsid w:val="00043599"/>
    <w:rsid w:val="0004483E"/>
    <w:rsid w:val="00054957"/>
    <w:rsid w:val="00064142"/>
    <w:rsid w:val="00064B1D"/>
    <w:rsid w:val="000837E6"/>
    <w:rsid w:val="00087A07"/>
    <w:rsid w:val="000A0514"/>
    <w:rsid w:val="000B419A"/>
    <w:rsid w:val="000B4D0E"/>
    <w:rsid w:val="000B75B8"/>
    <w:rsid w:val="000C636F"/>
    <w:rsid w:val="000C73F2"/>
    <w:rsid w:val="000D3840"/>
    <w:rsid w:val="000D517D"/>
    <w:rsid w:val="000F7351"/>
    <w:rsid w:val="0010010F"/>
    <w:rsid w:val="00110964"/>
    <w:rsid w:val="00114E91"/>
    <w:rsid w:val="00125A88"/>
    <w:rsid w:val="00135F0C"/>
    <w:rsid w:val="00145A8F"/>
    <w:rsid w:val="00162BB7"/>
    <w:rsid w:val="00163A3F"/>
    <w:rsid w:val="00163F35"/>
    <w:rsid w:val="001723A3"/>
    <w:rsid w:val="00173995"/>
    <w:rsid w:val="001831F0"/>
    <w:rsid w:val="00194A17"/>
    <w:rsid w:val="001958BC"/>
    <w:rsid w:val="001A0684"/>
    <w:rsid w:val="001A7801"/>
    <w:rsid w:val="001B08B2"/>
    <w:rsid w:val="001B5C4D"/>
    <w:rsid w:val="001D246B"/>
    <w:rsid w:val="001F4AF0"/>
    <w:rsid w:val="00210971"/>
    <w:rsid w:val="00212E02"/>
    <w:rsid w:val="002133CE"/>
    <w:rsid w:val="00223585"/>
    <w:rsid w:val="00225BDA"/>
    <w:rsid w:val="00233B10"/>
    <w:rsid w:val="002433FE"/>
    <w:rsid w:val="00247DDC"/>
    <w:rsid w:val="00255389"/>
    <w:rsid w:val="00266195"/>
    <w:rsid w:val="0027283E"/>
    <w:rsid w:val="002750CB"/>
    <w:rsid w:val="002765B0"/>
    <w:rsid w:val="002769DA"/>
    <w:rsid w:val="002C1519"/>
    <w:rsid w:val="002C529D"/>
    <w:rsid w:val="002D18B9"/>
    <w:rsid w:val="002D1918"/>
    <w:rsid w:val="002D6790"/>
    <w:rsid w:val="002E7FAE"/>
    <w:rsid w:val="002F150C"/>
    <w:rsid w:val="002F2984"/>
    <w:rsid w:val="00304009"/>
    <w:rsid w:val="00304DE8"/>
    <w:rsid w:val="00317116"/>
    <w:rsid w:val="003238A6"/>
    <w:rsid w:val="0033053C"/>
    <w:rsid w:val="003358B7"/>
    <w:rsid w:val="00336691"/>
    <w:rsid w:val="00342439"/>
    <w:rsid w:val="00376A89"/>
    <w:rsid w:val="00380BF1"/>
    <w:rsid w:val="003A4CEC"/>
    <w:rsid w:val="003B1C00"/>
    <w:rsid w:val="003B3034"/>
    <w:rsid w:val="003B483A"/>
    <w:rsid w:val="003C0469"/>
    <w:rsid w:val="003C4252"/>
    <w:rsid w:val="003D3C56"/>
    <w:rsid w:val="003E129F"/>
    <w:rsid w:val="003E5DB0"/>
    <w:rsid w:val="003F060B"/>
    <w:rsid w:val="003F2290"/>
    <w:rsid w:val="003F47A9"/>
    <w:rsid w:val="00404D7B"/>
    <w:rsid w:val="00407650"/>
    <w:rsid w:val="004107E7"/>
    <w:rsid w:val="00420AD1"/>
    <w:rsid w:val="00443AFA"/>
    <w:rsid w:val="004469E5"/>
    <w:rsid w:val="004607D5"/>
    <w:rsid w:val="00463548"/>
    <w:rsid w:val="00476965"/>
    <w:rsid w:val="004821DD"/>
    <w:rsid w:val="004855A5"/>
    <w:rsid w:val="00485853"/>
    <w:rsid w:val="00491007"/>
    <w:rsid w:val="00493DFF"/>
    <w:rsid w:val="00497585"/>
    <w:rsid w:val="004D0C11"/>
    <w:rsid w:val="004D624B"/>
    <w:rsid w:val="004F73A3"/>
    <w:rsid w:val="0050396E"/>
    <w:rsid w:val="0051100A"/>
    <w:rsid w:val="00517658"/>
    <w:rsid w:val="00520634"/>
    <w:rsid w:val="005228E3"/>
    <w:rsid w:val="0053015D"/>
    <w:rsid w:val="0053026D"/>
    <w:rsid w:val="0053366C"/>
    <w:rsid w:val="0054355C"/>
    <w:rsid w:val="00543DFB"/>
    <w:rsid w:val="005537D7"/>
    <w:rsid w:val="00557198"/>
    <w:rsid w:val="00563399"/>
    <w:rsid w:val="00571D38"/>
    <w:rsid w:val="0057392B"/>
    <w:rsid w:val="005948D0"/>
    <w:rsid w:val="005A2464"/>
    <w:rsid w:val="005C14D8"/>
    <w:rsid w:val="005D0395"/>
    <w:rsid w:val="005D18A9"/>
    <w:rsid w:val="005E51E2"/>
    <w:rsid w:val="005E7EB8"/>
    <w:rsid w:val="005F3B74"/>
    <w:rsid w:val="006065BE"/>
    <w:rsid w:val="0060794F"/>
    <w:rsid w:val="00617324"/>
    <w:rsid w:val="006211A3"/>
    <w:rsid w:val="00627177"/>
    <w:rsid w:val="00627CE6"/>
    <w:rsid w:val="00645CFB"/>
    <w:rsid w:val="006462F3"/>
    <w:rsid w:val="00647481"/>
    <w:rsid w:val="00657219"/>
    <w:rsid w:val="00662383"/>
    <w:rsid w:val="00663619"/>
    <w:rsid w:val="006755D5"/>
    <w:rsid w:val="00681CC3"/>
    <w:rsid w:val="0068213B"/>
    <w:rsid w:val="006865A1"/>
    <w:rsid w:val="0068667F"/>
    <w:rsid w:val="0069408C"/>
    <w:rsid w:val="006A0AAE"/>
    <w:rsid w:val="006A1781"/>
    <w:rsid w:val="006A2854"/>
    <w:rsid w:val="006B49B8"/>
    <w:rsid w:val="006B5382"/>
    <w:rsid w:val="006B5579"/>
    <w:rsid w:val="006C76E8"/>
    <w:rsid w:val="006E58D7"/>
    <w:rsid w:val="006F70CB"/>
    <w:rsid w:val="00701E03"/>
    <w:rsid w:val="00706A26"/>
    <w:rsid w:val="00707A41"/>
    <w:rsid w:val="00720F0F"/>
    <w:rsid w:val="00721E50"/>
    <w:rsid w:val="00727619"/>
    <w:rsid w:val="007440B5"/>
    <w:rsid w:val="00746111"/>
    <w:rsid w:val="007508F8"/>
    <w:rsid w:val="00757467"/>
    <w:rsid w:val="00757580"/>
    <w:rsid w:val="007801B0"/>
    <w:rsid w:val="00787947"/>
    <w:rsid w:val="00791912"/>
    <w:rsid w:val="0079352E"/>
    <w:rsid w:val="007942B1"/>
    <w:rsid w:val="007B0027"/>
    <w:rsid w:val="007C5C76"/>
    <w:rsid w:val="007D2D34"/>
    <w:rsid w:val="007D39C1"/>
    <w:rsid w:val="007D42CA"/>
    <w:rsid w:val="007D628C"/>
    <w:rsid w:val="007E4E46"/>
    <w:rsid w:val="008041BD"/>
    <w:rsid w:val="0080443F"/>
    <w:rsid w:val="0082147C"/>
    <w:rsid w:val="00825BC5"/>
    <w:rsid w:val="00832ED8"/>
    <w:rsid w:val="008441E5"/>
    <w:rsid w:val="008527CB"/>
    <w:rsid w:val="00854A0A"/>
    <w:rsid w:val="008564E0"/>
    <w:rsid w:val="00862707"/>
    <w:rsid w:val="0087104E"/>
    <w:rsid w:val="0088478B"/>
    <w:rsid w:val="008A2267"/>
    <w:rsid w:val="008B09F2"/>
    <w:rsid w:val="008B48D8"/>
    <w:rsid w:val="008B6463"/>
    <w:rsid w:val="008C2162"/>
    <w:rsid w:val="008C4CC8"/>
    <w:rsid w:val="008E0A88"/>
    <w:rsid w:val="008E0E36"/>
    <w:rsid w:val="008E2FAE"/>
    <w:rsid w:val="008E3B81"/>
    <w:rsid w:val="00912110"/>
    <w:rsid w:val="0092382F"/>
    <w:rsid w:val="00924DD9"/>
    <w:rsid w:val="009309D9"/>
    <w:rsid w:val="00931BA5"/>
    <w:rsid w:val="009401A0"/>
    <w:rsid w:val="009407FD"/>
    <w:rsid w:val="00942D47"/>
    <w:rsid w:val="0094308D"/>
    <w:rsid w:val="00943E3B"/>
    <w:rsid w:val="009468F4"/>
    <w:rsid w:val="00952F0C"/>
    <w:rsid w:val="00956195"/>
    <w:rsid w:val="009629D1"/>
    <w:rsid w:val="00985D7E"/>
    <w:rsid w:val="009865BF"/>
    <w:rsid w:val="009877C5"/>
    <w:rsid w:val="00994BD5"/>
    <w:rsid w:val="00994FE7"/>
    <w:rsid w:val="009A0EB9"/>
    <w:rsid w:val="009A255A"/>
    <w:rsid w:val="009B3A3B"/>
    <w:rsid w:val="009D5FA3"/>
    <w:rsid w:val="009D6206"/>
    <w:rsid w:val="009F233D"/>
    <w:rsid w:val="009F261E"/>
    <w:rsid w:val="00A13B37"/>
    <w:rsid w:val="00A27485"/>
    <w:rsid w:val="00A352B7"/>
    <w:rsid w:val="00A67F88"/>
    <w:rsid w:val="00A71853"/>
    <w:rsid w:val="00A74DB4"/>
    <w:rsid w:val="00A77C35"/>
    <w:rsid w:val="00A92278"/>
    <w:rsid w:val="00A93EE9"/>
    <w:rsid w:val="00A9514E"/>
    <w:rsid w:val="00A972D5"/>
    <w:rsid w:val="00AB5342"/>
    <w:rsid w:val="00AC4951"/>
    <w:rsid w:val="00AC7B5B"/>
    <w:rsid w:val="00AD22C6"/>
    <w:rsid w:val="00AD3996"/>
    <w:rsid w:val="00AF122E"/>
    <w:rsid w:val="00AF4C5C"/>
    <w:rsid w:val="00B00190"/>
    <w:rsid w:val="00B04CCA"/>
    <w:rsid w:val="00B07302"/>
    <w:rsid w:val="00B15F4F"/>
    <w:rsid w:val="00B16769"/>
    <w:rsid w:val="00B24A30"/>
    <w:rsid w:val="00B333CA"/>
    <w:rsid w:val="00B45315"/>
    <w:rsid w:val="00B45EB5"/>
    <w:rsid w:val="00B4631D"/>
    <w:rsid w:val="00B46FC0"/>
    <w:rsid w:val="00B512C2"/>
    <w:rsid w:val="00B60289"/>
    <w:rsid w:val="00B60DC1"/>
    <w:rsid w:val="00B63D7A"/>
    <w:rsid w:val="00B70B4C"/>
    <w:rsid w:val="00B75B62"/>
    <w:rsid w:val="00B75E28"/>
    <w:rsid w:val="00B80AFA"/>
    <w:rsid w:val="00B94DC9"/>
    <w:rsid w:val="00B94EC2"/>
    <w:rsid w:val="00BA1F3E"/>
    <w:rsid w:val="00BA691D"/>
    <w:rsid w:val="00BB4DF9"/>
    <w:rsid w:val="00BC0F71"/>
    <w:rsid w:val="00BC3A0D"/>
    <w:rsid w:val="00BD7A15"/>
    <w:rsid w:val="00BE5697"/>
    <w:rsid w:val="00BF1397"/>
    <w:rsid w:val="00BF67E9"/>
    <w:rsid w:val="00BF73B0"/>
    <w:rsid w:val="00C025EB"/>
    <w:rsid w:val="00C10791"/>
    <w:rsid w:val="00C13F3B"/>
    <w:rsid w:val="00C26675"/>
    <w:rsid w:val="00C27CFB"/>
    <w:rsid w:val="00C36BD5"/>
    <w:rsid w:val="00C40B3D"/>
    <w:rsid w:val="00C420A1"/>
    <w:rsid w:val="00C45557"/>
    <w:rsid w:val="00C458BC"/>
    <w:rsid w:val="00C61232"/>
    <w:rsid w:val="00C62CEA"/>
    <w:rsid w:val="00C64904"/>
    <w:rsid w:val="00C65F81"/>
    <w:rsid w:val="00C75456"/>
    <w:rsid w:val="00C84925"/>
    <w:rsid w:val="00C86A24"/>
    <w:rsid w:val="00C94F12"/>
    <w:rsid w:val="00C95409"/>
    <w:rsid w:val="00CB428A"/>
    <w:rsid w:val="00CC20AE"/>
    <w:rsid w:val="00CC4E74"/>
    <w:rsid w:val="00CD18EC"/>
    <w:rsid w:val="00CD79DA"/>
    <w:rsid w:val="00CD79E1"/>
    <w:rsid w:val="00CE17DE"/>
    <w:rsid w:val="00CF331C"/>
    <w:rsid w:val="00D01648"/>
    <w:rsid w:val="00D01BFC"/>
    <w:rsid w:val="00D040B5"/>
    <w:rsid w:val="00D11069"/>
    <w:rsid w:val="00D11EFB"/>
    <w:rsid w:val="00D40083"/>
    <w:rsid w:val="00D57527"/>
    <w:rsid w:val="00D57F46"/>
    <w:rsid w:val="00D63B65"/>
    <w:rsid w:val="00D7502E"/>
    <w:rsid w:val="00D7502F"/>
    <w:rsid w:val="00D810D0"/>
    <w:rsid w:val="00D86C7C"/>
    <w:rsid w:val="00D90387"/>
    <w:rsid w:val="00D91A31"/>
    <w:rsid w:val="00D940FC"/>
    <w:rsid w:val="00D95235"/>
    <w:rsid w:val="00D9696E"/>
    <w:rsid w:val="00DA5715"/>
    <w:rsid w:val="00DB02C3"/>
    <w:rsid w:val="00DC5069"/>
    <w:rsid w:val="00DD1168"/>
    <w:rsid w:val="00DD3C7A"/>
    <w:rsid w:val="00DE2601"/>
    <w:rsid w:val="00DF0E1F"/>
    <w:rsid w:val="00DF3CC7"/>
    <w:rsid w:val="00DF7619"/>
    <w:rsid w:val="00DF7B91"/>
    <w:rsid w:val="00E00E92"/>
    <w:rsid w:val="00E07D40"/>
    <w:rsid w:val="00E141D8"/>
    <w:rsid w:val="00E16457"/>
    <w:rsid w:val="00E17A3A"/>
    <w:rsid w:val="00E2362B"/>
    <w:rsid w:val="00E26704"/>
    <w:rsid w:val="00E332DC"/>
    <w:rsid w:val="00E37853"/>
    <w:rsid w:val="00E378A0"/>
    <w:rsid w:val="00E40195"/>
    <w:rsid w:val="00E41B3D"/>
    <w:rsid w:val="00E60B1E"/>
    <w:rsid w:val="00E66559"/>
    <w:rsid w:val="00E67AAE"/>
    <w:rsid w:val="00E70017"/>
    <w:rsid w:val="00E73E37"/>
    <w:rsid w:val="00E752E7"/>
    <w:rsid w:val="00E94F12"/>
    <w:rsid w:val="00EA07BE"/>
    <w:rsid w:val="00EA2B9B"/>
    <w:rsid w:val="00EA43A3"/>
    <w:rsid w:val="00EA620B"/>
    <w:rsid w:val="00EB4109"/>
    <w:rsid w:val="00EB7658"/>
    <w:rsid w:val="00EB7E84"/>
    <w:rsid w:val="00ED74FB"/>
    <w:rsid w:val="00EE7F2C"/>
    <w:rsid w:val="00F04EC0"/>
    <w:rsid w:val="00F116F7"/>
    <w:rsid w:val="00F161D4"/>
    <w:rsid w:val="00F174CA"/>
    <w:rsid w:val="00F20CD5"/>
    <w:rsid w:val="00F27F01"/>
    <w:rsid w:val="00F37AE5"/>
    <w:rsid w:val="00F4229C"/>
    <w:rsid w:val="00F42C1B"/>
    <w:rsid w:val="00F447AF"/>
    <w:rsid w:val="00F44C72"/>
    <w:rsid w:val="00F57850"/>
    <w:rsid w:val="00F73473"/>
    <w:rsid w:val="00F82C04"/>
    <w:rsid w:val="00F9172F"/>
    <w:rsid w:val="00F95E15"/>
    <w:rsid w:val="00FA5A15"/>
    <w:rsid w:val="00FB7D59"/>
    <w:rsid w:val="00FC29EF"/>
    <w:rsid w:val="00FC2E42"/>
    <w:rsid w:val="00FC5FF8"/>
    <w:rsid w:val="00FE5214"/>
    <w:rsid w:val="00FF2C32"/>
    <w:rsid w:val="00FF4D4A"/>
    <w:rsid w:val="010B405F"/>
    <w:rsid w:val="013637D1"/>
    <w:rsid w:val="01374E54"/>
    <w:rsid w:val="013B2B96"/>
    <w:rsid w:val="01747E56"/>
    <w:rsid w:val="018067FB"/>
    <w:rsid w:val="018E6132"/>
    <w:rsid w:val="01917573"/>
    <w:rsid w:val="01987FE8"/>
    <w:rsid w:val="01AD5116"/>
    <w:rsid w:val="01F176F8"/>
    <w:rsid w:val="01FF7884"/>
    <w:rsid w:val="02025DEC"/>
    <w:rsid w:val="02207071"/>
    <w:rsid w:val="022C2B8D"/>
    <w:rsid w:val="02491E62"/>
    <w:rsid w:val="026317BE"/>
    <w:rsid w:val="02833A50"/>
    <w:rsid w:val="02983842"/>
    <w:rsid w:val="029A38EC"/>
    <w:rsid w:val="02D069FA"/>
    <w:rsid w:val="02D40FC3"/>
    <w:rsid w:val="02D47EDA"/>
    <w:rsid w:val="03231D76"/>
    <w:rsid w:val="03253015"/>
    <w:rsid w:val="033774E1"/>
    <w:rsid w:val="03433C90"/>
    <w:rsid w:val="036E1A2C"/>
    <w:rsid w:val="039B791C"/>
    <w:rsid w:val="03A10CAA"/>
    <w:rsid w:val="03A76C6E"/>
    <w:rsid w:val="03C752AE"/>
    <w:rsid w:val="03D42B6A"/>
    <w:rsid w:val="03D60954"/>
    <w:rsid w:val="041E22FB"/>
    <w:rsid w:val="044C29F0"/>
    <w:rsid w:val="044D77F5"/>
    <w:rsid w:val="046805DA"/>
    <w:rsid w:val="048B3953"/>
    <w:rsid w:val="04D9532C"/>
    <w:rsid w:val="0580501B"/>
    <w:rsid w:val="05886C0F"/>
    <w:rsid w:val="05FA2A46"/>
    <w:rsid w:val="061846FD"/>
    <w:rsid w:val="06605533"/>
    <w:rsid w:val="066A2BF5"/>
    <w:rsid w:val="067B32B3"/>
    <w:rsid w:val="06D10FB5"/>
    <w:rsid w:val="07070EA5"/>
    <w:rsid w:val="07342561"/>
    <w:rsid w:val="074309F6"/>
    <w:rsid w:val="074633EA"/>
    <w:rsid w:val="07466DB0"/>
    <w:rsid w:val="07B178A8"/>
    <w:rsid w:val="07B62F76"/>
    <w:rsid w:val="07BA13EE"/>
    <w:rsid w:val="07D96C64"/>
    <w:rsid w:val="07E27F2F"/>
    <w:rsid w:val="080726D2"/>
    <w:rsid w:val="08103ADB"/>
    <w:rsid w:val="08167F77"/>
    <w:rsid w:val="081704A6"/>
    <w:rsid w:val="082C66B6"/>
    <w:rsid w:val="08DF4108"/>
    <w:rsid w:val="09175C96"/>
    <w:rsid w:val="091B505B"/>
    <w:rsid w:val="09265ED9"/>
    <w:rsid w:val="09565B9A"/>
    <w:rsid w:val="097B7545"/>
    <w:rsid w:val="09DE4741"/>
    <w:rsid w:val="09FB55B8"/>
    <w:rsid w:val="0A8D3D36"/>
    <w:rsid w:val="0AA03A6A"/>
    <w:rsid w:val="0AAE64BA"/>
    <w:rsid w:val="0AC23FCE"/>
    <w:rsid w:val="0ADC5E64"/>
    <w:rsid w:val="0ADEB715"/>
    <w:rsid w:val="0AE16099"/>
    <w:rsid w:val="0B0673E9"/>
    <w:rsid w:val="0B114967"/>
    <w:rsid w:val="0B15276E"/>
    <w:rsid w:val="0B18682D"/>
    <w:rsid w:val="0B4A7823"/>
    <w:rsid w:val="0B723999"/>
    <w:rsid w:val="0B8D770B"/>
    <w:rsid w:val="0BDE0CED"/>
    <w:rsid w:val="0C125AEB"/>
    <w:rsid w:val="0C230B7E"/>
    <w:rsid w:val="0C433871"/>
    <w:rsid w:val="0C7334CF"/>
    <w:rsid w:val="0C7D2945"/>
    <w:rsid w:val="0C7E51DC"/>
    <w:rsid w:val="0CC45311"/>
    <w:rsid w:val="0CC84AD5"/>
    <w:rsid w:val="0CD97582"/>
    <w:rsid w:val="0D097FEC"/>
    <w:rsid w:val="0D1F2B58"/>
    <w:rsid w:val="0D83161E"/>
    <w:rsid w:val="0D95362E"/>
    <w:rsid w:val="0D9A2D62"/>
    <w:rsid w:val="0DBA44BA"/>
    <w:rsid w:val="0E215F2D"/>
    <w:rsid w:val="0E285ADE"/>
    <w:rsid w:val="0E417D63"/>
    <w:rsid w:val="0E4B0A5C"/>
    <w:rsid w:val="0E5139F9"/>
    <w:rsid w:val="0E5D3FD2"/>
    <w:rsid w:val="0E6E3480"/>
    <w:rsid w:val="0E903DF5"/>
    <w:rsid w:val="0EB977F0"/>
    <w:rsid w:val="0EC046DA"/>
    <w:rsid w:val="0F317386"/>
    <w:rsid w:val="0F594194"/>
    <w:rsid w:val="0F66000C"/>
    <w:rsid w:val="0F8751F8"/>
    <w:rsid w:val="0F8B4CE8"/>
    <w:rsid w:val="0F9750B9"/>
    <w:rsid w:val="0FCD3553"/>
    <w:rsid w:val="10564BB9"/>
    <w:rsid w:val="10573092"/>
    <w:rsid w:val="108F25B6"/>
    <w:rsid w:val="10B244F7"/>
    <w:rsid w:val="10B755B0"/>
    <w:rsid w:val="10C347AE"/>
    <w:rsid w:val="10CB66A1"/>
    <w:rsid w:val="10D017D9"/>
    <w:rsid w:val="10D33B29"/>
    <w:rsid w:val="1137BE08"/>
    <w:rsid w:val="1147305C"/>
    <w:rsid w:val="1154554F"/>
    <w:rsid w:val="116F5C2C"/>
    <w:rsid w:val="11904838"/>
    <w:rsid w:val="11990339"/>
    <w:rsid w:val="11E76024"/>
    <w:rsid w:val="120659CB"/>
    <w:rsid w:val="12353631"/>
    <w:rsid w:val="123E24E6"/>
    <w:rsid w:val="124D44D7"/>
    <w:rsid w:val="12683070"/>
    <w:rsid w:val="128722C2"/>
    <w:rsid w:val="12B00269"/>
    <w:rsid w:val="13092D75"/>
    <w:rsid w:val="130A3724"/>
    <w:rsid w:val="131A6F25"/>
    <w:rsid w:val="1336140F"/>
    <w:rsid w:val="13543574"/>
    <w:rsid w:val="13880370"/>
    <w:rsid w:val="13A520F1"/>
    <w:rsid w:val="141848BD"/>
    <w:rsid w:val="14223741"/>
    <w:rsid w:val="142F5DD3"/>
    <w:rsid w:val="14410D33"/>
    <w:rsid w:val="146F3142"/>
    <w:rsid w:val="14A53AB7"/>
    <w:rsid w:val="14ED01F3"/>
    <w:rsid w:val="14F26434"/>
    <w:rsid w:val="150354C7"/>
    <w:rsid w:val="153D4CD7"/>
    <w:rsid w:val="15642B73"/>
    <w:rsid w:val="156644E7"/>
    <w:rsid w:val="15700D3A"/>
    <w:rsid w:val="1577F41F"/>
    <w:rsid w:val="157D5A9A"/>
    <w:rsid w:val="15B4528F"/>
    <w:rsid w:val="15F53A23"/>
    <w:rsid w:val="16405158"/>
    <w:rsid w:val="166B5873"/>
    <w:rsid w:val="168C6F81"/>
    <w:rsid w:val="168E788F"/>
    <w:rsid w:val="16907088"/>
    <w:rsid w:val="1694677A"/>
    <w:rsid w:val="16A7CB2F"/>
    <w:rsid w:val="16AD59D4"/>
    <w:rsid w:val="16D83C4D"/>
    <w:rsid w:val="16E209ED"/>
    <w:rsid w:val="16F615E1"/>
    <w:rsid w:val="16FF7D6A"/>
    <w:rsid w:val="170D11CC"/>
    <w:rsid w:val="171A4BA4"/>
    <w:rsid w:val="174A2178"/>
    <w:rsid w:val="174B0D9F"/>
    <w:rsid w:val="174C7453"/>
    <w:rsid w:val="175737EC"/>
    <w:rsid w:val="17573933"/>
    <w:rsid w:val="17863BCC"/>
    <w:rsid w:val="17B7715C"/>
    <w:rsid w:val="17B9616B"/>
    <w:rsid w:val="17CF1E32"/>
    <w:rsid w:val="17D631C0"/>
    <w:rsid w:val="17D77317"/>
    <w:rsid w:val="17DD0A7A"/>
    <w:rsid w:val="17E07B9B"/>
    <w:rsid w:val="17EF0018"/>
    <w:rsid w:val="182E4DAB"/>
    <w:rsid w:val="184C6FDF"/>
    <w:rsid w:val="18513981"/>
    <w:rsid w:val="185D7EED"/>
    <w:rsid w:val="18BA03EC"/>
    <w:rsid w:val="18ED4BC7"/>
    <w:rsid w:val="191C2E55"/>
    <w:rsid w:val="19687E48"/>
    <w:rsid w:val="196D231C"/>
    <w:rsid w:val="19782558"/>
    <w:rsid w:val="197D18C8"/>
    <w:rsid w:val="199B6E4C"/>
    <w:rsid w:val="19BC09CE"/>
    <w:rsid w:val="19CE05F3"/>
    <w:rsid w:val="19DC091C"/>
    <w:rsid w:val="1A0E3F55"/>
    <w:rsid w:val="1A3C2513"/>
    <w:rsid w:val="1A602AAD"/>
    <w:rsid w:val="1A9B542C"/>
    <w:rsid w:val="1AD870AE"/>
    <w:rsid w:val="1AE440C8"/>
    <w:rsid w:val="1AEC506E"/>
    <w:rsid w:val="1AEF6A73"/>
    <w:rsid w:val="1B0577EC"/>
    <w:rsid w:val="1B4225F8"/>
    <w:rsid w:val="1B4228E4"/>
    <w:rsid w:val="1B4437DD"/>
    <w:rsid w:val="1B495A3F"/>
    <w:rsid w:val="1B707488"/>
    <w:rsid w:val="1B7E7DF7"/>
    <w:rsid w:val="1BBA7921"/>
    <w:rsid w:val="1BBC6031"/>
    <w:rsid w:val="1BF14BE3"/>
    <w:rsid w:val="1C0874AD"/>
    <w:rsid w:val="1C312DFB"/>
    <w:rsid w:val="1C5043AD"/>
    <w:rsid w:val="1C507300"/>
    <w:rsid w:val="1C5C381F"/>
    <w:rsid w:val="1C8E5E18"/>
    <w:rsid w:val="1C9E35D1"/>
    <w:rsid w:val="1CAE5116"/>
    <w:rsid w:val="1CDD1818"/>
    <w:rsid w:val="1CDF2C56"/>
    <w:rsid w:val="1CE617B0"/>
    <w:rsid w:val="1CEB14BC"/>
    <w:rsid w:val="1CF6151A"/>
    <w:rsid w:val="1D031736"/>
    <w:rsid w:val="1D171E50"/>
    <w:rsid w:val="1D2332D3"/>
    <w:rsid w:val="1D2979A5"/>
    <w:rsid w:val="1D4B2072"/>
    <w:rsid w:val="1D5C4168"/>
    <w:rsid w:val="1D6667E2"/>
    <w:rsid w:val="1DC64521"/>
    <w:rsid w:val="1DFC74D6"/>
    <w:rsid w:val="1E417712"/>
    <w:rsid w:val="1E5D1CAA"/>
    <w:rsid w:val="1E9B294F"/>
    <w:rsid w:val="1EAB0A87"/>
    <w:rsid w:val="1EC45033"/>
    <w:rsid w:val="1EE833D9"/>
    <w:rsid w:val="1EF00BEE"/>
    <w:rsid w:val="1EFC35A3"/>
    <w:rsid w:val="1F027736"/>
    <w:rsid w:val="1F0E3F11"/>
    <w:rsid w:val="1F154C19"/>
    <w:rsid w:val="1F3033E0"/>
    <w:rsid w:val="1F317777"/>
    <w:rsid w:val="1F4E529F"/>
    <w:rsid w:val="1F5A24DC"/>
    <w:rsid w:val="1F851F67"/>
    <w:rsid w:val="1FA6791C"/>
    <w:rsid w:val="1FBC3A6E"/>
    <w:rsid w:val="1FDA1B2F"/>
    <w:rsid w:val="1FFD6EF9"/>
    <w:rsid w:val="1FFF492E"/>
    <w:rsid w:val="20155089"/>
    <w:rsid w:val="204F3B10"/>
    <w:rsid w:val="20823EE5"/>
    <w:rsid w:val="208714FC"/>
    <w:rsid w:val="208C7CF7"/>
    <w:rsid w:val="208F011C"/>
    <w:rsid w:val="20D9162C"/>
    <w:rsid w:val="20EE7FD1"/>
    <w:rsid w:val="21096A97"/>
    <w:rsid w:val="210D5136"/>
    <w:rsid w:val="21195F1D"/>
    <w:rsid w:val="211B4B78"/>
    <w:rsid w:val="21780E44"/>
    <w:rsid w:val="218B7F57"/>
    <w:rsid w:val="218F3108"/>
    <w:rsid w:val="2191285E"/>
    <w:rsid w:val="219F1518"/>
    <w:rsid w:val="21F20BF7"/>
    <w:rsid w:val="222C4C08"/>
    <w:rsid w:val="222D1C2F"/>
    <w:rsid w:val="227E0D23"/>
    <w:rsid w:val="22A57D6F"/>
    <w:rsid w:val="22B14323"/>
    <w:rsid w:val="22D973ED"/>
    <w:rsid w:val="22DC6F69"/>
    <w:rsid w:val="22F6534C"/>
    <w:rsid w:val="232B4FB6"/>
    <w:rsid w:val="233314C7"/>
    <w:rsid w:val="23356FED"/>
    <w:rsid w:val="235C7CB8"/>
    <w:rsid w:val="2379670C"/>
    <w:rsid w:val="239E5162"/>
    <w:rsid w:val="23AD721F"/>
    <w:rsid w:val="23C860B3"/>
    <w:rsid w:val="23EB3B50"/>
    <w:rsid w:val="242C2528"/>
    <w:rsid w:val="24773635"/>
    <w:rsid w:val="25117A89"/>
    <w:rsid w:val="251E2F40"/>
    <w:rsid w:val="25305A0C"/>
    <w:rsid w:val="25401C79"/>
    <w:rsid w:val="258C02E0"/>
    <w:rsid w:val="25A82899"/>
    <w:rsid w:val="25EC1A51"/>
    <w:rsid w:val="26260885"/>
    <w:rsid w:val="264E7B9B"/>
    <w:rsid w:val="2651233D"/>
    <w:rsid w:val="26755531"/>
    <w:rsid w:val="268D0EEE"/>
    <w:rsid w:val="269C7383"/>
    <w:rsid w:val="27030CC8"/>
    <w:rsid w:val="273179BB"/>
    <w:rsid w:val="27392E24"/>
    <w:rsid w:val="27435A51"/>
    <w:rsid w:val="274630C5"/>
    <w:rsid w:val="27525C42"/>
    <w:rsid w:val="276E3494"/>
    <w:rsid w:val="27B736EF"/>
    <w:rsid w:val="27C941A8"/>
    <w:rsid w:val="27DC7CF3"/>
    <w:rsid w:val="27FC632B"/>
    <w:rsid w:val="28051D79"/>
    <w:rsid w:val="28286C18"/>
    <w:rsid w:val="283C7103"/>
    <w:rsid w:val="28936238"/>
    <w:rsid w:val="28B60BD0"/>
    <w:rsid w:val="28B96D84"/>
    <w:rsid w:val="28BA2565"/>
    <w:rsid w:val="28F8576B"/>
    <w:rsid w:val="28FB39C5"/>
    <w:rsid w:val="290C07F0"/>
    <w:rsid w:val="290F02E0"/>
    <w:rsid w:val="29423FA6"/>
    <w:rsid w:val="297D075A"/>
    <w:rsid w:val="298D3AA6"/>
    <w:rsid w:val="29973EA5"/>
    <w:rsid w:val="2A04596B"/>
    <w:rsid w:val="2A225B7B"/>
    <w:rsid w:val="2A3E4CBC"/>
    <w:rsid w:val="2A5129AF"/>
    <w:rsid w:val="2A66386C"/>
    <w:rsid w:val="2A943D8F"/>
    <w:rsid w:val="2AF22AD4"/>
    <w:rsid w:val="2AFD0DB5"/>
    <w:rsid w:val="2B1517CD"/>
    <w:rsid w:val="2B807273"/>
    <w:rsid w:val="2B876618"/>
    <w:rsid w:val="2B8A00F2"/>
    <w:rsid w:val="2BAE77C2"/>
    <w:rsid w:val="2BC929C8"/>
    <w:rsid w:val="2BD355F5"/>
    <w:rsid w:val="2BD364FD"/>
    <w:rsid w:val="2BF26804"/>
    <w:rsid w:val="2BF5481D"/>
    <w:rsid w:val="2BFE3CB2"/>
    <w:rsid w:val="2C052F53"/>
    <w:rsid w:val="2C0B2FE1"/>
    <w:rsid w:val="2C35087A"/>
    <w:rsid w:val="2C4F1D17"/>
    <w:rsid w:val="2C6863A1"/>
    <w:rsid w:val="2C780367"/>
    <w:rsid w:val="2C8D7E9A"/>
    <w:rsid w:val="2CB27900"/>
    <w:rsid w:val="2CB31912"/>
    <w:rsid w:val="2CCF6795"/>
    <w:rsid w:val="2D1A508D"/>
    <w:rsid w:val="2D454806"/>
    <w:rsid w:val="2DA52FC1"/>
    <w:rsid w:val="2DB567EB"/>
    <w:rsid w:val="2DD13DB6"/>
    <w:rsid w:val="2DE2072E"/>
    <w:rsid w:val="2E3B8954"/>
    <w:rsid w:val="2E4C4BE3"/>
    <w:rsid w:val="2E56075F"/>
    <w:rsid w:val="2E6E7857"/>
    <w:rsid w:val="2E94175C"/>
    <w:rsid w:val="2EA95F0B"/>
    <w:rsid w:val="2EAF1519"/>
    <w:rsid w:val="2F103789"/>
    <w:rsid w:val="2F1F2DD3"/>
    <w:rsid w:val="2F3A2FD8"/>
    <w:rsid w:val="2F566C69"/>
    <w:rsid w:val="2FFE2C0B"/>
    <w:rsid w:val="301A5EE8"/>
    <w:rsid w:val="30607673"/>
    <w:rsid w:val="30976248"/>
    <w:rsid w:val="30AE4B16"/>
    <w:rsid w:val="30F20773"/>
    <w:rsid w:val="31124E12"/>
    <w:rsid w:val="3124632C"/>
    <w:rsid w:val="314239BA"/>
    <w:rsid w:val="315A2315"/>
    <w:rsid w:val="31633C5C"/>
    <w:rsid w:val="31B5573D"/>
    <w:rsid w:val="31BA63A1"/>
    <w:rsid w:val="31C854D0"/>
    <w:rsid w:val="31DE4CF4"/>
    <w:rsid w:val="31F97D80"/>
    <w:rsid w:val="32032452"/>
    <w:rsid w:val="322C7BB2"/>
    <w:rsid w:val="32764F2C"/>
    <w:rsid w:val="32AE0B6A"/>
    <w:rsid w:val="32CF24E7"/>
    <w:rsid w:val="32D14858"/>
    <w:rsid w:val="32D3412D"/>
    <w:rsid w:val="32DC13D3"/>
    <w:rsid w:val="32ED6423"/>
    <w:rsid w:val="32F40E0B"/>
    <w:rsid w:val="331053A2"/>
    <w:rsid w:val="331E3B9B"/>
    <w:rsid w:val="331F14E2"/>
    <w:rsid w:val="332F4754"/>
    <w:rsid w:val="334916C9"/>
    <w:rsid w:val="33576B0C"/>
    <w:rsid w:val="33621DED"/>
    <w:rsid w:val="337E0244"/>
    <w:rsid w:val="338E47CE"/>
    <w:rsid w:val="33AF73DD"/>
    <w:rsid w:val="33B421B0"/>
    <w:rsid w:val="33D939C5"/>
    <w:rsid w:val="33F15DB4"/>
    <w:rsid w:val="33FA3641"/>
    <w:rsid w:val="340824FC"/>
    <w:rsid w:val="34806536"/>
    <w:rsid w:val="348C22ED"/>
    <w:rsid w:val="34EC597A"/>
    <w:rsid w:val="34FC64FF"/>
    <w:rsid w:val="35156C7E"/>
    <w:rsid w:val="35266E42"/>
    <w:rsid w:val="35284C04"/>
    <w:rsid w:val="35417334"/>
    <w:rsid w:val="35453426"/>
    <w:rsid w:val="35673658"/>
    <w:rsid w:val="357C4F4F"/>
    <w:rsid w:val="35EC51A3"/>
    <w:rsid w:val="35F745D6"/>
    <w:rsid w:val="36021E86"/>
    <w:rsid w:val="36022CD0"/>
    <w:rsid w:val="360A1AA8"/>
    <w:rsid w:val="360A35C3"/>
    <w:rsid w:val="361333E2"/>
    <w:rsid w:val="36437DE4"/>
    <w:rsid w:val="368371E9"/>
    <w:rsid w:val="368E3BA9"/>
    <w:rsid w:val="36BE2F32"/>
    <w:rsid w:val="36D3294D"/>
    <w:rsid w:val="36ED7DFB"/>
    <w:rsid w:val="37114C9C"/>
    <w:rsid w:val="37132099"/>
    <w:rsid w:val="373D34D1"/>
    <w:rsid w:val="377625D0"/>
    <w:rsid w:val="37797999"/>
    <w:rsid w:val="377C32F0"/>
    <w:rsid w:val="378F6424"/>
    <w:rsid w:val="37B3277F"/>
    <w:rsid w:val="37F03216"/>
    <w:rsid w:val="380241D9"/>
    <w:rsid w:val="38307556"/>
    <w:rsid w:val="38411D36"/>
    <w:rsid w:val="384E5182"/>
    <w:rsid w:val="38683569"/>
    <w:rsid w:val="3869241B"/>
    <w:rsid w:val="386F66A6"/>
    <w:rsid w:val="38A85352"/>
    <w:rsid w:val="38B477AA"/>
    <w:rsid w:val="38BE6922"/>
    <w:rsid w:val="38CA3FBC"/>
    <w:rsid w:val="38D366C6"/>
    <w:rsid w:val="38E46214"/>
    <w:rsid w:val="38F4541E"/>
    <w:rsid w:val="39082905"/>
    <w:rsid w:val="3936272E"/>
    <w:rsid w:val="39441CF9"/>
    <w:rsid w:val="3944674A"/>
    <w:rsid w:val="39D07993"/>
    <w:rsid w:val="39FE23D7"/>
    <w:rsid w:val="3A0F9A44"/>
    <w:rsid w:val="3A26395E"/>
    <w:rsid w:val="3A443B62"/>
    <w:rsid w:val="3A465B2C"/>
    <w:rsid w:val="3A4D1E76"/>
    <w:rsid w:val="3A6F51D2"/>
    <w:rsid w:val="3A940645"/>
    <w:rsid w:val="3ADB44C6"/>
    <w:rsid w:val="3AEF45E8"/>
    <w:rsid w:val="3B132711"/>
    <w:rsid w:val="3B20637D"/>
    <w:rsid w:val="3B3676EA"/>
    <w:rsid w:val="3B572E6B"/>
    <w:rsid w:val="3B854A7A"/>
    <w:rsid w:val="3B9F0850"/>
    <w:rsid w:val="3BA951BE"/>
    <w:rsid w:val="3BB22FC4"/>
    <w:rsid w:val="3BE23632"/>
    <w:rsid w:val="3C097FC1"/>
    <w:rsid w:val="3C2D0D52"/>
    <w:rsid w:val="3C333A71"/>
    <w:rsid w:val="3C44609B"/>
    <w:rsid w:val="3C487939"/>
    <w:rsid w:val="3C6773B9"/>
    <w:rsid w:val="3C6F4CE4"/>
    <w:rsid w:val="3CB91CB2"/>
    <w:rsid w:val="3CD016DD"/>
    <w:rsid w:val="3D333715"/>
    <w:rsid w:val="3D421E06"/>
    <w:rsid w:val="3D566086"/>
    <w:rsid w:val="3D644B60"/>
    <w:rsid w:val="3D6A209F"/>
    <w:rsid w:val="3D7F7475"/>
    <w:rsid w:val="3D8A5D30"/>
    <w:rsid w:val="3D932E36"/>
    <w:rsid w:val="3DD9037E"/>
    <w:rsid w:val="3DED0035"/>
    <w:rsid w:val="3DFDF604"/>
    <w:rsid w:val="3E1A70B4"/>
    <w:rsid w:val="3E212EC6"/>
    <w:rsid w:val="3E4800C5"/>
    <w:rsid w:val="3E642A25"/>
    <w:rsid w:val="3EA1514F"/>
    <w:rsid w:val="3EAB6625"/>
    <w:rsid w:val="3EAF4FBA"/>
    <w:rsid w:val="3EB073EA"/>
    <w:rsid w:val="3EB785CF"/>
    <w:rsid w:val="3EC05EAD"/>
    <w:rsid w:val="3EC60FE9"/>
    <w:rsid w:val="3ECA1839"/>
    <w:rsid w:val="3ED929DD"/>
    <w:rsid w:val="3EE56655"/>
    <w:rsid w:val="3EE65B3A"/>
    <w:rsid w:val="3EF232A2"/>
    <w:rsid w:val="3EFFA0AE"/>
    <w:rsid w:val="3F5FAEE1"/>
    <w:rsid w:val="3F6E3B5B"/>
    <w:rsid w:val="3F7C15AF"/>
    <w:rsid w:val="3F87704C"/>
    <w:rsid w:val="3F906EA8"/>
    <w:rsid w:val="3F924EF6"/>
    <w:rsid w:val="3FA46034"/>
    <w:rsid w:val="3FC65745"/>
    <w:rsid w:val="3FDD0562"/>
    <w:rsid w:val="3FE97350"/>
    <w:rsid w:val="3FF338B6"/>
    <w:rsid w:val="3FF43178"/>
    <w:rsid w:val="3FF907EE"/>
    <w:rsid w:val="3FF975E2"/>
    <w:rsid w:val="4013025E"/>
    <w:rsid w:val="40A610FD"/>
    <w:rsid w:val="40AB6F7E"/>
    <w:rsid w:val="40AC5810"/>
    <w:rsid w:val="40BB2DD0"/>
    <w:rsid w:val="40C06359"/>
    <w:rsid w:val="40CB6D8B"/>
    <w:rsid w:val="41105572"/>
    <w:rsid w:val="41291A5E"/>
    <w:rsid w:val="41323B5F"/>
    <w:rsid w:val="415A246A"/>
    <w:rsid w:val="416F7716"/>
    <w:rsid w:val="41847666"/>
    <w:rsid w:val="41A90E7A"/>
    <w:rsid w:val="41C120A9"/>
    <w:rsid w:val="41D91034"/>
    <w:rsid w:val="41E00BD2"/>
    <w:rsid w:val="41FE4D17"/>
    <w:rsid w:val="421F738E"/>
    <w:rsid w:val="422A74CA"/>
    <w:rsid w:val="42426BD9"/>
    <w:rsid w:val="425047E2"/>
    <w:rsid w:val="42595C18"/>
    <w:rsid w:val="42730CE1"/>
    <w:rsid w:val="428E3EF8"/>
    <w:rsid w:val="42917DFB"/>
    <w:rsid w:val="42A85A56"/>
    <w:rsid w:val="42DE4541"/>
    <w:rsid w:val="430948CB"/>
    <w:rsid w:val="43140869"/>
    <w:rsid w:val="43274A23"/>
    <w:rsid w:val="434A2B4F"/>
    <w:rsid w:val="4356105B"/>
    <w:rsid w:val="436F0C38"/>
    <w:rsid w:val="437B7E90"/>
    <w:rsid w:val="43946362"/>
    <w:rsid w:val="439B2A45"/>
    <w:rsid w:val="43E22422"/>
    <w:rsid w:val="43F36703"/>
    <w:rsid w:val="443A7156"/>
    <w:rsid w:val="444075F3"/>
    <w:rsid w:val="445204E1"/>
    <w:rsid w:val="44BB0333"/>
    <w:rsid w:val="450E7246"/>
    <w:rsid w:val="45351F4C"/>
    <w:rsid w:val="453A628D"/>
    <w:rsid w:val="45440EBA"/>
    <w:rsid w:val="454607EE"/>
    <w:rsid w:val="45561319"/>
    <w:rsid w:val="455C6204"/>
    <w:rsid w:val="45661CDA"/>
    <w:rsid w:val="456A1083"/>
    <w:rsid w:val="45952C55"/>
    <w:rsid w:val="45EB7624"/>
    <w:rsid w:val="45EC2ACB"/>
    <w:rsid w:val="45ED3300"/>
    <w:rsid w:val="460744D3"/>
    <w:rsid w:val="46357180"/>
    <w:rsid w:val="463E49BE"/>
    <w:rsid w:val="46531CA5"/>
    <w:rsid w:val="46625532"/>
    <w:rsid w:val="469553AE"/>
    <w:rsid w:val="46BF1967"/>
    <w:rsid w:val="470D6E20"/>
    <w:rsid w:val="47172AAD"/>
    <w:rsid w:val="471F5C4F"/>
    <w:rsid w:val="4732546E"/>
    <w:rsid w:val="4733370C"/>
    <w:rsid w:val="4776285F"/>
    <w:rsid w:val="47777325"/>
    <w:rsid w:val="47BB2886"/>
    <w:rsid w:val="47BF021B"/>
    <w:rsid w:val="47D160BA"/>
    <w:rsid w:val="47D30CF4"/>
    <w:rsid w:val="48081E03"/>
    <w:rsid w:val="483D056E"/>
    <w:rsid w:val="4866789E"/>
    <w:rsid w:val="489D0F39"/>
    <w:rsid w:val="489D2DBB"/>
    <w:rsid w:val="48A40B02"/>
    <w:rsid w:val="48FB38E0"/>
    <w:rsid w:val="49225514"/>
    <w:rsid w:val="49441489"/>
    <w:rsid w:val="497955D6"/>
    <w:rsid w:val="49817B3D"/>
    <w:rsid w:val="49CD72BE"/>
    <w:rsid w:val="49F069EA"/>
    <w:rsid w:val="4A200FAD"/>
    <w:rsid w:val="4A914BA1"/>
    <w:rsid w:val="4A9C317A"/>
    <w:rsid w:val="4AA823BA"/>
    <w:rsid w:val="4AF72F3A"/>
    <w:rsid w:val="4B1B6B1F"/>
    <w:rsid w:val="4B35552D"/>
    <w:rsid w:val="4B751DCD"/>
    <w:rsid w:val="4B967C92"/>
    <w:rsid w:val="4BAA13ED"/>
    <w:rsid w:val="4BB17561"/>
    <w:rsid w:val="4BB950FE"/>
    <w:rsid w:val="4BC251A7"/>
    <w:rsid w:val="4BC90A28"/>
    <w:rsid w:val="4BCF1B14"/>
    <w:rsid w:val="4BFFF486"/>
    <w:rsid w:val="4C0940AA"/>
    <w:rsid w:val="4C426FF4"/>
    <w:rsid w:val="4C49602E"/>
    <w:rsid w:val="4C667968"/>
    <w:rsid w:val="4C72455F"/>
    <w:rsid w:val="4C92091C"/>
    <w:rsid w:val="4C934F6C"/>
    <w:rsid w:val="4C985EAF"/>
    <w:rsid w:val="4CFA4C80"/>
    <w:rsid w:val="4D0946CA"/>
    <w:rsid w:val="4D0F6CCB"/>
    <w:rsid w:val="4D3903DF"/>
    <w:rsid w:val="4D746CD8"/>
    <w:rsid w:val="4D7A36CB"/>
    <w:rsid w:val="4D7E4DDD"/>
    <w:rsid w:val="4DAB1AD6"/>
    <w:rsid w:val="4DAF745E"/>
    <w:rsid w:val="4DB1278A"/>
    <w:rsid w:val="4DB30144"/>
    <w:rsid w:val="4E1276D3"/>
    <w:rsid w:val="4E130ABA"/>
    <w:rsid w:val="4E1E04FA"/>
    <w:rsid w:val="4E51661F"/>
    <w:rsid w:val="4E585ADE"/>
    <w:rsid w:val="4E872543"/>
    <w:rsid w:val="4EAFA25E"/>
    <w:rsid w:val="4ECD0151"/>
    <w:rsid w:val="4ED146F3"/>
    <w:rsid w:val="4EE25839"/>
    <w:rsid w:val="4EFC63A0"/>
    <w:rsid w:val="4F0A10BF"/>
    <w:rsid w:val="4F0A1253"/>
    <w:rsid w:val="4F7278D9"/>
    <w:rsid w:val="4F970BE5"/>
    <w:rsid w:val="4FA70582"/>
    <w:rsid w:val="4FA9535A"/>
    <w:rsid w:val="4FBE01E7"/>
    <w:rsid w:val="4FD51BDC"/>
    <w:rsid w:val="4FE37C4D"/>
    <w:rsid w:val="50086081"/>
    <w:rsid w:val="50265D8C"/>
    <w:rsid w:val="50340E2A"/>
    <w:rsid w:val="503B242E"/>
    <w:rsid w:val="506319F6"/>
    <w:rsid w:val="50831F22"/>
    <w:rsid w:val="50AD6051"/>
    <w:rsid w:val="50D07E17"/>
    <w:rsid w:val="50D41344"/>
    <w:rsid w:val="50D93836"/>
    <w:rsid w:val="50E0418D"/>
    <w:rsid w:val="50F55B9D"/>
    <w:rsid w:val="50F73284"/>
    <w:rsid w:val="50FB4F0E"/>
    <w:rsid w:val="51142626"/>
    <w:rsid w:val="51175160"/>
    <w:rsid w:val="512B19C9"/>
    <w:rsid w:val="513E053E"/>
    <w:rsid w:val="518037F1"/>
    <w:rsid w:val="51823496"/>
    <w:rsid w:val="51844B18"/>
    <w:rsid w:val="518F00CC"/>
    <w:rsid w:val="51C17517"/>
    <w:rsid w:val="51C60943"/>
    <w:rsid w:val="51FD48CA"/>
    <w:rsid w:val="521C5892"/>
    <w:rsid w:val="526F72EF"/>
    <w:rsid w:val="529A036B"/>
    <w:rsid w:val="52B4142D"/>
    <w:rsid w:val="52D90E94"/>
    <w:rsid w:val="52F20B99"/>
    <w:rsid w:val="53027B05"/>
    <w:rsid w:val="53563EAE"/>
    <w:rsid w:val="535A6478"/>
    <w:rsid w:val="53A6353C"/>
    <w:rsid w:val="53F19E42"/>
    <w:rsid w:val="53F34ABB"/>
    <w:rsid w:val="53FF535D"/>
    <w:rsid w:val="542E7B4D"/>
    <w:rsid w:val="54736D2D"/>
    <w:rsid w:val="54770C76"/>
    <w:rsid w:val="5481678B"/>
    <w:rsid w:val="54CB77E9"/>
    <w:rsid w:val="54DD51EC"/>
    <w:rsid w:val="54FD05FB"/>
    <w:rsid w:val="55016E12"/>
    <w:rsid w:val="550B39AD"/>
    <w:rsid w:val="554551BF"/>
    <w:rsid w:val="55540CA5"/>
    <w:rsid w:val="5558730C"/>
    <w:rsid w:val="55AA11BA"/>
    <w:rsid w:val="55B654BC"/>
    <w:rsid w:val="560162DD"/>
    <w:rsid w:val="56150435"/>
    <w:rsid w:val="56383CBE"/>
    <w:rsid w:val="56554CD5"/>
    <w:rsid w:val="567F3F36"/>
    <w:rsid w:val="56857AAC"/>
    <w:rsid w:val="56883DC6"/>
    <w:rsid w:val="56A12D4D"/>
    <w:rsid w:val="56BEE7E3"/>
    <w:rsid w:val="56CC5A8F"/>
    <w:rsid w:val="572A43B4"/>
    <w:rsid w:val="572F492C"/>
    <w:rsid w:val="573945F7"/>
    <w:rsid w:val="576867CD"/>
    <w:rsid w:val="578313D3"/>
    <w:rsid w:val="57904E7E"/>
    <w:rsid w:val="57A70387"/>
    <w:rsid w:val="57BA777E"/>
    <w:rsid w:val="57DF5051"/>
    <w:rsid w:val="57E914FA"/>
    <w:rsid w:val="58174780"/>
    <w:rsid w:val="582A3F3F"/>
    <w:rsid w:val="58900246"/>
    <w:rsid w:val="589A43DC"/>
    <w:rsid w:val="58B8779D"/>
    <w:rsid w:val="58BC1835"/>
    <w:rsid w:val="58C250F7"/>
    <w:rsid w:val="58D97BD3"/>
    <w:rsid w:val="58EE31BF"/>
    <w:rsid w:val="59055760"/>
    <w:rsid w:val="59205A6E"/>
    <w:rsid w:val="598D639E"/>
    <w:rsid w:val="599E218E"/>
    <w:rsid w:val="59D72F00"/>
    <w:rsid w:val="59EB03A7"/>
    <w:rsid w:val="5A2575E9"/>
    <w:rsid w:val="5A260E3A"/>
    <w:rsid w:val="5A3A52BB"/>
    <w:rsid w:val="5A3D43FE"/>
    <w:rsid w:val="5AC57EF8"/>
    <w:rsid w:val="5AE74E5C"/>
    <w:rsid w:val="5AF26F96"/>
    <w:rsid w:val="5AF652AE"/>
    <w:rsid w:val="5B042673"/>
    <w:rsid w:val="5B1E0963"/>
    <w:rsid w:val="5B2A61DA"/>
    <w:rsid w:val="5B444925"/>
    <w:rsid w:val="5B631C42"/>
    <w:rsid w:val="5B7C027A"/>
    <w:rsid w:val="5B9A770A"/>
    <w:rsid w:val="5BC300ED"/>
    <w:rsid w:val="5BC477D0"/>
    <w:rsid w:val="5BC71DC7"/>
    <w:rsid w:val="5BE13C5C"/>
    <w:rsid w:val="5C2D32E1"/>
    <w:rsid w:val="5C4F5FFE"/>
    <w:rsid w:val="5C78190F"/>
    <w:rsid w:val="5C8D0FE5"/>
    <w:rsid w:val="5CBF410C"/>
    <w:rsid w:val="5CD86465"/>
    <w:rsid w:val="5D0631CD"/>
    <w:rsid w:val="5D2A0341"/>
    <w:rsid w:val="5D6B7358"/>
    <w:rsid w:val="5D8D2FA6"/>
    <w:rsid w:val="5D9A7440"/>
    <w:rsid w:val="5D9C143B"/>
    <w:rsid w:val="5DAC2B03"/>
    <w:rsid w:val="5DBB5701"/>
    <w:rsid w:val="5DBE0636"/>
    <w:rsid w:val="5DD533B8"/>
    <w:rsid w:val="5DD54C2A"/>
    <w:rsid w:val="5DE030A9"/>
    <w:rsid w:val="5DEC0C6D"/>
    <w:rsid w:val="5DFD1653"/>
    <w:rsid w:val="5E4C4C10"/>
    <w:rsid w:val="5E6F4DA2"/>
    <w:rsid w:val="5E8167DF"/>
    <w:rsid w:val="5E837248"/>
    <w:rsid w:val="5E9465B6"/>
    <w:rsid w:val="5E9B16F3"/>
    <w:rsid w:val="5EA629EE"/>
    <w:rsid w:val="5EB52443"/>
    <w:rsid w:val="5EE4753E"/>
    <w:rsid w:val="5F076D88"/>
    <w:rsid w:val="5F291E6A"/>
    <w:rsid w:val="5F2F16AB"/>
    <w:rsid w:val="5F3840ED"/>
    <w:rsid w:val="5F491A1B"/>
    <w:rsid w:val="5F5A5483"/>
    <w:rsid w:val="5FBA20ED"/>
    <w:rsid w:val="5FDE27C1"/>
    <w:rsid w:val="5FE315A4"/>
    <w:rsid w:val="5FEB172C"/>
    <w:rsid w:val="5FF92B75"/>
    <w:rsid w:val="5FFA2CAF"/>
    <w:rsid w:val="5FFD9184"/>
    <w:rsid w:val="5FFDC63F"/>
    <w:rsid w:val="6025763D"/>
    <w:rsid w:val="606811F2"/>
    <w:rsid w:val="609B59DA"/>
    <w:rsid w:val="60FD0443"/>
    <w:rsid w:val="610F0176"/>
    <w:rsid w:val="612E36FF"/>
    <w:rsid w:val="614442C4"/>
    <w:rsid w:val="619B6500"/>
    <w:rsid w:val="61D2367E"/>
    <w:rsid w:val="61DB4AEC"/>
    <w:rsid w:val="6200643D"/>
    <w:rsid w:val="620B6B90"/>
    <w:rsid w:val="620D4AA3"/>
    <w:rsid w:val="623C31ED"/>
    <w:rsid w:val="624B3430"/>
    <w:rsid w:val="62A579B9"/>
    <w:rsid w:val="62BD60DC"/>
    <w:rsid w:val="62D022B3"/>
    <w:rsid w:val="62FB00A1"/>
    <w:rsid w:val="63071A4D"/>
    <w:rsid w:val="63193421"/>
    <w:rsid w:val="6339116D"/>
    <w:rsid w:val="634E00AB"/>
    <w:rsid w:val="6369376B"/>
    <w:rsid w:val="637ECA53"/>
    <w:rsid w:val="63936E3D"/>
    <w:rsid w:val="63995CFF"/>
    <w:rsid w:val="63D11915"/>
    <w:rsid w:val="63F102BE"/>
    <w:rsid w:val="63F57AF7"/>
    <w:rsid w:val="64032214"/>
    <w:rsid w:val="6415583C"/>
    <w:rsid w:val="64180140"/>
    <w:rsid w:val="6477050C"/>
    <w:rsid w:val="6481325D"/>
    <w:rsid w:val="648669A1"/>
    <w:rsid w:val="64C310A8"/>
    <w:rsid w:val="64D94D23"/>
    <w:rsid w:val="64DC4A4E"/>
    <w:rsid w:val="651C2455"/>
    <w:rsid w:val="65322B0A"/>
    <w:rsid w:val="655D4175"/>
    <w:rsid w:val="65607BD5"/>
    <w:rsid w:val="65A45331"/>
    <w:rsid w:val="65A93335"/>
    <w:rsid w:val="65AB34BE"/>
    <w:rsid w:val="66065E8D"/>
    <w:rsid w:val="66152B9D"/>
    <w:rsid w:val="66A82BFF"/>
    <w:rsid w:val="66F45230"/>
    <w:rsid w:val="66FF66D8"/>
    <w:rsid w:val="67024A05"/>
    <w:rsid w:val="6736645D"/>
    <w:rsid w:val="674E7BE2"/>
    <w:rsid w:val="67507DF0"/>
    <w:rsid w:val="67551271"/>
    <w:rsid w:val="676058C9"/>
    <w:rsid w:val="6779459B"/>
    <w:rsid w:val="677E15E1"/>
    <w:rsid w:val="6796019F"/>
    <w:rsid w:val="67D309D4"/>
    <w:rsid w:val="67EF6805"/>
    <w:rsid w:val="67F941F9"/>
    <w:rsid w:val="67FA1B80"/>
    <w:rsid w:val="67FFF7C0"/>
    <w:rsid w:val="68033D88"/>
    <w:rsid w:val="680F6ECB"/>
    <w:rsid w:val="6848469A"/>
    <w:rsid w:val="685437C3"/>
    <w:rsid w:val="68A27902"/>
    <w:rsid w:val="690D5A5A"/>
    <w:rsid w:val="69242C85"/>
    <w:rsid w:val="69274A3C"/>
    <w:rsid w:val="69586B5E"/>
    <w:rsid w:val="69733F9E"/>
    <w:rsid w:val="697829A1"/>
    <w:rsid w:val="697D51AE"/>
    <w:rsid w:val="69894212"/>
    <w:rsid w:val="699F58C1"/>
    <w:rsid w:val="69A33D11"/>
    <w:rsid w:val="69A91168"/>
    <w:rsid w:val="69B144C0"/>
    <w:rsid w:val="69B4000D"/>
    <w:rsid w:val="69EA09DE"/>
    <w:rsid w:val="69F43947"/>
    <w:rsid w:val="69FC1BE0"/>
    <w:rsid w:val="69FD14B4"/>
    <w:rsid w:val="6A17065C"/>
    <w:rsid w:val="6A1B18DB"/>
    <w:rsid w:val="6A1F3F21"/>
    <w:rsid w:val="6A244992"/>
    <w:rsid w:val="6A3B7231"/>
    <w:rsid w:val="6A5A4D75"/>
    <w:rsid w:val="6A9875AD"/>
    <w:rsid w:val="6AB51C4B"/>
    <w:rsid w:val="6ABA55F7"/>
    <w:rsid w:val="6AC32787"/>
    <w:rsid w:val="6AC81C6F"/>
    <w:rsid w:val="6AE10951"/>
    <w:rsid w:val="6AE11491"/>
    <w:rsid w:val="6B0B7C00"/>
    <w:rsid w:val="6B1D78D2"/>
    <w:rsid w:val="6B494055"/>
    <w:rsid w:val="6B6870BB"/>
    <w:rsid w:val="6B8579B3"/>
    <w:rsid w:val="6B8D8F41"/>
    <w:rsid w:val="6BCB61ED"/>
    <w:rsid w:val="6BCF1867"/>
    <w:rsid w:val="6BD128CF"/>
    <w:rsid w:val="6BDA62CE"/>
    <w:rsid w:val="6BE91E62"/>
    <w:rsid w:val="6BFD579B"/>
    <w:rsid w:val="6C2B0057"/>
    <w:rsid w:val="6C4038DA"/>
    <w:rsid w:val="6C832144"/>
    <w:rsid w:val="6C937EAD"/>
    <w:rsid w:val="6CB879E8"/>
    <w:rsid w:val="6CBA6523"/>
    <w:rsid w:val="6CD51084"/>
    <w:rsid w:val="6CDE126B"/>
    <w:rsid w:val="6D3FF0A1"/>
    <w:rsid w:val="6D6313BF"/>
    <w:rsid w:val="6D8749FD"/>
    <w:rsid w:val="6DAA75C3"/>
    <w:rsid w:val="6DB4632D"/>
    <w:rsid w:val="6DBC17DE"/>
    <w:rsid w:val="6DBD63F4"/>
    <w:rsid w:val="6DC367D9"/>
    <w:rsid w:val="6DC63679"/>
    <w:rsid w:val="6DEF55B7"/>
    <w:rsid w:val="6DFF3A4C"/>
    <w:rsid w:val="6E376D60"/>
    <w:rsid w:val="6E416753"/>
    <w:rsid w:val="6E6027F1"/>
    <w:rsid w:val="6E921E64"/>
    <w:rsid w:val="6EB86535"/>
    <w:rsid w:val="6EE132C7"/>
    <w:rsid w:val="6EEE348E"/>
    <w:rsid w:val="6EF40367"/>
    <w:rsid w:val="6EF9638B"/>
    <w:rsid w:val="6EFC61F3"/>
    <w:rsid w:val="6EFDCD4A"/>
    <w:rsid w:val="6F352E36"/>
    <w:rsid w:val="6F49158C"/>
    <w:rsid w:val="6F4D527F"/>
    <w:rsid w:val="6F843D3E"/>
    <w:rsid w:val="6F8B271C"/>
    <w:rsid w:val="6F991C7F"/>
    <w:rsid w:val="6FA67EF8"/>
    <w:rsid w:val="6FA75E74"/>
    <w:rsid w:val="6FC71383"/>
    <w:rsid w:val="6FCF088B"/>
    <w:rsid w:val="6FEBDEE6"/>
    <w:rsid w:val="705776FD"/>
    <w:rsid w:val="70622690"/>
    <w:rsid w:val="70A17D74"/>
    <w:rsid w:val="70AE5F6D"/>
    <w:rsid w:val="70B924D3"/>
    <w:rsid w:val="70DA1185"/>
    <w:rsid w:val="70DC13F2"/>
    <w:rsid w:val="70F45858"/>
    <w:rsid w:val="70F93618"/>
    <w:rsid w:val="710F044A"/>
    <w:rsid w:val="71161F56"/>
    <w:rsid w:val="714300F4"/>
    <w:rsid w:val="71480BB3"/>
    <w:rsid w:val="71825001"/>
    <w:rsid w:val="71A87F57"/>
    <w:rsid w:val="71D23226"/>
    <w:rsid w:val="72345C8F"/>
    <w:rsid w:val="72397A47"/>
    <w:rsid w:val="723E4C23"/>
    <w:rsid w:val="72B57A12"/>
    <w:rsid w:val="72D646DC"/>
    <w:rsid w:val="73114F72"/>
    <w:rsid w:val="73184295"/>
    <w:rsid w:val="73247AB1"/>
    <w:rsid w:val="732709CB"/>
    <w:rsid w:val="734A1D78"/>
    <w:rsid w:val="734C7A46"/>
    <w:rsid w:val="73503257"/>
    <w:rsid w:val="73561382"/>
    <w:rsid w:val="739F265B"/>
    <w:rsid w:val="73BC683B"/>
    <w:rsid w:val="73BD635B"/>
    <w:rsid w:val="73C34CA8"/>
    <w:rsid w:val="73E95DE4"/>
    <w:rsid w:val="73F16E4A"/>
    <w:rsid w:val="73F9565D"/>
    <w:rsid w:val="74313D41"/>
    <w:rsid w:val="7458056C"/>
    <w:rsid w:val="74AF3400"/>
    <w:rsid w:val="74C668ED"/>
    <w:rsid w:val="74DF0225"/>
    <w:rsid w:val="74DF5273"/>
    <w:rsid w:val="74FF48AE"/>
    <w:rsid w:val="752840C1"/>
    <w:rsid w:val="7532242E"/>
    <w:rsid w:val="7542526C"/>
    <w:rsid w:val="7554042D"/>
    <w:rsid w:val="757F5473"/>
    <w:rsid w:val="75A4312B"/>
    <w:rsid w:val="75C2459C"/>
    <w:rsid w:val="75EFA593"/>
    <w:rsid w:val="75FFAD7C"/>
    <w:rsid w:val="76300779"/>
    <w:rsid w:val="763C5691"/>
    <w:rsid w:val="7657914F"/>
    <w:rsid w:val="7690626B"/>
    <w:rsid w:val="76A92E4A"/>
    <w:rsid w:val="76B031E0"/>
    <w:rsid w:val="76CD3D25"/>
    <w:rsid w:val="76D60B8D"/>
    <w:rsid w:val="76EE01DC"/>
    <w:rsid w:val="77127121"/>
    <w:rsid w:val="771D0ED8"/>
    <w:rsid w:val="772D60AD"/>
    <w:rsid w:val="775B909D"/>
    <w:rsid w:val="77722EA8"/>
    <w:rsid w:val="77B746D8"/>
    <w:rsid w:val="77D25D2E"/>
    <w:rsid w:val="77FD6C87"/>
    <w:rsid w:val="78442870"/>
    <w:rsid w:val="785C7CED"/>
    <w:rsid w:val="788A3709"/>
    <w:rsid w:val="78CC09CF"/>
    <w:rsid w:val="78DD139E"/>
    <w:rsid w:val="78FB3062"/>
    <w:rsid w:val="790D7A19"/>
    <w:rsid w:val="791365FE"/>
    <w:rsid w:val="794A324B"/>
    <w:rsid w:val="796B01E8"/>
    <w:rsid w:val="7992390B"/>
    <w:rsid w:val="79951709"/>
    <w:rsid w:val="79B41853"/>
    <w:rsid w:val="79BB5D63"/>
    <w:rsid w:val="79BF1592"/>
    <w:rsid w:val="79BF86F6"/>
    <w:rsid w:val="79DA711C"/>
    <w:rsid w:val="79F85010"/>
    <w:rsid w:val="79FF3A45"/>
    <w:rsid w:val="79FF4DD4"/>
    <w:rsid w:val="7A04114F"/>
    <w:rsid w:val="7A1268B5"/>
    <w:rsid w:val="7A17147B"/>
    <w:rsid w:val="7A392501"/>
    <w:rsid w:val="7ACB27BB"/>
    <w:rsid w:val="7AEC7106"/>
    <w:rsid w:val="7AF06C6E"/>
    <w:rsid w:val="7B2E771F"/>
    <w:rsid w:val="7B430CF1"/>
    <w:rsid w:val="7B444040"/>
    <w:rsid w:val="7B516F7E"/>
    <w:rsid w:val="7B532CEB"/>
    <w:rsid w:val="7B552E8D"/>
    <w:rsid w:val="7B6C5F71"/>
    <w:rsid w:val="7BA479E1"/>
    <w:rsid w:val="7BA860E7"/>
    <w:rsid w:val="7BC751C2"/>
    <w:rsid w:val="7BD227A0"/>
    <w:rsid w:val="7BDC53CD"/>
    <w:rsid w:val="7BEE3EDE"/>
    <w:rsid w:val="7BFA2AFB"/>
    <w:rsid w:val="7BFA83C4"/>
    <w:rsid w:val="7C070929"/>
    <w:rsid w:val="7C455B32"/>
    <w:rsid w:val="7C5D5623"/>
    <w:rsid w:val="7C77B29C"/>
    <w:rsid w:val="7C790E6E"/>
    <w:rsid w:val="7C8E568A"/>
    <w:rsid w:val="7C8F243F"/>
    <w:rsid w:val="7C900DE1"/>
    <w:rsid w:val="7C9A0A1F"/>
    <w:rsid w:val="7CCB42E8"/>
    <w:rsid w:val="7CEE777C"/>
    <w:rsid w:val="7D6230CD"/>
    <w:rsid w:val="7D693D32"/>
    <w:rsid w:val="7D7E3909"/>
    <w:rsid w:val="7DCC0F1C"/>
    <w:rsid w:val="7DD74479"/>
    <w:rsid w:val="7DD9B025"/>
    <w:rsid w:val="7DFF588B"/>
    <w:rsid w:val="7E2C3459"/>
    <w:rsid w:val="7E346A8B"/>
    <w:rsid w:val="7E411E5F"/>
    <w:rsid w:val="7E5C29CC"/>
    <w:rsid w:val="7E617E0B"/>
    <w:rsid w:val="7E6E2077"/>
    <w:rsid w:val="7E9144BC"/>
    <w:rsid w:val="7E991353"/>
    <w:rsid w:val="7EBC4629"/>
    <w:rsid w:val="7EBE6B49"/>
    <w:rsid w:val="7EC12188"/>
    <w:rsid w:val="7EFD06BB"/>
    <w:rsid w:val="7F0F1E84"/>
    <w:rsid w:val="7F234555"/>
    <w:rsid w:val="7F2A74E0"/>
    <w:rsid w:val="7F2C83E5"/>
    <w:rsid w:val="7F3DB23E"/>
    <w:rsid w:val="7F5BF063"/>
    <w:rsid w:val="7F713C31"/>
    <w:rsid w:val="7FAF80AE"/>
    <w:rsid w:val="7FB5625E"/>
    <w:rsid w:val="7FF6ADB8"/>
    <w:rsid w:val="7FFA2859"/>
    <w:rsid w:val="7FFEF14D"/>
    <w:rsid w:val="7FFF1C34"/>
    <w:rsid w:val="7FFFA457"/>
    <w:rsid w:val="8BF330F0"/>
    <w:rsid w:val="9772EC90"/>
    <w:rsid w:val="9A7B256D"/>
    <w:rsid w:val="9F86827C"/>
    <w:rsid w:val="9FA7BABC"/>
    <w:rsid w:val="9FDC6E9F"/>
    <w:rsid w:val="9FF7010C"/>
    <w:rsid w:val="9FF7BFE3"/>
    <w:rsid w:val="9FFD0028"/>
    <w:rsid w:val="A34EF5F0"/>
    <w:rsid w:val="ADAAB2B1"/>
    <w:rsid w:val="AE95A17F"/>
    <w:rsid w:val="AF8EE703"/>
    <w:rsid w:val="B5AF70DE"/>
    <w:rsid w:val="B78950DE"/>
    <w:rsid w:val="B7F74688"/>
    <w:rsid w:val="B7FF27C3"/>
    <w:rsid w:val="BDEF3C40"/>
    <w:rsid w:val="BDFDB708"/>
    <w:rsid w:val="BDFFAB7C"/>
    <w:rsid w:val="BEFEE41B"/>
    <w:rsid w:val="BF1F62D1"/>
    <w:rsid w:val="BF45DF4B"/>
    <w:rsid w:val="BF745D25"/>
    <w:rsid w:val="BF76A9E0"/>
    <w:rsid w:val="BF7D6D8E"/>
    <w:rsid w:val="BFBB5332"/>
    <w:rsid w:val="BFF47AFC"/>
    <w:rsid w:val="CF9FD421"/>
    <w:rsid w:val="D4D7047C"/>
    <w:rsid w:val="DAF613CB"/>
    <w:rsid w:val="DB7F0CF7"/>
    <w:rsid w:val="DC9E719A"/>
    <w:rsid w:val="DCF30990"/>
    <w:rsid w:val="DF3B29D4"/>
    <w:rsid w:val="DF4FB861"/>
    <w:rsid w:val="DFF7169B"/>
    <w:rsid w:val="DFFB7823"/>
    <w:rsid w:val="DFFDAAE7"/>
    <w:rsid w:val="DFFDD060"/>
    <w:rsid w:val="DFFF0D1D"/>
    <w:rsid w:val="E1ED8B39"/>
    <w:rsid w:val="E4BF4707"/>
    <w:rsid w:val="E78641E1"/>
    <w:rsid w:val="E7FF3F46"/>
    <w:rsid w:val="EB95010F"/>
    <w:rsid w:val="EDC721CF"/>
    <w:rsid w:val="EDDE3CAC"/>
    <w:rsid w:val="EE7F1045"/>
    <w:rsid w:val="EF9A2D22"/>
    <w:rsid w:val="EFFEB934"/>
    <w:rsid w:val="F55F826E"/>
    <w:rsid w:val="F5B76611"/>
    <w:rsid w:val="F5F54185"/>
    <w:rsid w:val="F6B9A5DB"/>
    <w:rsid w:val="F757C5C5"/>
    <w:rsid w:val="F933600C"/>
    <w:rsid w:val="F9FC577C"/>
    <w:rsid w:val="FAF4074E"/>
    <w:rsid w:val="FBFD663E"/>
    <w:rsid w:val="FBFEBC27"/>
    <w:rsid w:val="FCCD2403"/>
    <w:rsid w:val="FCDDC97A"/>
    <w:rsid w:val="FD5614F2"/>
    <w:rsid w:val="FDEF7142"/>
    <w:rsid w:val="FE7BB71B"/>
    <w:rsid w:val="FEB99463"/>
    <w:rsid w:val="FEBFFFB3"/>
    <w:rsid w:val="FEEFE5C7"/>
    <w:rsid w:val="FF5F337F"/>
    <w:rsid w:val="FF7D7744"/>
    <w:rsid w:val="FF7E24B4"/>
    <w:rsid w:val="FF9F53C1"/>
    <w:rsid w:val="FFA6FFC8"/>
    <w:rsid w:val="FFAB0CBC"/>
    <w:rsid w:val="FFBD5004"/>
    <w:rsid w:val="FFF2895A"/>
    <w:rsid w:val="FFF61731"/>
    <w:rsid w:val="FFFF2739"/>
    <w:rsid w:val="FFFFB6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link w:val="17"/>
    <w:qFormat/>
    <w:uiPriority w:val="1"/>
    <w:pPr>
      <w:ind w:left="1806"/>
      <w:outlineLvl w:val="1"/>
    </w:pPr>
    <w:rPr>
      <w:rFonts w:ascii="思源黑体 CN Bold" w:hAnsi="思源黑体 CN Bold" w:eastAsia="思源黑体 CN Bold" w:cs="思源黑体 CN Bold"/>
      <w:b/>
      <w:bCs/>
      <w:sz w:val="32"/>
      <w:szCs w:val="32"/>
      <w:lang w:val="zh-CN" w:bidi="zh-CN"/>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unhideWhenUsed/>
    <w:qFormat/>
    <w:uiPriority w:val="0"/>
    <w:pPr>
      <w:spacing w:before="120"/>
    </w:pPr>
    <w:rPr>
      <w:rFonts w:asciiTheme="majorHAnsi" w:hAnsiTheme="majorHAnsi" w:eastAsiaTheme="majorEastAsia" w:cstheme="majorBidi"/>
      <w:sz w:val="24"/>
    </w:rPr>
  </w:style>
  <w:style w:type="paragraph" w:styleId="4">
    <w:name w:val="annotation text"/>
    <w:basedOn w:val="1"/>
    <w:link w:val="20"/>
    <w:semiHidden/>
    <w:unhideWhenUsed/>
    <w:qFormat/>
    <w:uiPriority w:val="99"/>
    <w:pPr>
      <w:jc w:val="left"/>
    </w:pPr>
  </w:style>
  <w:style w:type="paragraph" w:styleId="5">
    <w:name w:val="Body Text"/>
    <w:basedOn w:val="1"/>
    <w:link w:val="19"/>
    <w:qFormat/>
    <w:uiPriority w:val="0"/>
    <w:pPr>
      <w:jc w:val="center"/>
    </w:pPr>
    <w:rPr>
      <w:szCs w:val="21"/>
    </w:rPr>
  </w:style>
  <w:style w:type="paragraph" w:styleId="6">
    <w:name w:val="Date"/>
    <w:basedOn w:val="1"/>
    <w:next w:val="1"/>
    <w:link w:val="22"/>
    <w:semiHidden/>
    <w:unhideWhenUsed/>
    <w:qFormat/>
    <w:uiPriority w:val="99"/>
    <w:pPr>
      <w:ind w:left="100" w:leftChars="2500"/>
    </w:p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4"/>
    <w:next w:val="4"/>
    <w:link w:val="21"/>
    <w:semiHidden/>
    <w:unhideWhenUsed/>
    <w:qFormat/>
    <w:uiPriority w:val="99"/>
    <w:rPr>
      <w:b/>
      <w:bCs/>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basedOn w:val="12"/>
    <w:semiHidden/>
    <w:unhideWhenUsed/>
    <w:qFormat/>
    <w:uiPriority w:val="99"/>
    <w:rPr>
      <w:sz w:val="21"/>
      <w:szCs w:val="21"/>
    </w:rPr>
  </w:style>
  <w:style w:type="character" w:customStyle="1" w:styleId="14">
    <w:name w:val="页眉 字符"/>
    <w:basedOn w:val="12"/>
    <w:link w:val="8"/>
    <w:qFormat/>
    <w:uiPriority w:val="99"/>
    <w:rPr>
      <w:sz w:val="18"/>
      <w:szCs w:val="18"/>
    </w:rPr>
  </w:style>
  <w:style w:type="character" w:customStyle="1" w:styleId="15">
    <w:name w:val="页脚 字符"/>
    <w:basedOn w:val="12"/>
    <w:link w:val="7"/>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标题 2 字符"/>
    <w:basedOn w:val="12"/>
    <w:link w:val="3"/>
    <w:qFormat/>
    <w:uiPriority w:val="1"/>
    <w:rPr>
      <w:rFonts w:ascii="思源黑体 CN Bold" w:hAnsi="思源黑体 CN Bold" w:eastAsia="思源黑体 CN Bold" w:cs="思源黑体 CN Bold"/>
      <w:b/>
      <w:bCs/>
      <w:sz w:val="32"/>
      <w:szCs w:val="32"/>
      <w:lang w:val="zh-CN" w:bidi="zh-CN"/>
    </w:rPr>
  </w:style>
  <w:style w:type="paragraph" w:customStyle="1" w:styleId="18">
    <w:name w:val="列表段落1"/>
    <w:basedOn w:val="1"/>
    <w:qFormat/>
    <w:uiPriority w:val="1"/>
    <w:pPr>
      <w:ind w:left="1162" w:firstLine="640"/>
    </w:pPr>
    <w:rPr>
      <w:rFonts w:ascii="宋体" w:hAnsi="宋体" w:cs="宋体"/>
      <w:lang w:val="zh-CN" w:bidi="zh-CN"/>
    </w:rPr>
  </w:style>
  <w:style w:type="character" w:customStyle="1" w:styleId="19">
    <w:name w:val="正文文本 字符"/>
    <w:basedOn w:val="12"/>
    <w:link w:val="5"/>
    <w:qFormat/>
    <w:uiPriority w:val="0"/>
    <w:rPr>
      <w:rFonts w:ascii="Times New Roman" w:hAnsi="Times New Roman" w:eastAsia="宋体" w:cs="Times New Roman"/>
      <w:szCs w:val="21"/>
    </w:rPr>
  </w:style>
  <w:style w:type="character" w:customStyle="1" w:styleId="20">
    <w:name w:val="批注文字 字符"/>
    <w:basedOn w:val="12"/>
    <w:link w:val="4"/>
    <w:semiHidden/>
    <w:qFormat/>
    <w:uiPriority w:val="99"/>
    <w:rPr>
      <w:rFonts w:ascii="Times New Roman" w:hAnsi="Times New Roman" w:eastAsia="宋体" w:cs="Times New Roman"/>
      <w:kern w:val="2"/>
      <w:sz w:val="21"/>
      <w:szCs w:val="24"/>
    </w:rPr>
  </w:style>
  <w:style w:type="character" w:customStyle="1" w:styleId="21">
    <w:name w:val="批注主题 字符"/>
    <w:basedOn w:val="20"/>
    <w:link w:val="9"/>
    <w:semiHidden/>
    <w:qFormat/>
    <w:uiPriority w:val="99"/>
    <w:rPr>
      <w:rFonts w:ascii="Times New Roman" w:hAnsi="Times New Roman" w:eastAsia="宋体" w:cs="Times New Roman"/>
      <w:b/>
      <w:bCs/>
      <w:kern w:val="2"/>
      <w:sz w:val="21"/>
      <w:szCs w:val="24"/>
    </w:rPr>
  </w:style>
  <w:style w:type="character" w:customStyle="1" w:styleId="22">
    <w:name w:val="日期 字符"/>
    <w:basedOn w:val="12"/>
    <w:link w:val="6"/>
    <w:semiHidden/>
    <w:qFormat/>
    <w:uiPriority w:val="99"/>
    <w:rPr>
      <w:rFonts w:ascii="Times New Roman" w:hAnsi="Times New Roman" w:eastAsia="宋体" w:cs="Times New Roman"/>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7905</Words>
  <Characters>8270</Characters>
  <Lines>64</Lines>
  <Paragraphs>18</Paragraphs>
  <TotalTime>0</TotalTime>
  <ScaleCrop>false</ScaleCrop>
  <LinksUpToDate>false</LinksUpToDate>
  <CharactersWithSpaces>8632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2022-03-27T02:55:00Z</dcterms:created>
  <dc:creator>sang lvping</dc:creator>
  <cp:lastModifiedBy>lenovo</cp:lastModifiedBy>
  <dcterms:modified xsi:type="dcterms:W3CDTF">2023-11-08T07:03:08Z</dcterms:modified>
  <cp:revision>257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74B8BFB72C804A1EB6A979A495FCD1A5</vt:lpwstr>
  </property>
</Properties>
</file>