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Autospacing="0" w:afterAutospacing="0" w:line="540" w:lineRule="exact"/>
        <w:jc w:val="center"/>
        <w:rPr>
          <w:rStyle w:val="10"/>
          <w:rFonts w:ascii="方正小标宋_GBK" w:hAnsi="宋体" w:eastAsia="方正小标宋_GBK"/>
          <w:b w:val="0"/>
          <w:sz w:val="44"/>
          <w:shd w:val="clear" w:color="auto" w:fill="FFFFFF"/>
        </w:rPr>
      </w:pPr>
      <w:bookmarkStart w:id="0" w:name="_GoBack"/>
      <w:bookmarkEnd w:id="0"/>
      <w:r>
        <w:rPr>
          <w:rStyle w:val="10"/>
          <w:rFonts w:hint="eastAsia" w:ascii="方正小标宋_GBK" w:hAnsi="宋体" w:eastAsia="方正小标宋_GBK"/>
          <w:b w:val="0"/>
          <w:sz w:val="44"/>
          <w:shd w:val="clear" w:color="auto" w:fill="FFFFFF"/>
        </w:rPr>
        <w:t>山东省药品监督管理行政处罚信息公示</w:t>
      </w:r>
    </w:p>
    <w:p>
      <w:pPr>
        <w:pStyle w:val="6"/>
        <w:shd w:val="clear" w:color="auto" w:fill="FFFFFF"/>
        <w:spacing w:beforeAutospacing="0" w:afterAutospacing="0" w:line="540" w:lineRule="exact"/>
        <w:jc w:val="center"/>
        <w:rPr>
          <w:rFonts w:ascii="方正小标宋_GBK" w:hAnsi="宋体" w:eastAsia="方正小标宋_GBK"/>
          <w:b/>
          <w:sz w:val="44"/>
        </w:rPr>
      </w:pPr>
      <w:r>
        <w:rPr>
          <w:rStyle w:val="10"/>
          <w:rFonts w:hint="eastAsia" w:ascii="方正小标宋_GBK" w:hAnsi="宋体" w:eastAsia="方正小标宋_GBK"/>
          <w:b w:val="0"/>
          <w:sz w:val="44"/>
          <w:shd w:val="clear" w:color="auto" w:fill="FFFFFF"/>
        </w:rPr>
        <w:t>实施细则</w:t>
      </w:r>
    </w:p>
    <w:p>
      <w:pPr>
        <w:pStyle w:val="6"/>
        <w:shd w:val="clear" w:color="auto" w:fill="FFFFFF"/>
        <w:spacing w:beforeAutospacing="0" w:afterAutospacing="0" w:line="540" w:lineRule="exact"/>
        <w:jc w:val="center"/>
        <w:rPr>
          <w:rFonts w:hint="eastAsia" w:ascii="楷体_GB2312" w:hAnsi="楷体_GB2312" w:eastAsia="楷体_GB2312" w:cs="楷体_GB2312"/>
          <w:sz w:val="32"/>
          <w:shd w:val="clear" w:color="auto" w:fill="FFFFFF"/>
          <w:lang w:eastAsia="zh-CN"/>
        </w:rPr>
      </w:pPr>
      <w:r>
        <w:rPr>
          <w:rFonts w:hint="eastAsia" w:ascii="楷体_GB2312" w:hAnsi="楷体_GB2312" w:eastAsia="楷体_GB2312" w:cs="楷体_GB2312"/>
          <w:sz w:val="32"/>
          <w:shd w:val="clear" w:color="auto" w:fill="FFFFFF"/>
          <w:lang w:eastAsia="zh-CN"/>
        </w:rPr>
        <w:t>（</w:t>
      </w:r>
      <w:r>
        <w:rPr>
          <w:rFonts w:hint="eastAsia" w:ascii="楷体_GB2312" w:hAnsi="楷体_GB2312" w:eastAsia="楷体_GB2312" w:cs="楷体_GB2312"/>
          <w:sz w:val="32"/>
          <w:shd w:val="clear" w:color="auto" w:fill="FFFFFF"/>
          <w:lang w:val="en-US" w:eastAsia="zh-CN"/>
        </w:rPr>
        <w:t>修订征求意见稿</w:t>
      </w:r>
      <w:r>
        <w:rPr>
          <w:rFonts w:hint="eastAsia" w:ascii="楷体_GB2312" w:hAnsi="楷体_GB2312" w:eastAsia="楷体_GB2312" w:cs="楷体_GB2312"/>
          <w:sz w:val="32"/>
          <w:shd w:val="clear" w:color="auto" w:fill="FFFFFF"/>
          <w:lang w:eastAsia="zh-CN"/>
        </w:rPr>
        <w:t>）</w:t>
      </w:r>
    </w:p>
    <w:p>
      <w:pPr>
        <w:spacing w:line="540" w:lineRule="exact"/>
        <w:jc w:val="center"/>
        <w:rPr>
          <w:rFonts w:ascii="黑体" w:hAnsi="黑体" w:eastAsia="黑体"/>
          <w:kern w:val="0"/>
          <w:shd w:val="clear" w:color="auto" w:fill="FFFFFF"/>
        </w:rPr>
      </w:pPr>
      <w:r>
        <w:rPr>
          <w:rFonts w:hint="eastAsia" w:ascii="黑体" w:hAnsi="黑体" w:eastAsia="黑体"/>
          <w:kern w:val="0"/>
          <w:shd w:val="clear" w:color="auto" w:fill="FFFFFF"/>
        </w:rPr>
        <w:t>第一章  总则</w:t>
      </w:r>
    </w:p>
    <w:p>
      <w:pPr>
        <w:spacing w:line="540" w:lineRule="exact"/>
        <w:jc w:val="center"/>
        <w:rPr>
          <w:rFonts w:ascii="黑体" w:hAnsi="黑体" w:eastAsia="黑体"/>
          <w:kern w:val="0"/>
          <w:shd w:val="clear" w:color="auto" w:fill="FFFFFF"/>
        </w:rPr>
      </w:pP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黑体" w:hAnsi="黑体" w:eastAsia="黑体"/>
          <w:sz w:val="32"/>
          <w:shd w:val="clear" w:color="auto" w:fill="FFFFFF"/>
        </w:rPr>
        <w:t>第一条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为了规范山东省药品监督管理局（简称省药监局）药品（含医疗器械、化妆品，下同）行政处罚案件信息公示工作，根据《市场监督管理行政处罚信息公示规定》《市场监督管理信用修复管理办法》等有关规定，结合工作实际，制定本细则。</w:t>
      </w:r>
    </w:p>
    <w:p>
      <w:pPr>
        <w:pStyle w:val="6"/>
        <w:shd w:val="clear" w:color="auto" w:fill="FFFFFF"/>
        <w:spacing w:beforeAutospacing="0" w:afterAutospacing="0" w:line="540" w:lineRule="exact"/>
        <w:ind w:firstLine="632" w:firstLineChars="200"/>
        <w:jc w:val="both"/>
        <w:rPr>
          <w:rFonts w:ascii="仿宋_GB2312" w:hAnsi="宋体" w:eastAsia="仿宋_GB2312"/>
          <w:sz w:val="32"/>
          <w:shd w:val="clear" w:color="auto" w:fill="FFFFFF"/>
        </w:rPr>
      </w:pPr>
      <w:r>
        <w:rPr>
          <w:rFonts w:hint="eastAsia" w:ascii="黑体" w:hAnsi="黑体" w:eastAsia="黑体"/>
          <w:sz w:val="32"/>
        </w:rPr>
        <w:t>第二条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省药监局对适用普通程序作出药品行政处罚决定的相关信息，应当</w:t>
      </w:r>
      <w:r>
        <w:rPr>
          <w:rFonts w:hint="eastAsia" w:ascii="仿宋_GB2312" w:hAnsi="宋体" w:eastAsia="仿宋_GB2312"/>
          <w:sz w:val="32"/>
          <w:shd w:val="clear" w:color="auto" w:fill="FFFFFF"/>
          <w:lang w:val="en-US" w:eastAsia="zh-CN"/>
        </w:rPr>
        <w:t>按照本细则要求，</w:t>
      </w:r>
      <w:r>
        <w:rPr>
          <w:rFonts w:hint="eastAsia" w:ascii="仿宋_GB2312" w:hAnsi="宋体" w:eastAsia="仿宋_GB2312"/>
          <w:sz w:val="32"/>
          <w:shd w:val="clear" w:color="auto" w:fill="FFFFFF"/>
        </w:rPr>
        <w:t>通过国家企业信用信息公示系统（山东）向社会公示</w:t>
      </w:r>
      <w:r>
        <w:rPr>
          <w:rFonts w:hint="eastAsia" w:ascii="仿宋_GB2312" w:hAnsi="宋体" w:eastAsia="仿宋_GB2312"/>
          <w:sz w:val="32"/>
          <w:shd w:val="clear" w:color="auto" w:fill="FFFFFF"/>
          <w:lang w:eastAsia="zh-CN"/>
        </w:rPr>
        <w:t>，</w:t>
      </w:r>
      <w:r>
        <w:rPr>
          <w:rFonts w:hint="eastAsia" w:ascii="仿宋_GB2312" w:hAnsi="宋体" w:eastAsia="仿宋_GB2312"/>
          <w:sz w:val="32"/>
          <w:shd w:val="clear" w:color="auto" w:fill="FFFFFF"/>
          <w:lang w:val="en-US" w:eastAsia="zh-CN"/>
        </w:rPr>
        <w:t>并同步推送至“信用中国（山东）”网站。</w:t>
      </w: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仿宋_GB2312" w:hAnsi="宋体" w:eastAsia="仿宋_GB2312"/>
          <w:sz w:val="32"/>
          <w:shd w:val="clear" w:color="auto" w:fill="FFFFFF"/>
        </w:rPr>
        <w:t>适用简易程序的行政处罚或者仅受到警告行政处罚的不予公示。法律、法规、规章另有规定的除外。</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Style w:val="10"/>
          <w:rFonts w:hint="eastAsia" w:ascii="黑体" w:hAnsi="黑体" w:eastAsia="黑体"/>
          <w:b w:val="0"/>
          <w:sz w:val="32"/>
          <w:shd w:val="clear" w:color="auto" w:fill="FFFFFF"/>
        </w:rPr>
        <w:t>第三条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省药监局区域检查分局、执法监察局（以下称案件承办机构）应当严格履行行政处罚信息公示职责。按照“谁办案、谁录入、谁负责”的要求，严格做好行政处罚信息公示审核和管理，确保及时准确录入信息。</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黑体" w:hAnsi="黑体" w:eastAsia="黑体"/>
          <w:sz w:val="32"/>
          <w:shd w:val="clear" w:color="auto" w:fill="FFFFFF"/>
        </w:rPr>
        <w:t>第四条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行政处罚信息公示，应当遵循合法、客观、及时、规范的原则。</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p>
    <w:p>
      <w:pPr>
        <w:pStyle w:val="6"/>
        <w:shd w:val="clear" w:color="auto" w:fill="FFFFFF"/>
        <w:spacing w:beforeAutospacing="0" w:afterAutospacing="0" w:line="540" w:lineRule="exact"/>
        <w:jc w:val="center"/>
        <w:rPr>
          <w:rFonts w:ascii="黑体" w:hAnsi="黑体" w:eastAsia="黑体"/>
          <w:sz w:val="32"/>
        </w:rPr>
      </w:pPr>
      <w:r>
        <w:rPr>
          <w:rFonts w:hint="eastAsia" w:ascii="黑体" w:hAnsi="黑体" w:eastAsia="黑体"/>
          <w:sz w:val="32"/>
        </w:rPr>
        <w:t>第二章  公示内容</w:t>
      </w:r>
    </w:p>
    <w:p>
      <w:pPr>
        <w:pStyle w:val="6"/>
        <w:shd w:val="clear" w:color="auto" w:fill="FFFFFF"/>
        <w:spacing w:beforeAutospacing="0" w:afterAutospacing="0" w:line="540" w:lineRule="exact"/>
        <w:ind w:firstLine="632"/>
        <w:jc w:val="center"/>
        <w:rPr>
          <w:rFonts w:ascii="黑体" w:hAnsi="黑体" w:eastAsia="黑体"/>
          <w:sz w:val="32"/>
        </w:rPr>
      </w:pPr>
    </w:p>
    <w:p>
      <w:pPr>
        <w:pStyle w:val="6"/>
        <w:shd w:val="clear" w:color="auto" w:fill="FFFFFF"/>
        <w:spacing w:beforeAutospacing="0" w:afterAutospacing="0" w:line="540" w:lineRule="exact"/>
        <w:ind w:firstLine="632"/>
        <w:jc w:val="both"/>
        <w:rPr>
          <w:rFonts w:ascii="仿宋_GB2312" w:hAnsi="宋体" w:eastAsia="仿宋_GB2312"/>
          <w:sz w:val="32"/>
        </w:rPr>
      </w:pPr>
      <w:r>
        <w:rPr>
          <w:rStyle w:val="10"/>
          <w:rFonts w:hint="eastAsia" w:ascii="黑体" w:hAnsi="黑体" w:eastAsia="黑体"/>
          <w:b w:val="0"/>
          <w:sz w:val="32"/>
          <w:shd w:val="clear" w:color="auto" w:fill="FFFFFF"/>
        </w:rPr>
        <w:t>第五条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药品行政处罚公示信息主要包括行政处罚决定书和行政处罚信息摘要。</w:t>
      </w: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仿宋_GB2312" w:hAnsi="宋体" w:eastAsia="仿宋_GB2312"/>
          <w:sz w:val="32"/>
          <w:shd w:val="clear" w:color="auto" w:fill="FFFFFF"/>
        </w:rPr>
        <w:t>案件承办机构应当严格依照有关规定制作行政处罚决定书，并制作行政处罚信息摘要附于行政处罚决定书之前。</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行政处罚信息摘要的内容包括：行政处罚决定书文号、行政处罚当事人基本情况、行政处罚决定所认定的违法行为、行政处罚内容、作出行政处罚决定的行政机关名称和日期。</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Style w:val="10"/>
          <w:rFonts w:hint="eastAsia" w:ascii="黑体" w:hAnsi="黑体" w:eastAsia="黑体"/>
          <w:b w:val="0"/>
          <w:sz w:val="32"/>
          <w:shd w:val="clear" w:color="auto" w:fill="FFFFFF"/>
        </w:rPr>
        <w:t>第六条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涉及国家秘密或者公示后可能危及国家安全、公共安全、经济安全和社会稳定的行政处罚信息，不予公示。</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Style w:val="10"/>
          <w:rFonts w:hint="eastAsia" w:ascii="黑体" w:hAnsi="黑体" w:eastAsia="黑体"/>
          <w:b w:val="0"/>
          <w:sz w:val="32"/>
        </w:rPr>
        <w:t>第七条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案件承办机构公示行政处罚信息时，应当遵守法律、法规、规章关于商业秘密和个人隐私保护的有关规定，隐去以下信息：</w:t>
      </w:r>
    </w:p>
    <w:p>
      <w:pPr>
        <w:pStyle w:val="6"/>
        <w:shd w:val="clear" w:color="auto" w:fill="FFFFFF"/>
        <w:spacing w:beforeAutospacing="0" w:afterAutospacing="0" w:line="540" w:lineRule="exact"/>
        <w:ind w:firstLine="632"/>
        <w:rPr>
          <w:rFonts w:ascii="仿宋_GB2312" w:hAnsi="宋体" w:eastAsia="仿宋_GB2312"/>
          <w:sz w:val="32"/>
        </w:rPr>
      </w:pPr>
      <w:r>
        <w:rPr>
          <w:rFonts w:hint="eastAsia" w:ascii="仿宋_GB2312" w:hAnsi="宋体" w:eastAsia="仿宋_GB2312"/>
          <w:sz w:val="32"/>
        </w:rPr>
        <w:t>（一）自然人的家庭住址、通讯方式、身份证号码、银行账号、健康状况、车牌号码、动产或不动产权属证书编号等个人信息；</w:t>
      </w:r>
    </w:p>
    <w:p>
      <w:pPr>
        <w:pStyle w:val="6"/>
        <w:shd w:val="clear" w:color="auto" w:fill="FFFFFF"/>
        <w:spacing w:beforeAutospacing="0" w:afterAutospacing="0" w:line="540" w:lineRule="exact"/>
        <w:ind w:firstLine="632"/>
        <w:rPr>
          <w:rFonts w:ascii="仿宋_GB2312" w:hAnsi="宋体" w:eastAsia="仿宋_GB2312"/>
          <w:sz w:val="32"/>
        </w:rPr>
      </w:pPr>
      <w:r>
        <w:rPr>
          <w:rFonts w:hint="eastAsia" w:ascii="仿宋_GB2312" w:hAnsi="宋体" w:eastAsia="仿宋_GB2312"/>
          <w:sz w:val="32"/>
        </w:rPr>
        <w:t>（二）法人以及其他组织的银行账号、车牌号码、动产或不动产权属证书编号等信息；</w:t>
      </w:r>
    </w:p>
    <w:p>
      <w:pPr>
        <w:pStyle w:val="6"/>
        <w:shd w:val="clear" w:color="auto" w:fill="FFFFFF"/>
        <w:spacing w:beforeAutospacing="0" w:afterAutospacing="0" w:line="540" w:lineRule="exact"/>
        <w:ind w:firstLine="632"/>
        <w:rPr>
          <w:rFonts w:ascii="仿宋_GB2312" w:hAnsi="宋体" w:eastAsia="仿宋_GB2312"/>
          <w:sz w:val="32"/>
        </w:rPr>
      </w:pPr>
      <w:r>
        <w:rPr>
          <w:rFonts w:hint="eastAsia" w:ascii="仿宋_GB2312" w:hAnsi="宋体" w:eastAsia="仿宋_GB2312"/>
          <w:sz w:val="32"/>
        </w:rPr>
        <w:t>（三）未成年人及其法定代理人的姓名；</w:t>
      </w:r>
    </w:p>
    <w:p>
      <w:pPr>
        <w:pStyle w:val="6"/>
        <w:shd w:val="clear" w:color="auto" w:fill="FFFFFF"/>
        <w:spacing w:beforeAutospacing="0" w:afterAutospacing="0" w:line="540" w:lineRule="exact"/>
        <w:ind w:firstLine="632"/>
        <w:rPr>
          <w:rFonts w:ascii="仿宋_GB2312" w:hAnsi="宋体" w:eastAsia="仿宋_GB2312"/>
          <w:sz w:val="32"/>
        </w:rPr>
      </w:pPr>
      <w:r>
        <w:rPr>
          <w:rFonts w:hint="eastAsia" w:ascii="仿宋_GB2312" w:hAnsi="宋体" w:eastAsia="仿宋_GB2312"/>
          <w:sz w:val="32"/>
        </w:rPr>
        <w:t>（四）涉及商业秘密的信息；</w:t>
      </w:r>
    </w:p>
    <w:p>
      <w:pPr>
        <w:pStyle w:val="6"/>
        <w:shd w:val="clear" w:color="auto" w:fill="FFFFFF"/>
        <w:spacing w:beforeAutospacing="0" w:afterAutospacing="0" w:line="540" w:lineRule="exact"/>
        <w:ind w:firstLine="632"/>
        <w:rPr>
          <w:rFonts w:ascii="仿宋_GB2312" w:hAnsi="宋体" w:eastAsia="仿宋_GB2312"/>
          <w:sz w:val="32"/>
        </w:rPr>
      </w:pPr>
      <w:r>
        <w:rPr>
          <w:rFonts w:hint="eastAsia" w:ascii="仿宋_GB2312" w:hAnsi="宋体" w:eastAsia="仿宋_GB2312"/>
          <w:sz w:val="32"/>
        </w:rPr>
        <w:t>（五）法律、法规、规章规定的其他应当隐去的信息。</w:t>
      </w:r>
    </w:p>
    <w:p>
      <w:pPr>
        <w:pStyle w:val="6"/>
        <w:shd w:val="clear" w:color="auto" w:fill="FFFFFF"/>
        <w:spacing w:beforeAutospacing="0" w:afterAutospacing="0" w:line="540" w:lineRule="exact"/>
        <w:ind w:firstLine="632" w:firstLineChars="200"/>
        <w:jc w:val="both"/>
        <w:rPr>
          <w:rFonts w:ascii="仿宋_GB2312" w:hAnsi="宋体" w:eastAsia="仿宋_GB2312"/>
          <w:b/>
          <w:sz w:val="32"/>
        </w:rPr>
      </w:pPr>
      <w:r>
        <w:rPr>
          <w:rFonts w:hint="eastAsia" w:ascii="仿宋_GB2312" w:hAnsi="宋体" w:eastAsia="仿宋_GB2312"/>
          <w:sz w:val="32"/>
        </w:rPr>
        <w:t>按照第一款隐去信息影响对行政处罚决定正确理解的，用符号“×”作部分替代。</w:t>
      </w: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仿宋_GB2312" w:hAnsi="宋体" w:eastAsia="仿宋_GB2312"/>
          <w:sz w:val="32"/>
        </w:rPr>
        <w:t>行政处罚信息涉及商业秘密、个人隐私，但权利人书面同意公示或者案件承办机构认为不公示会对公共利益造成重大影响的，予以公示。</w:t>
      </w: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黑体" w:hAnsi="黑体" w:eastAsia="黑体"/>
          <w:sz w:val="32"/>
        </w:rPr>
        <w:t>第八条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案件承办机构公示的行政处罚决定书，除依照本细则第七条要求进行处理的以外，内容应当与送达行政处罚当事人的行政处罚决定书一致。</w:t>
      </w: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仿宋_GB2312" w:hAnsi="宋体" w:eastAsia="仿宋_GB2312"/>
          <w:sz w:val="32"/>
          <w:shd w:val="clear" w:color="auto" w:fill="FFFFFF"/>
        </w:rPr>
        <w:t>对于应当公示的行政处罚决定，案件承办机构在制作的行政处罚决定书中应当载明本处罚决定书将依法向社会进行公示</w:t>
      </w:r>
      <w:r>
        <w:rPr>
          <w:rFonts w:hint="eastAsia" w:ascii="仿宋_GB2312" w:hAnsi="宋体" w:eastAsia="仿宋_GB2312"/>
          <w:sz w:val="32"/>
          <w:shd w:val="clear" w:color="auto" w:fill="FFFFFF"/>
          <w:lang w:eastAsia="zh-CN"/>
        </w:rPr>
        <w:t>，</w:t>
      </w:r>
      <w:r>
        <w:rPr>
          <w:rFonts w:hint="eastAsia" w:ascii="仿宋_GB2312" w:hAnsi="宋体" w:eastAsia="仿宋_GB2312"/>
          <w:sz w:val="32"/>
          <w:shd w:val="clear" w:color="auto" w:fill="FFFFFF"/>
          <w:lang w:val="en-US" w:eastAsia="zh-CN"/>
        </w:rPr>
        <w:t>并按规定同步送达《行政处罚信息信用修复告知书》。</w:t>
      </w:r>
    </w:p>
    <w:p>
      <w:pPr>
        <w:pStyle w:val="6"/>
        <w:shd w:val="clear" w:color="auto" w:fill="FFFFFF"/>
        <w:spacing w:beforeAutospacing="0" w:afterAutospacing="0" w:line="540" w:lineRule="exact"/>
        <w:ind w:firstLine="632"/>
        <w:jc w:val="center"/>
        <w:rPr>
          <w:rFonts w:ascii="黑体" w:hAnsi="黑体" w:eastAsia="黑体"/>
          <w:sz w:val="32"/>
          <w:shd w:val="clear" w:color="auto" w:fill="FFFFFF"/>
        </w:rPr>
      </w:pPr>
    </w:p>
    <w:p>
      <w:pPr>
        <w:pStyle w:val="6"/>
        <w:shd w:val="clear" w:color="auto" w:fill="FFFFFF"/>
        <w:spacing w:beforeAutospacing="0" w:afterAutospacing="0" w:line="540" w:lineRule="exact"/>
        <w:jc w:val="center"/>
        <w:rPr>
          <w:rFonts w:ascii="黑体" w:hAnsi="黑体" w:eastAsia="黑体"/>
          <w:sz w:val="32"/>
          <w:shd w:val="clear" w:color="auto" w:fill="FFFFFF"/>
        </w:rPr>
      </w:pPr>
      <w:r>
        <w:rPr>
          <w:rFonts w:hint="eastAsia" w:ascii="黑体" w:hAnsi="黑体" w:eastAsia="黑体"/>
          <w:sz w:val="32"/>
          <w:shd w:val="clear" w:color="auto" w:fill="FFFFFF"/>
        </w:rPr>
        <w:t>第三章  公示程序</w:t>
      </w:r>
    </w:p>
    <w:p>
      <w:pPr>
        <w:pStyle w:val="6"/>
        <w:shd w:val="clear" w:color="auto" w:fill="FFFFFF"/>
        <w:spacing w:beforeAutospacing="0" w:afterAutospacing="0" w:line="540" w:lineRule="exact"/>
        <w:ind w:firstLine="632"/>
        <w:jc w:val="center"/>
        <w:rPr>
          <w:rFonts w:ascii="黑体" w:hAnsi="黑体" w:eastAsia="黑体"/>
          <w:sz w:val="32"/>
          <w:shd w:val="clear" w:color="auto" w:fill="FFFFFF"/>
        </w:rPr>
      </w:pP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Style w:val="10"/>
          <w:rFonts w:hint="eastAsia" w:ascii="黑体" w:hAnsi="黑体" w:eastAsia="黑体"/>
          <w:b w:val="0"/>
          <w:sz w:val="32"/>
          <w:shd w:val="clear" w:color="auto" w:fill="FFFFFF"/>
        </w:rPr>
        <w:t>第九条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行政处罚当事人登记地（住所地）在本省的，案件承办机构应当自作出行政处罚决定之日起</w:t>
      </w:r>
      <w:r>
        <w:rPr>
          <w:rFonts w:hint="default" w:ascii="仿宋_GB2312" w:hAnsi="宋体" w:eastAsia="仿宋_GB2312"/>
          <w:sz w:val="32"/>
          <w:shd w:val="clear" w:color="auto" w:fill="FFFFFF"/>
          <w:lang w:val="en-US"/>
        </w:rPr>
        <w:t>二十</w:t>
      </w:r>
      <w:r>
        <w:rPr>
          <w:rFonts w:hint="eastAsia" w:ascii="仿宋_GB2312" w:hAnsi="宋体" w:eastAsia="仿宋_GB2312"/>
          <w:sz w:val="32"/>
          <w:shd w:val="clear" w:color="auto" w:fill="FFFFFF"/>
        </w:rPr>
        <w:t>个工作日内公示行政处罚信息。</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行政处罚当事人登记地（住所地）不在本省的，案件承办机构应当自作出行政处罚决定之日起五个工作日内将行政处罚决定书及摘要报送省市场监管局反垄断局，由反垄断局推送至当事人登记地（住所地）市场监督管理部门。</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黑体" w:hAnsi="黑体" w:eastAsia="黑体"/>
          <w:sz w:val="32"/>
          <w:shd w:val="clear" w:color="auto" w:fill="FFFFFF"/>
        </w:rPr>
        <w:t>第十条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案件承办人员应当在行政处罚决定作出后，及时填写《行政处罚案件信息公示审批表》，提出是否公示的建议，并附行政处罚决定书及信息公示摘要；建议不予公示的应当说明理由。案件承办机构应当进行内部审查。建议公示的，由承办机构主要负责人审批。建议不予公示的，经办公室、政策法规处审核后，由承办机构报省药监局分管负责人审批。经集体讨论的重大行政处罚案件，建议不予公示的，经省药监局分管负责人审核后，报重大案件集体讨论会主持人审批。</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案件承办机构不能确定是否涉及国家秘密的，报省药监局保密审查机构进行保密审查。不能确定是否涉及国家安全、公共安全、经济安全和社会稳定的，案件承办机构应当对信息是否公开、公开后可能带来的影响等进行评估论证，根据评估意见作出决定，并留存相关审核材料、风险评估报告等证据。</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不能确定是否可以公开的，应当依照法律、行政法规和国家有关规定报有关主管部门或者同级保密工作部门确定。</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黑体" w:hAnsi="黑体" w:eastAsia="黑体"/>
          <w:sz w:val="32"/>
          <w:shd w:val="clear" w:color="auto" w:fill="FFFFFF"/>
        </w:rPr>
        <w:t>第十一条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对仅受到通报批评</w:t>
      </w:r>
      <w:r>
        <w:rPr>
          <w:rFonts w:hint="eastAsia" w:ascii="仿宋_GB2312" w:hAnsi="宋体" w:eastAsia="仿宋_GB2312"/>
          <w:sz w:val="32"/>
          <w:shd w:val="clear" w:color="auto" w:fill="FFFFFF"/>
          <w:lang w:val="en-US" w:eastAsia="zh-CN"/>
        </w:rPr>
        <w:t>或者仅对自然人处以五千元以下、对法人或者其他组织处以五万元以下</w:t>
      </w:r>
      <w:r>
        <w:rPr>
          <w:rFonts w:hint="eastAsia" w:ascii="仿宋_GB2312" w:hAnsi="宋体" w:eastAsia="仿宋_GB2312"/>
          <w:sz w:val="32"/>
          <w:shd w:val="clear" w:color="auto" w:fill="FFFFFF"/>
        </w:rPr>
        <w:t>较低数额罚款的处罚信息自公示之日起届满三个月的，应当停止公示。</w:t>
      </w:r>
    </w:p>
    <w:p>
      <w:pPr>
        <w:pStyle w:val="6"/>
        <w:shd w:val="clear" w:color="auto" w:fill="FFFFFF"/>
        <w:spacing w:beforeAutospacing="0" w:afterAutospacing="0" w:line="540" w:lineRule="exact"/>
        <w:ind w:firstLine="632"/>
        <w:jc w:val="both"/>
        <w:rPr>
          <w:rFonts w:ascii="仿宋_GB2312" w:hAnsi="宋体" w:eastAsia="仿宋_GB2312"/>
          <w:sz w:val="32"/>
        </w:rPr>
      </w:pPr>
      <w:r>
        <w:rPr>
          <w:rFonts w:hint="eastAsia" w:ascii="仿宋_GB2312" w:hAnsi="宋体" w:eastAsia="仿宋_GB2312"/>
          <w:sz w:val="32"/>
          <w:shd w:val="clear" w:color="auto" w:fill="FFFFFF"/>
        </w:rPr>
        <w:t>其他行政处罚信息自公示之日起届满三年的，停止公示。</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依照法律法规被限制开展生产经营活动、限制从业超过三年的，公示期按照实际限制期限执行。</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p>
    <w:p>
      <w:pPr>
        <w:pStyle w:val="6"/>
        <w:shd w:val="clear" w:color="auto" w:fill="FFFFFF"/>
        <w:spacing w:beforeAutospacing="0" w:afterAutospacing="0" w:line="540" w:lineRule="exact"/>
        <w:jc w:val="center"/>
        <w:rPr>
          <w:rFonts w:ascii="黑体" w:hAnsi="黑体" w:eastAsia="黑体"/>
          <w:sz w:val="32"/>
          <w:shd w:val="clear" w:color="auto" w:fill="FFFFFF"/>
        </w:rPr>
      </w:pPr>
      <w:r>
        <w:rPr>
          <w:rFonts w:hint="eastAsia" w:ascii="黑体" w:hAnsi="黑体" w:eastAsia="黑体"/>
          <w:sz w:val="32"/>
          <w:shd w:val="clear" w:color="auto" w:fill="FFFFFF"/>
        </w:rPr>
        <w:t>第四章  撤回、更正及提前停止公示</w:t>
      </w:r>
    </w:p>
    <w:p>
      <w:pPr>
        <w:pStyle w:val="6"/>
        <w:shd w:val="clear" w:color="auto" w:fill="FFFFFF"/>
        <w:spacing w:beforeAutospacing="0" w:afterAutospacing="0" w:line="540" w:lineRule="exact"/>
        <w:ind w:firstLine="632"/>
        <w:jc w:val="center"/>
        <w:rPr>
          <w:rFonts w:ascii="黑体" w:hAnsi="黑体" w:eastAsia="黑体"/>
          <w:sz w:val="32"/>
          <w:shd w:val="clear" w:color="auto" w:fill="FFFFFF"/>
        </w:rPr>
      </w:pPr>
    </w:p>
    <w:p>
      <w:pPr>
        <w:pStyle w:val="6"/>
        <w:shd w:val="clear" w:color="auto" w:fill="FFFFFF"/>
        <w:spacing w:beforeAutospacing="0" w:afterAutospacing="0" w:line="540" w:lineRule="exact"/>
        <w:ind w:firstLine="632"/>
        <w:jc w:val="both"/>
        <w:rPr>
          <w:rFonts w:ascii="仿宋_GB2312" w:hAnsi="宋体" w:eastAsia="仿宋_GB2312"/>
          <w:sz w:val="32"/>
        </w:rPr>
      </w:pPr>
      <w:r>
        <w:rPr>
          <w:rStyle w:val="10"/>
          <w:rFonts w:hint="eastAsia" w:ascii="黑体" w:hAnsi="黑体" w:eastAsia="黑体"/>
          <w:b w:val="0"/>
          <w:sz w:val="32"/>
          <w:shd w:val="clear" w:color="auto" w:fill="FFFFFF"/>
        </w:rPr>
        <w:t>第十二条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行政处罚决定被生效的裁判文书、复议决定书等依法变更、撤销、确认违法或者确认无效的，案件承办机构应当自收到后的三个工作日内撤回行政处罚公示信息并说明理由。</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Style w:val="10"/>
          <w:rFonts w:hint="eastAsia" w:ascii="黑体" w:hAnsi="黑体" w:eastAsia="黑体"/>
          <w:b w:val="0"/>
          <w:sz w:val="32"/>
          <w:shd w:val="clear" w:color="auto" w:fill="FFFFFF"/>
        </w:rPr>
        <w:t>第十三条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案件承办机构发现公示的行政处罚信息不准确的，应当在三个工作日内更正。</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公民、法人或者其他组织有证据证明公示的行政处罚信息不准确的，有权要求予以更正。案件承办机构应当在五个工作日内进行核实处理，并告知申请人处理结果。处罚信息明显不准确或者情况紧急的，应当在24小时内予以更正。</w:t>
      </w:r>
    </w:p>
    <w:p>
      <w:pPr>
        <w:pStyle w:val="6"/>
        <w:shd w:val="clear" w:color="auto" w:fill="FFFFFF"/>
        <w:spacing w:beforeAutospacing="0" w:afterAutospacing="0" w:line="540" w:lineRule="exact"/>
        <w:ind w:firstLine="632"/>
        <w:jc w:val="both"/>
        <w:rPr>
          <w:rFonts w:ascii="仿宋_GB2312" w:hAnsi="宋体" w:eastAsia="仿宋_GB2312"/>
          <w:sz w:val="32"/>
        </w:rPr>
      </w:pPr>
      <w:r>
        <w:rPr>
          <w:rFonts w:hint="eastAsia" w:ascii="黑体" w:hAnsi="黑体" w:eastAsia="黑体"/>
          <w:sz w:val="32"/>
          <w:shd w:val="clear" w:color="auto" w:fill="FFFFFF"/>
        </w:rPr>
        <w:t>第十四条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除当事人受到责令停产停业、限制开展生产经营活动、限制从业、吊销许可证件、国家市场监督管理总局规定的其他较为严重行政处罚</w:t>
      </w:r>
      <w:r>
        <w:rPr>
          <w:rFonts w:hint="eastAsia" w:ascii="仿宋_GB2312" w:hAnsi="仿宋_GB2312" w:eastAsia="仿宋_GB2312"/>
          <w:sz w:val="32"/>
          <w:shd w:val="clear" w:color="auto" w:fill="FFFFFF"/>
        </w:rPr>
        <w:t>以外，行</w:t>
      </w:r>
      <w:r>
        <w:rPr>
          <w:rFonts w:hint="eastAsia" w:ascii="仿宋_GB2312" w:hAnsi="宋体" w:eastAsia="仿宋_GB2312"/>
          <w:sz w:val="32"/>
          <w:shd w:val="clear" w:color="auto" w:fill="FFFFFF"/>
        </w:rPr>
        <w:t>政处罚信息公示期满一年，且同时符合以下条件的，当事人可以申请提前停止公示：</w:t>
      </w: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仿宋_GB2312" w:hAnsi="宋体" w:eastAsia="仿宋_GB2312"/>
          <w:sz w:val="32"/>
          <w:shd w:val="clear" w:color="auto" w:fill="FFFFFF"/>
        </w:rPr>
        <w:t>（一）已经自觉履行行政处罚决定中规定的义务；</w:t>
      </w: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仿宋_GB2312" w:hAnsi="宋体" w:eastAsia="仿宋_GB2312"/>
          <w:sz w:val="32"/>
          <w:shd w:val="clear" w:color="auto" w:fill="FFFFFF"/>
        </w:rPr>
        <w:t>（二）已经主动消除危害后果和不良影响；</w:t>
      </w:r>
    </w:p>
    <w:p>
      <w:pPr>
        <w:pStyle w:val="6"/>
        <w:shd w:val="clear" w:color="auto" w:fill="FFFFFF"/>
        <w:spacing w:beforeAutospacing="0" w:afterAutospacing="0" w:line="540" w:lineRule="exact"/>
        <w:ind w:firstLine="632" w:firstLineChars="200"/>
        <w:jc w:val="both"/>
        <w:rPr>
          <w:rFonts w:ascii="仿宋_GB2312" w:hAnsi="宋体" w:eastAsia="仿宋_GB2312"/>
          <w:sz w:val="32"/>
        </w:rPr>
      </w:pPr>
      <w:r>
        <w:rPr>
          <w:rFonts w:hint="eastAsia" w:ascii="仿宋_GB2312" w:hAnsi="宋体" w:eastAsia="仿宋_GB2312"/>
          <w:sz w:val="32"/>
          <w:shd w:val="clear" w:color="auto" w:fill="FFFFFF"/>
        </w:rPr>
        <w:t>（三）未因同一类违法行为再次受到药品监督管理部门行政处罚；</w:t>
      </w:r>
    </w:p>
    <w:p>
      <w:pPr>
        <w:pStyle w:val="6"/>
        <w:shd w:val="clear" w:color="auto" w:fill="FFFFFF"/>
        <w:spacing w:beforeAutospacing="0" w:afterAutospacing="0" w:line="540" w:lineRule="exact"/>
        <w:ind w:firstLine="632" w:firstLineChars="200"/>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（四）未在经营异常名录和严重违法失信名单中。</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当事人申请提前停止公示，应当提交以下材料：</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（一）提前停止公示申请书；</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（二）守信承诺书；</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（三）证明前款（一）（二）项情形的相关材料。</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当事人可以通过公示系统、书面等方式提出申请。</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黑体" w:hAnsi="黑体" w:eastAsia="黑体"/>
          <w:sz w:val="32"/>
          <w:shd w:val="clear" w:color="auto" w:fill="FFFFFF"/>
        </w:rPr>
        <w:t>第十五条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案件承办机构应当自收到申请之日起二个工作日内作出是否受理的决定。申请材料齐全、符合法定形式的，应当予以受理，并告知当事人。不予受理的，应当告知当事人，并说明理由。 </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药品监督管理部门可以采取网上核实、书面核实、实地核实等方式，对当事人履行法定义务、纠正违法行为等情况进行核实。</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黑体" w:hAnsi="黑体" w:eastAsia="黑体"/>
          <w:sz w:val="32"/>
          <w:shd w:val="clear" w:color="auto" w:fill="FFFFFF"/>
        </w:rPr>
        <w:t>第十六条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案件承办机构应当自受理之日起十五个工作日内作出决定。准予提前停止公示行政处罚信息的，应当自作出决定之日起三个工作日内停止公示相关信息，并依法解除相关管理措施。不予提前停止公示行政处罚信息的，应当告知当事人，并说明理由。</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依照法律、行政法规规定，实施相应管理措施期限尚未届满的除外。</w:t>
      </w:r>
    </w:p>
    <w:p>
      <w:pPr>
        <w:pStyle w:val="6"/>
        <w:shd w:val="clear" w:color="auto" w:fill="FFFFFF"/>
        <w:spacing w:beforeAutospacing="0" w:afterAutospacing="0" w:line="540" w:lineRule="exact"/>
        <w:ind w:firstLine="632"/>
        <w:jc w:val="both"/>
        <w:rPr>
          <w:rFonts w:ascii="仿宋_GB2312" w:hAnsi="仿宋_GB2312" w:eastAsia="仿宋_GB2312"/>
          <w:sz w:val="32"/>
          <w:shd w:val="clear" w:color="auto" w:fill="FFFFFF"/>
        </w:rPr>
      </w:pPr>
      <w:r>
        <w:rPr>
          <w:rFonts w:hint="eastAsia" w:ascii="黑体" w:hAnsi="黑体" w:eastAsia="黑体"/>
          <w:sz w:val="32"/>
          <w:shd w:val="clear" w:color="auto" w:fill="FFFFFF"/>
        </w:rPr>
        <w:t>第十七条</w:t>
      </w:r>
      <w:r>
        <w:rPr>
          <w:rFonts w:hint="eastAsia" w:ascii="仿宋_GB2312" w:hAnsi="宋体" w:eastAsia="仿宋_GB2312"/>
          <w:spacing w:val="-20"/>
          <w:sz w:val="32"/>
          <w:shd w:val="clear" w:color="auto" w:fill="FFFFFF"/>
        </w:rPr>
        <w:t xml:space="preserve">  </w:t>
      </w:r>
      <w:r>
        <w:rPr>
          <w:rFonts w:hint="eastAsia" w:ascii="仿宋_GB2312" w:hAnsi="仿宋_GB2312" w:eastAsia="仿宋_GB2312"/>
          <w:sz w:val="32"/>
          <w:shd w:val="clear" w:color="auto" w:fill="FFFFFF"/>
        </w:rPr>
        <w:t>省药监局执法监察局收到协助公示或者协助提前停止公示信息的，应当按照规定时限配合做好公示或者停止公示等工作。属于市县级药品监督管理部门管辖的，执法监察局应当在规定时限内进行分派。</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黑体" w:hAnsi="黑体" w:eastAsia="黑体"/>
          <w:sz w:val="32"/>
          <w:shd w:val="clear" w:color="auto" w:fill="FFFFFF"/>
        </w:rPr>
        <w:t>第十八条</w:t>
      </w:r>
      <w:r>
        <w:rPr>
          <w:rFonts w:hint="eastAsia" w:ascii="仿宋_GB2312" w:hAnsi="宋体" w:eastAsia="仿宋_GB2312"/>
          <w:sz w:val="32"/>
          <w:shd w:val="clear" w:color="auto" w:fill="FFFFFF"/>
        </w:rPr>
        <w:t xml:space="preserve">  当事人故意隐瞒真实情况、弄虚作假，情节严重的，由案件承办机构撤销提前停止公示的决定，恢复公示状态，行政处罚信息公示期重新计算。 </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黑体" w:hAnsi="黑体" w:eastAsia="黑体"/>
          <w:sz w:val="32"/>
          <w:shd w:val="clear" w:color="auto" w:fill="FFFFFF"/>
        </w:rPr>
        <w:t>第十九条</w:t>
      </w:r>
      <w:r>
        <w:rPr>
          <w:rFonts w:hint="eastAsia" w:ascii="仿宋_GB2312" w:hAnsi="宋体" w:eastAsia="仿宋_GB2312"/>
          <w:sz w:val="32"/>
          <w:shd w:val="clear" w:color="auto" w:fill="FFFFFF"/>
        </w:rPr>
        <w:t xml:space="preserve">  行政处罚信息撤回、更正、提前停止公示、撤销提前停止公示的，由案件承办机构主要负责人审批。</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到期停止公示的，由案件承办机构在停止公示日撤回公示信息。</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r>
        <w:rPr>
          <w:rFonts w:hint="eastAsia" w:ascii="仿宋_GB2312" w:hAnsi="宋体" w:eastAsia="仿宋_GB2312"/>
          <w:sz w:val="32"/>
          <w:shd w:val="clear" w:color="auto" w:fill="FFFFFF"/>
        </w:rPr>
        <w:t>当事人登记地（住所地）不在本省的，案件承办机构应当自停止公示行政处罚信息、撤销提前停止公示、撤回或者更正公示后一个工作日内，将相关材料报送省市场监管局反垄断局，由反垄断局推送至当事人登记地（住所地）药品监督管理部门。</w:t>
      </w:r>
    </w:p>
    <w:p>
      <w:pPr>
        <w:pStyle w:val="6"/>
        <w:shd w:val="clear" w:color="auto" w:fill="FFFFFF"/>
        <w:spacing w:beforeAutospacing="0" w:afterAutospacing="0" w:line="540" w:lineRule="exact"/>
        <w:ind w:firstLine="632"/>
        <w:jc w:val="both"/>
        <w:rPr>
          <w:rFonts w:ascii="仿宋_GB2312" w:hAnsi="宋体" w:eastAsia="仿宋_GB2312"/>
          <w:sz w:val="32"/>
          <w:shd w:val="clear" w:color="auto" w:fill="FFFFFF"/>
        </w:rPr>
      </w:pPr>
    </w:p>
    <w:p>
      <w:pPr>
        <w:pStyle w:val="6"/>
        <w:shd w:val="clear" w:color="auto" w:fill="FFFFFF"/>
        <w:spacing w:beforeAutospacing="0" w:afterAutospacing="0" w:line="540" w:lineRule="exact"/>
        <w:jc w:val="center"/>
        <w:rPr>
          <w:rFonts w:ascii="黑体" w:hAnsi="黑体" w:eastAsia="黑体"/>
          <w:sz w:val="32"/>
          <w:shd w:val="clear" w:color="auto" w:fill="FFFFFF"/>
        </w:rPr>
      </w:pPr>
      <w:r>
        <w:rPr>
          <w:rFonts w:hint="eastAsia" w:ascii="黑体" w:hAnsi="黑体" w:eastAsia="黑体"/>
          <w:sz w:val="32"/>
          <w:shd w:val="clear" w:color="auto" w:fill="FFFFFF"/>
        </w:rPr>
        <w:t>第五章  附则</w:t>
      </w:r>
    </w:p>
    <w:p>
      <w:pPr>
        <w:pStyle w:val="6"/>
        <w:shd w:val="clear" w:color="auto" w:fill="FFFFFF"/>
        <w:spacing w:beforeAutospacing="0" w:afterAutospacing="0" w:line="540" w:lineRule="exact"/>
        <w:ind w:firstLine="632"/>
        <w:jc w:val="center"/>
        <w:rPr>
          <w:rFonts w:ascii="黑体" w:hAnsi="黑体" w:eastAsia="黑体"/>
          <w:sz w:val="32"/>
          <w:shd w:val="clear" w:color="auto" w:fill="FFFFFF"/>
        </w:rPr>
      </w:pPr>
    </w:p>
    <w:p>
      <w:pPr>
        <w:pStyle w:val="6"/>
        <w:shd w:val="clear" w:color="auto" w:fill="FFFFFF"/>
        <w:spacing w:beforeAutospacing="0" w:afterAutospacing="0" w:line="540" w:lineRule="exact"/>
        <w:ind w:firstLine="632"/>
        <w:jc w:val="both"/>
        <w:rPr>
          <w:rFonts w:ascii="仿宋_GB2312" w:hAnsi="宋体" w:eastAsia="仿宋_GB2312"/>
          <w:spacing w:val="-20"/>
          <w:sz w:val="32"/>
          <w:shd w:val="clear" w:color="auto" w:fill="FFFFFF"/>
        </w:rPr>
      </w:pPr>
      <w:r>
        <w:rPr>
          <w:rFonts w:hint="eastAsia" w:ascii="黑体" w:hAnsi="黑体" w:eastAsia="黑体"/>
          <w:sz w:val="32"/>
          <w:shd w:val="clear" w:color="auto" w:fill="FFFFFF"/>
        </w:rPr>
        <w:t>第二十条</w:t>
      </w:r>
      <w:r>
        <w:rPr>
          <w:rFonts w:hint="eastAsia" w:ascii="仿宋_GB2312" w:hAnsi="宋体" w:eastAsia="仿宋_GB2312"/>
          <w:spacing w:val="-20"/>
          <w:sz w:val="32"/>
          <w:shd w:val="clear" w:color="auto" w:fill="FFFFFF"/>
        </w:rPr>
        <w:t xml:space="preserve">  </w:t>
      </w:r>
      <w:r>
        <w:rPr>
          <w:rFonts w:hint="eastAsia" w:ascii="仿宋_GB2312" w:hAnsi="宋体" w:eastAsia="仿宋_GB2312"/>
          <w:sz w:val="32"/>
          <w:shd w:val="clear" w:color="auto" w:fill="FFFFFF"/>
        </w:rPr>
        <w:t>本细则中的“以下”均不含本数。</w:t>
      </w:r>
    </w:p>
    <w:p>
      <w:pPr>
        <w:pStyle w:val="6"/>
        <w:shd w:val="clear" w:color="auto" w:fill="FFFFFF"/>
        <w:spacing w:beforeAutospacing="0" w:afterAutospacing="0" w:line="540" w:lineRule="exact"/>
        <w:ind w:firstLine="632"/>
        <w:jc w:val="both"/>
        <w:rPr>
          <w:rFonts w:ascii="仿宋_GB2312" w:hAnsi="仿宋_GB2312" w:eastAsia="仿宋_GB2312"/>
          <w:sz w:val="32"/>
          <w:shd w:val="clear" w:color="auto" w:fill="FFFFFF"/>
        </w:rPr>
      </w:pPr>
      <w:r>
        <w:rPr>
          <w:rFonts w:hint="eastAsia" w:ascii="黑体" w:hAnsi="黑体" w:eastAsia="黑体"/>
          <w:sz w:val="32"/>
          <w:shd w:val="clear" w:color="auto" w:fill="FFFFFF"/>
        </w:rPr>
        <w:t xml:space="preserve">第二十一条  </w:t>
      </w:r>
      <w:r>
        <w:rPr>
          <w:rFonts w:hint="eastAsia" w:ascii="仿宋_GB2312" w:hAnsi="仿宋_GB2312" w:eastAsia="仿宋_GB2312"/>
          <w:sz w:val="32"/>
          <w:shd w:val="clear" w:color="auto" w:fill="FFFFFF"/>
        </w:rPr>
        <w:t>市、县级市场监督管理局药品行政处罚信息公示工作，参照本细则执行。</w:t>
      </w:r>
    </w:p>
    <w:p>
      <w:pPr>
        <w:spacing w:line="540" w:lineRule="exact"/>
        <w:ind w:firstLine="632" w:firstLineChars="200"/>
        <w:rPr>
          <w:rFonts w:ascii="仿宋_GB2312" w:hAnsi="宋体"/>
          <w:shd w:val="clear" w:color="auto" w:fill="FFFFFF"/>
        </w:rPr>
      </w:pPr>
      <w:r>
        <w:rPr>
          <w:rFonts w:hint="eastAsia" w:ascii="黑体" w:hAnsi="黑体" w:eastAsia="黑体"/>
          <w:shd w:val="clear" w:color="auto" w:fill="FFFFFF"/>
        </w:rPr>
        <w:t>第二十二条</w:t>
      </w:r>
      <w:r>
        <w:rPr>
          <w:rFonts w:hint="eastAsia" w:ascii="仿宋_GB2312" w:hAnsi="宋体"/>
          <w:spacing w:val="-20"/>
          <w:shd w:val="clear" w:color="auto" w:fill="FFFFFF"/>
        </w:rPr>
        <w:t xml:space="preserve">  </w:t>
      </w:r>
      <w:r>
        <w:rPr>
          <w:rFonts w:hint="eastAsia" w:ascii="仿宋_GB2312" w:hAnsi="宋体"/>
          <w:shd w:val="clear" w:color="auto" w:fill="FFFFFF"/>
        </w:rPr>
        <w:t>本细则自202</w:t>
      </w:r>
      <w:r>
        <w:rPr>
          <w:rFonts w:hint="eastAsia" w:ascii="仿宋_GB2312" w:hAnsi="宋体"/>
          <w:shd w:val="clear" w:color="auto" w:fill="FFFFFF"/>
          <w:lang w:val="en-US" w:eastAsia="zh-CN"/>
        </w:rPr>
        <w:t>4</w:t>
      </w:r>
      <w:r>
        <w:rPr>
          <w:rFonts w:hint="eastAsia" w:ascii="仿宋_GB2312" w:hAnsi="宋体"/>
          <w:shd w:val="clear" w:color="auto" w:fill="FFFFFF"/>
        </w:rPr>
        <w:t>年</w:t>
      </w:r>
      <w:r>
        <w:rPr>
          <w:rFonts w:hint="eastAsia" w:ascii="仿宋_GB2312" w:hAnsi="宋体"/>
          <w:shd w:val="clear" w:color="auto" w:fill="FFFFFF"/>
          <w:lang w:val="en-US" w:eastAsia="zh-CN"/>
        </w:rPr>
        <w:t xml:space="preserve">  </w:t>
      </w:r>
      <w:r>
        <w:rPr>
          <w:rFonts w:hint="eastAsia" w:ascii="仿宋_GB2312" w:hAnsi="宋体"/>
          <w:shd w:val="clear" w:color="auto" w:fill="FFFFFF"/>
        </w:rPr>
        <w:t>月</w:t>
      </w:r>
      <w:r>
        <w:rPr>
          <w:rFonts w:hint="eastAsia" w:ascii="仿宋_GB2312" w:hAnsi="宋体"/>
          <w:shd w:val="clear" w:color="auto" w:fill="FFFFFF"/>
          <w:lang w:val="en-US" w:eastAsia="zh-CN"/>
        </w:rPr>
        <w:t xml:space="preserve">  </w:t>
      </w:r>
      <w:r>
        <w:rPr>
          <w:rFonts w:hint="eastAsia" w:ascii="仿宋_GB2312" w:hAnsi="宋体"/>
          <w:shd w:val="clear" w:color="auto" w:fill="FFFFFF"/>
        </w:rPr>
        <w:t>日起施行，有效期至202</w:t>
      </w:r>
      <w:r>
        <w:rPr>
          <w:rFonts w:hint="eastAsia" w:ascii="仿宋_GB2312" w:hAnsi="宋体"/>
          <w:shd w:val="clear" w:color="auto" w:fill="FFFFFF"/>
          <w:lang w:val="en-US" w:eastAsia="zh-CN"/>
        </w:rPr>
        <w:t>8</w:t>
      </w:r>
      <w:r>
        <w:rPr>
          <w:rFonts w:hint="eastAsia" w:ascii="仿宋_GB2312" w:hAnsi="宋体"/>
          <w:shd w:val="clear" w:color="auto" w:fill="FFFFFF"/>
        </w:rPr>
        <w:t>年</w:t>
      </w:r>
      <w:r>
        <w:rPr>
          <w:rFonts w:hint="eastAsia" w:ascii="仿宋_GB2312" w:hAnsi="宋体"/>
          <w:shd w:val="clear" w:color="auto" w:fill="FFFFFF"/>
          <w:lang w:val="en-US" w:eastAsia="zh-CN"/>
        </w:rPr>
        <w:t xml:space="preserve">  </w:t>
      </w:r>
      <w:r>
        <w:rPr>
          <w:rFonts w:hint="eastAsia" w:ascii="仿宋_GB2312" w:hAnsi="宋体"/>
          <w:shd w:val="clear" w:color="auto" w:fill="FFFFFF"/>
        </w:rPr>
        <w:t>月</w:t>
      </w:r>
      <w:r>
        <w:rPr>
          <w:rFonts w:hint="eastAsia" w:ascii="仿宋_GB2312" w:hAnsi="宋体"/>
          <w:shd w:val="clear" w:color="auto" w:fill="FFFFFF"/>
          <w:lang w:val="en-US" w:eastAsia="zh-CN"/>
        </w:rPr>
        <w:t xml:space="preserve">  </w:t>
      </w:r>
      <w:r>
        <w:rPr>
          <w:rFonts w:hint="eastAsia" w:ascii="仿宋_GB2312" w:hAnsi="宋体"/>
          <w:shd w:val="clear" w:color="auto" w:fill="FFFFFF"/>
        </w:rPr>
        <w:t>日。</w:t>
      </w:r>
    </w:p>
    <w:p>
      <w:pPr>
        <w:pStyle w:val="2"/>
        <w:spacing w:after="0" w:line="540" w:lineRule="exact"/>
        <w:rPr>
          <w:rFonts w:ascii="仿宋_GB2312" w:hAnsi="宋体"/>
          <w:shd w:val="clear" w:color="auto" w:fill="FFFFFF"/>
        </w:rPr>
      </w:pPr>
    </w:p>
    <w:p>
      <w:pPr>
        <w:rPr>
          <w:rFonts w:ascii="仿宋_GB2312" w:hAnsi="仿宋"/>
        </w:rPr>
      </w:pPr>
    </w:p>
    <w:p>
      <w:pPr>
        <w:rPr>
          <w:rFonts w:ascii="仿宋_GB2312" w:hAnsi="仿宋"/>
        </w:rPr>
      </w:pPr>
    </w:p>
    <w:sectPr>
      <w:footerReference r:id="rId3" w:type="default"/>
      <w:footerReference r:id="rId4" w:type="even"/>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280" w:firstLineChars="26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7</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8</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8"/>
  <w:drawingGridVerticalSpacing w:val="57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58"/>
    <w:rsid w:val="0000197A"/>
    <w:rsid w:val="00010DC5"/>
    <w:rsid w:val="000171D1"/>
    <w:rsid w:val="000272BB"/>
    <w:rsid w:val="00046E80"/>
    <w:rsid w:val="000540C3"/>
    <w:rsid w:val="00063FAB"/>
    <w:rsid w:val="00083D88"/>
    <w:rsid w:val="00092F45"/>
    <w:rsid w:val="00095A6D"/>
    <w:rsid w:val="000D10C5"/>
    <w:rsid w:val="000F317B"/>
    <w:rsid w:val="00130CA6"/>
    <w:rsid w:val="00150AE7"/>
    <w:rsid w:val="00195921"/>
    <w:rsid w:val="002169C2"/>
    <w:rsid w:val="002462AF"/>
    <w:rsid w:val="002513FB"/>
    <w:rsid w:val="00257146"/>
    <w:rsid w:val="00293752"/>
    <w:rsid w:val="002F49B5"/>
    <w:rsid w:val="002F4C5B"/>
    <w:rsid w:val="00336210"/>
    <w:rsid w:val="00353F5A"/>
    <w:rsid w:val="00383BD4"/>
    <w:rsid w:val="00394BD5"/>
    <w:rsid w:val="00397F0F"/>
    <w:rsid w:val="003D3E64"/>
    <w:rsid w:val="004365F2"/>
    <w:rsid w:val="00457B6E"/>
    <w:rsid w:val="004A21AD"/>
    <w:rsid w:val="004C1D47"/>
    <w:rsid w:val="004D6C81"/>
    <w:rsid w:val="004E1B33"/>
    <w:rsid w:val="004E58B0"/>
    <w:rsid w:val="00523738"/>
    <w:rsid w:val="005340B0"/>
    <w:rsid w:val="00540F70"/>
    <w:rsid w:val="00577EDC"/>
    <w:rsid w:val="005D416A"/>
    <w:rsid w:val="005E06E8"/>
    <w:rsid w:val="0062145D"/>
    <w:rsid w:val="006239B2"/>
    <w:rsid w:val="00637E55"/>
    <w:rsid w:val="006453BA"/>
    <w:rsid w:val="006624DB"/>
    <w:rsid w:val="00676E58"/>
    <w:rsid w:val="006C6E6E"/>
    <w:rsid w:val="006E0E81"/>
    <w:rsid w:val="006F0E98"/>
    <w:rsid w:val="00723140"/>
    <w:rsid w:val="007C4223"/>
    <w:rsid w:val="008150CE"/>
    <w:rsid w:val="0081693D"/>
    <w:rsid w:val="00867FD6"/>
    <w:rsid w:val="00875E61"/>
    <w:rsid w:val="008B0625"/>
    <w:rsid w:val="0092387C"/>
    <w:rsid w:val="00930917"/>
    <w:rsid w:val="00975CA3"/>
    <w:rsid w:val="0098367B"/>
    <w:rsid w:val="00992562"/>
    <w:rsid w:val="009B4B70"/>
    <w:rsid w:val="00A62319"/>
    <w:rsid w:val="00AF1AC0"/>
    <w:rsid w:val="00B07A53"/>
    <w:rsid w:val="00B66829"/>
    <w:rsid w:val="00BA31BC"/>
    <w:rsid w:val="00BD320F"/>
    <w:rsid w:val="00BD613C"/>
    <w:rsid w:val="00BF3910"/>
    <w:rsid w:val="00C6054A"/>
    <w:rsid w:val="00C6072A"/>
    <w:rsid w:val="00C75EB4"/>
    <w:rsid w:val="00C81E5E"/>
    <w:rsid w:val="00CE3277"/>
    <w:rsid w:val="00CF3D84"/>
    <w:rsid w:val="00D2546A"/>
    <w:rsid w:val="00D75BBC"/>
    <w:rsid w:val="00DB09B8"/>
    <w:rsid w:val="00EE4F1E"/>
    <w:rsid w:val="00EF2AAF"/>
    <w:rsid w:val="00F1386F"/>
    <w:rsid w:val="00FA1AE6"/>
    <w:rsid w:val="00FC69DC"/>
    <w:rsid w:val="00FE2CD8"/>
    <w:rsid w:val="03355F93"/>
    <w:rsid w:val="0DD135C0"/>
    <w:rsid w:val="0ED928D7"/>
    <w:rsid w:val="43775741"/>
    <w:rsid w:val="485059D7"/>
    <w:rsid w:val="5A88072C"/>
    <w:rsid w:val="5DFB5BB6"/>
    <w:rsid w:val="60EC3789"/>
    <w:rsid w:val="6C572C85"/>
    <w:rsid w:val="6EB25731"/>
    <w:rsid w:val="6F6864B4"/>
    <w:rsid w:val="71AA6A54"/>
    <w:rsid w:val="734D4E48"/>
    <w:rsid w:val="7C77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after="12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unhideWhenUsed/>
    <w:qFormat/>
    <w:uiPriority w:val="99"/>
    <w:rPr>
      <w:rFonts w:hint="default" w:ascii="Times New Roman" w:hAnsi="Times New Roman" w:eastAsia="宋体"/>
      <w:b/>
      <w:sz w:val="24"/>
    </w:rPr>
  </w:style>
  <w:style w:type="character" w:styleId="11">
    <w:name w:val="Hyperlink"/>
    <w:basedOn w:val="9"/>
    <w:qFormat/>
    <w:uiPriority w:val="0"/>
    <w:rPr>
      <w:color w:val="0000FF"/>
      <w:u w:val="single"/>
    </w:rPr>
  </w:style>
  <w:style w:type="paragraph" w:customStyle="1" w:styleId="12">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character" w:customStyle="1" w:styleId="13">
    <w:name w:val="正文文本 字符"/>
    <w:basedOn w:val="9"/>
    <w:link w:val="2"/>
    <w:qFormat/>
    <w:uiPriority w:val="99"/>
    <w:rPr>
      <w:rFonts w:eastAsia="仿宋_GB2312"/>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2&#24180;&#25991;&#20214;\&#40065;&#33647;&#30417;&#35268;&#12304;2022&#12305;1&#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鲁药监规【2022】1号.dotx</Template>
  <Company>SDYY</Company>
  <Pages>1</Pages>
  <Words>537</Words>
  <Characters>3061</Characters>
  <Lines>25</Lines>
  <Paragraphs>7</Paragraphs>
  <TotalTime>0</TotalTime>
  <ScaleCrop>false</ScaleCrop>
  <LinksUpToDate>false</LinksUpToDate>
  <CharactersWithSpaces>3591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2022-01-04T06:19:00Z</dcterms:created>
  <dc:creator>文印室</dc:creator>
  <cp:lastModifiedBy>Administrator</cp:lastModifiedBy>
  <cp:lastPrinted>2022-01-04T06:20:00Z</cp:lastPrinted>
  <dcterms:modified xsi:type="dcterms:W3CDTF">2023-11-06T08:47:57Z</dcterms:modified>
  <dc:title>鲁药监[2002]号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62E7B9DD93B841A9A2DC54D974177F90</vt:lpwstr>
  </property>
</Properties>
</file>