
<file path=[Content_Types].xml><?xml version="1.0" encoding="utf-8"?>
<Types xmlns="http://schemas.openxmlformats.org/package/2006/content-types">
  <Default Extension="xml" ContentType="application/xml"/>
  <Default Extension="png" ContentType="image/png"/>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11.120.01</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C 25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pPr>
        <w:pStyle w:val="50"/>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34/T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pPr>
        <w:pStyle w:val="50"/>
        <w:framePr w:w="9639" w:h="6976" w:hRule="exact" w:hSpace="0" w:vSpace="0" w:hAnchor="page" w:y="6408"/>
        <w:jc w:val="center"/>
        <w:rPr>
          <w:rFonts w:ascii="黑体" w:hAnsi="黑体" w:eastAsia="黑体"/>
          <w:b w:val="0"/>
          <w:bCs w:val="0"/>
          <w:w w:val="100"/>
        </w:rPr>
      </w:pPr>
    </w:p>
    <w:p>
      <w:pPr>
        <w:pStyle w:val="197"/>
        <w:framePr w:h="6974" w:hRule="exact"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医疗机构互联网医院建设规范</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Specification for constructing internet hospitals for medical institutions</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安徽省市场监管管理局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4" w:type="first"/>
          <w:footerReference r:id="rId6" w:type="first"/>
          <w:headerReference r:id="rId3" w:type="default"/>
          <w:footerReference r:id="rId5"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3360"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3360;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pPr>
        <w:pStyle w:val="89"/>
        <w:numPr>
          <w:ilvl w:val="0"/>
          <w:numId w:val="0"/>
        </w:numPr>
        <w:spacing w:before="900" w:after="468"/>
        <w:ind w:left="425" w:hanging="425"/>
      </w:pPr>
      <w:bookmarkStart w:id="21" w:name="BookMark2"/>
      <w:r>
        <w:rPr>
          <w:spacing w:val="320"/>
        </w:rPr>
        <w:t>前</w:t>
      </w:r>
      <w:r>
        <w:t>言</w:t>
      </w:r>
    </w:p>
    <w:p>
      <w:pPr>
        <w:pStyle w:val="56"/>
        <w:ind w:firstLine="420"/>
      </w:pPr>
      <w:r>
        <w:rPr>
          <w:rFonts w:hint="eastAsia"/>
        </w:rPr>
        <w:t>本文件按照GB/T 1.1—2020《标准化工作导则  第1部分：标准化文件的结构和起草规则》的规定起草。</w:t>
      </w:r>
    </w:p>
    <w:p>
      <w:pPr>
        <w:pStyle w:val="56"/>
        <w:ind w:firstLine="420"/>
      </w:pPr>
    </w:p>
    <w:p>
      <w:pPr>
        <w:pStyle w:val="56"/>
        <w:ind w:firstLine="420"/>
      </w:pPr>
      <w:r>
        <w:rPr>
          <w:rFonts w:hint="eastAsia"/>
        </w:rPr>
        <w:t>本文件由中国科学技术大学附属第一医院（安徽省立医院）提出。</w:t>
      </w:r>
    </w:p>
    <w:p>
      <w:pPr>
        <w:pStyle w:val="56"/>
        <w:ind w:firstLine="420"/>
      </w:pPr>
      <w:r>
        <w:rPr>
          <w:rFonts w:hint="eastAsia"/>
        </w:rPr>
        <w:t>本文件由安徽省卫生健康委员会归口。</w:t>
      </w:r>
    </w:p>
    <w:p>
      <w:pPr>
        <w:pStyle w:val="56"/>
        <w:ind w:firstLine="420"/>
        <w:rPr>
          <w:rFonts w:hint="eastAsia"/>
        </w:rPr>
      </w:pPr>
      <w:r>
        <w:rPr>
          <w:rFonts w:hint="eastAsia"/>
        </w:rPr>
        <w:t>本文件起草单位：</w:t>
      </w:r>
    </w:p>
    <w:p>
      <w:pPr>
        <w:pStyle w:val="56"/>
        <w:ind w:firstLine="420"/>
      </w:pPr>
      <w:r>
        <w:rPr>
          <w:rFonts w:hint="eastAsia"/>
        </w:rPr>
        <w:t>本文件主要起草人：</w:t>
      </w:r>
    </w:p>
    <w:p>
      <w:pPr>
        <w:pStyle w:val="56"/>
        <w:ind w:firstLine="420"/>
        <w:sectPr>
          <w:headerReference r:id="rId7" w:type="default"/>
          <w:footerReference r:id="rId9" w:type="default"/>
          <w:headerReference r:id="rId8" w:type="even"/>
          <w:pgSz w:w="11906" w:h="16838"/>
          <w:pgMar w:top="1928" w:right="1134" w:bottom="1134" w:left="1134" w:header="1418" w:footer="1134" w:gutter="284"/>
          <w:pgNumType w:fmt="upperRoman" w:start="1"/>
          <w:cols w:space="425" w:num="1"/>
          <w:formProt w:val="0"/>
          <w:docGrid w:type="lines" w:linePitch="312" w:charSpace="0"/>
        </w:sectPr>
      </w:pPr>
      <w:bookmarkStart w:id="45" w:name="_GoBack"/>
      <w:bookmarkEnd w:id="45"/>
    </w:p>
    <w:bookmarkEnd w:id="21"/>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lock w:val="sdtLocked"/>
        <w:placeholder>
          <w:docPart w:val="4B4A1FF96CF94034897D5677AEC5EA65"/>
        </w:placeholder>
      </w:sdtPr>
      <w:sdtContent>
        <w:p>
          <w:pPr>
            <w:pStyle w:val="177"/>
            <w:spacing w:before="3" w:beforeLines="1" w:after="686" w:afterLines="220"/>
          </w:pPr>
          <w:bookmarkStart w:id="23" w:name="NEW_STAND_NAME"/>
          <w:r>
            <w:rPr>
              <w:rFonts w:hint="eastAsia"/>
            </w:rPr>
            <w:t>医疗机构互联网医院建设规范</w:t>
          </w:r>
        </w:p>
      </w:sdtContent>
    </w:sdt>
    <w:bookmarkEnd w:id="23"/>
    <w:p>
      <w:pPr>
        <w:pStyle w:val="104"/>
        <w:spacing w:before="312" w:after="312"/>
      </w:pPr>
      <w:bookmarkStart w:id="24" w:name="_Toc17233325"/>
      <w:bookmarkStart w:id="25" w:name="_Toc17233333"/>
      <w:bookmarkStart w:id="26" w:name="_Toc24884218"/>
      <w:bookmarkStart w:id="27" w:name="_Toc24884211"/>
      <w:bookmarkStart w:id="28" w:name="_Toc26648465"/>
      <w:bookmarkStart w:id="29" w:name="_Toc26718930"/>
      <w:bookmarkStart w:id="30" w:name="_Toc26986530"/>
      <w:bookmarkStart w:id="31" w:name="_Toc97191423"/>
      <w:bookmarkStart w:id="32" w:name="_Toc26986771"/>
      <w:r>
        <w:rPr>
          <w:rFonts w:hint="eastAsia"/>
        </w:rPr>
        <w:t>范围</w:t>
      </w:r>
      <w:bookmarkEnd w:id="24"/>
      <w:bookmarkEnd w:id="25"/>
      <w:bookmarkEnd w:id="26"/>
      <w:bookmarkEnd w:id="27"/>
      <w:bookmarkEnd w:id="28"/>
      <w:bookmarkEnd w:id="29"/>
      <w:bookmarkEnd w:id="30"/>
      <w:bookmarkEnd w:id="31"/>
      <w:bookmarkEnd w:id="32"/>
    </w:p>
    <w:p>
      <w:pPr>
        <w:pStyle w:val="56"/>
        <w:ind w:firstLine="420"/>
      </w:pPr>
      <w:bookmarkStart w:id="33" w:name="_Toc17233334"/>
      <w:bookmarkStart w:id="34" w:name="_Toc17233326"/>
      <w:bookmarkStart w:id="35" w:name="_Toc24884219"/>
      <w:bookmarkStart w:id="36" w:name="_Toc26648466"/>
      <w:bookmarkStart w:id="37" w:name="_Toc24884212"/>
      <w:r>
        <w:rPr>
          <w:rFonts w:hint="eastAsia"/>
        </w:rPr>
        <w:t>本文件规定了医疗机构互联网医院建设的基本要求、应用功能规划、业务流程设计、信息网络建设、质量控制等内容。</w:t>
      </w:r>
    </w:p>
    <w:p>
      <w:pPr>
        <w:pStyle w:val="56"/>
        <w:ind w:firstLine="420"/>
      </w:pPr>
      <w:r>
        <w:rPr>
          <w:rFonts w:hint="eastAsia"/>
        </w:rPr>
        <w:t>本文件适用于二级及以上医疗机构互联网医院的建设。</w:t>
      </w:r>
    </w:p>
    <w:p>
      <w:pPr>
        <w:pStyle w:val="104"/>
        <w:spacing w:before="312" w:after="312"/>
      </w:pPr>
      <w:bookmarkStart w:id="38" w:name="_Toc26986531"/>
      <w:bookmarkStart w:id="39" w:name="_Toc26986772"/>
      <w:bookmarkStart w:id="40" w:name="_Toc26718931"/>
      <w:bookmarkStart w:id="41" w:name="_Toc97191424"/>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5B9B529A72D44C7DAA64D0FCFDF83EE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GB/T 22239—2019</w:t>
      </w:r>
      <w:r>
        <w:t xml:space="preserve"> </w:t>
      </w:r>
      <w:r>
        <w:rPr>
          <w:rFonts w:hint="eastAsia"/>
        </w:rPr>
        <w:t xml:space="preserve"> 信息安全技术  网络安全等级保护基本要求</w:t>
      </w:r>
    </w:p>
    <w:p>
      <w:pPr>
        <w:pStyle w:val="56"/>
        <w:ind w:firstLine="420"/>
      </w:pPr>
      <w:r>
        <w:rPr>
          <w:rFonts w:hint="eastAsia"/>
        </w:rPr>
        <w:t xml:space="preserve">GB/T 35273 </w:t>
      </w:r>
      <w:r>
        <w:t xml:space="preserve"> </w:t>
      </w:r>
      <w:r>
        <w:rPr>
          <w:rFonts w:hint="eastAsia"/>
        </w:rPr>
        <w:t>信息安全技术 个人信息安全规范</w:t>
      </w:r>
    </w:p>
    <w:p>
      <w:pPr>
        <w:pStyle w:val="56"/>
        <w:ind w:firstLine="420"/>
      </w:pPr>
      <w:r>
        <w:rPr>
          <w:rFonts w:hint="eastAsia"/>
        </w:rPr>
        <w:t>GB/T</w:t>
      </w:r>
      <w:r>
        <w:t xml:space="preserve"> </w:t>
      </w:r>
      <w:r>
        <w:rPr>
          <w:rFonts w:hint="eastAsia"/>
        </w:rPr>
        <w:t xml:space="preserve">39725 </w:t>
      </w:r>
      <w:r>
        <w:t xml:space="preserve"> </w:t>
      </w:r>
      <w:r>
        <w:rPr>
          <w:rFonts w:hint="eastAsia"/>
        </w:rPr>
        <w:t>信息安全技术 健康医疗数据安全指南</w:t>
      </w:r>
    </w:p>
    <w:p>
      <w:pPr>
        <w:pStyle w:val="56"/>
        <w:ind w:firstLine="420"/>
        <w:rPr>
          <w:rFonts w:hint="eastAsia"/>
        </w:rPr>
      </w:pPr>
      <w:r>
        <w:rPr>
          <w:rFonts w:hint="eastAsia"/>
        </w:rPr>
        <w:t xml:space="preserve">GB 50174—2017 </w:t>
      </w:r>
      <w:r>
        <w:t xml:space="preserve"> </w:t>
      </w:r>
      <w:r>
        <w:rPr>
          <w:rFonts w:hint="eastAsia"/>
        </w:rPr>
        <w:t>数据中心设计规范</w:t>
      </w:r>
    </w:p>
    <w:p>
      <w:pPr>
        <w:pStyle w:val="56"/>
        <w:ind w:firstLine="420"/>
      </w:pPr>
      <w:r>
        <w:rPr>
          <w:rFonts w:hint="eastAsia"/>
        </w:rPr>
        <w:t>GM/T</w:t>
      </w:r>
      <w:r>
        <w:t xml:space="preserve"> </w:t>
      </w:r>
      <w:r>
        <w:rPr>
          <w:rFonts w:hint="eastAsia"/>
        </w:rPr>
        <w:t xml:space="preserve">0054 </w:t>
      </w:r>
      <w:r>
        <w:t xml:space="preserve"> </w:t>
      </w:r>
      <w:r>
        <w:rPr>
          <w:rFonts w:hint="eastAsia"/>
        </w:rPr>
        <w:t>信息系统密码应用基本要求</w:t>
      </w:r>
    </w:p>
    <w:p>
      <w:pPr>
        <w:pStyle w:val="104"/>
        <w:spacing w:before="312" w:after="312"/>
      </w:pPr>
      <w:bookmarkStart w:id="42" w:name="_Toc97191425"/>
      <w:r>
        <w:rPr>
          <w:rFonts w:hint="eastAsia"/>
          <w:szCs w:val="21"/>
        </w:rPr>
        <w:t>术语和定义</w:t>
      </w:r>
      <w:bookmarkEnd w:id="42"/>
    </w:p>
    <w:sdt>
      <w:sdtPr>
        <w:id w:val="-1909835108"/>
        <w:placeholder>
          <w:docPart w:val="4E364DB8320B425EB8FE01DB58A4A89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3" w:name="_Toc26986532"/>
          <w:bookmarkEnd w:id="43"/>
          <w:r>
            <w:t>下列术语和定义适用于本文件。</w:t>
          </w:r>
        </w:p>
      </w:sdtContent>
    </w:sdt>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互联网医院 </w:t>
      </w:r>
      <w:r>
        <w:rPr>
          <w:rFonts w:ascii="黑体" w:hAnsi="黑体" w:eastAsia="黑体"/>
        </w:rPr>
        <w:t xml:space="preserve"> </w:t>
      </w:r>
      <w:r>
        <w:rPr>
          <w:rFonts w:hint="eastAsia" w:ascii="黑体" w:hAnsi="黑体" w:eastAsia="黑体"/>
        </w:rPr>
        <w:t>internet hospital</w:t>
      </w:r>
    </w:p>
    <w:p>
      <w:pPr>
        <w:pStyle w:val="56"/>
        <w:ind w:firstLine="420"/>
      </w:pPr>
      <w:r>
        <w:rPr>
          <w:rFonts w:hint="eastAsia"/>
        </w:rPr>
        <w:t>以实体医院为基础，利用“互联网+”技术提供线上诊疗相关服务的医疗机构。</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互联网诊疗 </w:t>
      </w:r>
      <w:r>
        <w:rPr>
          <w:rFonts w:ascii="黑体" w:hAnsi="黑体" w:eastAsia="黑体"/>
        </w:rPr>
        <w:t xml:space="preserve"> </w:t>
      </w:r>
      <w:r>
        <w:rPr>
          <w:rFonts w:hint="eastAsia" w:ascii="黑体" w:hAnsi="黑体" w:eastAsia="黑体"/>
        </w:rPr>
        <w:t>internet diagnosis and treatment</w:t>
      </w:r>
    </w:p>
    <w:p>
      <w:pPr>
        <w:pStyle w:val="56"/>
        <w:ind w:firstLine="420"/>
      </w:pPr>
      <w:r>
        <w:rPr>
          <w:rFonts w:hint="eastAsia"/>
        </w:rPr>
        <w:t>医疗机构注册的医生通过</w:t>
      </w:r>
      <w:r>
        <w:rPr>
          <w:rFonts w:hint="eastAsia" w:ascii="黑体" w:hAnsi="黑体" w:eastAsia="黑体"/>
        </w:rPr>
        <w:t>互联网医院</w:t>
      </w:r>
      <w:r>
        <w:rPr>
          <w:rFonts w:hint="eastAsia"/>
        </w:rPr>
        <w:t>（3</w:t>
      </w:r>
      <w:r>
        <w:t>.1</w:t>
      </w:r>
      <w:r>
        <w:rPr>
          <w:rFonts w:hint="eastAsia"/>
        </w:rPr>
        <w:t>）开展部分常见病、慢性病复诊、“互联网+家庭医生”、“互联网+护理”等服务。</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互联网诊疗服务监管平台 </w:t>
      </w:r>
      <w:r>
        <w:rPr>
          <w:rFonts w:ascii="黑体" w:hAnsi="黑体" w:eastAsia="黑体"/>
        </w:rPr>
        <w:t xml:space="preserve"> </w:t>
      </w:r>
      <w:r>
        <w:rPr>
          <w:rFonts w:hint="eastAsia" w:ascii="黑体" w:hAnsi="黑体" w:eastAsia="黑体"/>
        </w:rPr>
        <w:t xml:space="preserve">supervision platform of internet </w:t>
      </w:r>
      <w:r>
        <w:rPr>
          <w:rFonts w:ascii="黑体" w:hAnsi="黑体" w:eastAsia="黑体"/>
        </w:rPr>
        <w:t>diagnosis and treatment</w:t>
      </w:r>
    </w:p>
    <w:p>
      <w:pPr>
        <w:pStyle w:val="56"/>
        <w:ind w:firstLine="420"/>
      </w:pPr>
      <w:r>
        <w:rPr>
          <w:rFonts w:hint="eastAsia"/>
        </w:rPr>
        <w:t>由省级卫生健康行政主管部门建立，对互联网医院及医生真实性、诊疗行为合规性、药品处方合理性和诊疗过程等进行实时监管与预警的平台。</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处方流转  circulation of prescriptions</w:t>
      </w:r>
    </w:p>
    <w:p>
      <w:pPr>
        <w:pStyle w:val="56"/>
        <w:ind w:firstLine="420"/>
      </w:pPr>
      <w:r>
        <w:rPr>
          <w:rFonts w:hint="eastAsia"/>
        </w:rPr>
        <w:t>电子处方在医疗、医药机构内及机构间发送、接收、互认的过程。</w:t>
      </w:r>
    </w:p>
    <w:p>
      <w:pPr>
        <w:pStyle w:val="104"/>
        <w:spacing w:before="312" w:after="312"/>
      </w:pPr>
      <w:r>
        <w:rPr>
          <w:rFonts w:hint="eastAsia"/>
        </w:rPr>
        <w:t>缩略语</w:t>
      </w:r>
    </w:p>
    <w:p>
      <w:pPr>
        <w:pStyle w:val="56"/>
        <w:ind w:firstLine="420"/>
      </w:pPr>
      <w:r>
        <w:rPr>
          <w:rFonts w:hint="eastAsia"/>
        </w:rPr>
        <w:t>下列缩略语适用于本文件。</w:t>
      </w:r>
    </w:p>
    <w:p>
      <w:pPr>
        <w:pStyle w:val="56"/>
        <w:ind w:firstLine="420"/>
      </w:pPr>
      <w:r>
        <w:rPr>
          <w:rFonts w:hint="eastAsia"/>
        </w:rPr>
        <w:t>EMR：电子病历（Electronic Medical Record）</w:t>
      </w:r>
    </w:p>
    <w:p>
      <w:pPr>
        <w:pStyle w:val="56"/>
        <w:ind w:firstLine="420"/>
      </w:pPr>
      <w:r>
        <w:rPr>
          <w:rFonts w:hint="eastAsia"/>
        </w:rPr>
        <w:t>HIS：医院信息系统（Hospital Information System）</w:t>
      </w:r>
    </w:p>
    <w:p>
      <w:pPr>
        <w:pStyle w:val="56"/>
        <w:ind w:firstLine="420"/>
      </w:pPr>
      <w:r>
        <w:rPr>
          <w:rFonts w:hint="eastAsia"/>
        </w:rPr>
        <w:t>LIS：实验室/检验科信息系统（Laboratory Information System）</w:t>
      </w:r>
    </w:p>
    <w:p>
      <w:pPr>
        <w:pStyle w:val="56"/>
        <w:ind w:firstLine="420"/>
      </w:pPr>
      <w:r>
        <w:rPr>
          <w:rFonts w:hint="eastAsia"/>
        </w:rPr>
        <w:t>PACS：影像归档和通信系统（Picture Archiving Communication System）</w:t>
      </w:r>
    </w:p>
    <w:p>
      <w:pPr>
        <w:pStyle w:val="56"/>
        <w:ind w:firstLine="420"/>
      </w:pPr>
      <w:r>
        <w:rPr>
          <w:rFonts w:hint="eastAsia"/>
        </w:rPr>
        <w:t>V</w:t>
      </w:r>
      <w:r>
        <w:t>PN</w:t>
      </w:r>
      <w:r>
        <w:rPr>
          <w:rFonts w:hint="eastAsia"/>
        </w:rPr>
        <w:t>：虚拟专用网络（Virtual Private Network）</w:t>
      </w:r>
    </w:p>
    <w:p>
      <w:pPr>
        <w:pStyle w:val="104"/>
        <w:spacing w:before="312" w:after="312"/>
      </w:pPr>
      <w:r>
        <w:rPr>
          <w:rFonts w:hint="eastAsia"/>
        </w:rPr>
        <w:t>基本要求</w:t>
      </w:r>
    </w:p>
    <w:p>
      <w:pPr>
        <w:pStyle w:val="105"/>
        <w:spacing w:before="156" w:after="156"/>
      </w:pPr>
      <w:r>
        <w:rPr>
          <w:rFonts w:hint="eastAsia"/>
        </w:rPr>
        <w:t>准入要求</w:t>
      </w:r>
    </w:p>
    <w:p>
      <w:pPr>
        <w:pStyle w:val="65"/>
        <w:spacing w:before="156" w:after="156"/>
      </w:pPr>
      <w:r>
        <w:rPr>
          <w:rFonts w:hint="eastAsia"/>
        </w:rPr>
        <w:t>诊疗科目准入</w:t>
      </w:r>
    </w:p>
    <w:p>
      <w:pPr>
        <w:pStyle w:val="56"/>
        <w:ind w:firstLine="420"/>
      </w:pPr>
      <w:r>
        <w:rPr>
          <w:rFonts w:hint="eastAsia"/>
        </w:rPr>
        <w:t>互联网医院申请设置的诊疗科目不应超出实体医疗机构诊疗科目。互联网医院开设的临床科室，其对应的实体医疗机构临床科室至少有1名副高级以上职称的执业医师注册在实体医疗机构（可多点执业）。</w:t>
      </w:r>
    </w:p>
    <w:p>
      <w:pPr>
        <w:pStyle w:val="65"/>
        <w:spacing w:before="156" w:after="156"/>
      </w:pPr>
      <w:r>
        <w:rPr>
          <w:rFonts w:hint="eastAsia"/>
        </w:rPr>
        <w:t>人员准入</w:t>
      </w:r>
    </w:p>
    <w:p>
      <w:pPr>
        <w:pStyle w:val="56"/>
        <w:ind w:firstLine="420"/>
      </w:pPr>
      <w:r>
        <w:rPr>
          <w:rFonts w:hint="eastAsia"/>
        </w:rPr>
        <w:t>互联网医院提供诊疗服务的医师、护士，应当依法取得相应的执业资质，应能在国家医师护士电子化注册系统中进行查询。医师在依托的实体医疗机构或其他医疗机构注册，具有3年以上独立临床工作经验。互联网医院有专职药师负责在线处方审核工作，确保业务时间至少有一名药师在岗审核处方。互联网医院应当对医务人员进行电子实名认证。</w:t>
      </w:r>
    </w:p>
    <w:p>
      <w:pPr>
        <w:pStyle w:val="65"/>
        <w:spacing w:before="156" w:after="156"/>
      </w:pPr>
      <w:r>
        <w:rPr>
          <w:rFonts w:hint="eastAsia"/>
        </w:rPr>
        <w:t>电子病历水平要求</w:t>
      </w:r>
    </w:p>
    <w:p>
      <w:pPr>
        <w:pStyle w:val="56"/>
        <w:ind w:firstLine="420"/>
      </w:pPr>
      <w:r>
        <w:rPr>
          <w:rFonts w:hint="eastAsia"/>
        </w:rPr>
        <w:t>依托的实体医疗机构电子病历应用水平应实行分级评价，三级医疗机构电子病历应用水平分级评价级别要达到4级及以上，二级医疗机构电子病历系统应用水平分级评价级别达到3级及以上。</w:t>
      </w:r>
    </w:p>
    <w:p>
      <w:pPr>
        <w:pStyle w:val="65"/>
        <w:spacing w:before="156" w:after="156"/>
      </w:pPr>
      <w:r>
        <w:rPr>
          <w:rFonts w:hint="eastAsia"/>
        </w:rPr>
        <w:t>平台对接要求</w:t>
      </w:r>
    </w:p>
    <w:p>
      <w:pPr>
        <w:pStyle w:val="56"/>
        <w:ind w:firstLine="420"/>
      </w:pPr>
      <w:r>
        <w:rPr>
          <w:rFonts w:hint="eastAsia"/>
        </w:rPr>
        <w:t>实体医疗机构应当与省互联网诊疗服务监管平台对接，及时上传、更新《医疗机构执业许可证》、医务人员执业情况等信息，主动接受监督。</w:t>
      </w:r>
    </w:p>
    <w:p>
      <w:pPr>
        <w:pStyle w:val="65"/>
        <w:spacing w:before="156" w:after="156"/>
      </w:pPr>
      <w:r>
        <w:rPr>
          <w:rFonts w:hint="eastAsia"/>
        </w:rPr>
        <w:t>医疗责任险</w:t>
      </w:r>
    </w:p>
    <w:p>
      <w:pPr>
        <w:pStyle w:val="56"/>
        <w:ind w:firstLine="420"/>
      </w:pPr>
      <w:r>
        <w:rPr>
          <w:rFonts w:hint="eastAsia"/>
        </w:rPr>
        <w:t>实体医疗机构或与实体医疗机构共同申请互联网医院的第三方，应为互联网医院提供诊疗的医师、护士购买医疗责任险。</w:t>
      </w:r>
    </w:p>
    <w:p>
      <w:pPr>
        <w:pStyle w:val="105"/>
        <w:spacing w:before="156" w:after="156"/>
      </w:pPr>
      <w:r>
        <w:rPr>
          <w:rFonts w:hint="eastAsia"/>
        </w:rPr>
        <w:t>设施设备要求</w:t>
      </w:r>
    </w:p>
    <w:p>
      <w:pPr>
        <w:pStyle w:val="65"/>
        <w:spacing w:before="156" w:after="156"/>
      </w:pPr>
      <w:r>
        <w:rPr>
          <w:rFonts w:hint="eastAsia"/>
        </w:rPr>
        <w:t>服务器</w:t>
      </w:r>
    </w:p>
    <w:p>
      <w:pPr>
        <w:pStyle w:val="56"/>
        <w:ind w:firstLine="420"/>
      </w:pPr>
      <w:r>
        <w:rPr>
          <w:rFonts w:hint="eastAsia"/>
        </w:rPr>
        <w:t>用于互联网医院运行的服务器不少于2套，数据库服务器与应用系统服务器应独立划分，存放服务器的机房应当具备双路供电或不间断电源(UPS)或紧急发电设施。互联网医院运行的服务器不应存放在境外。</w:t>
      </w:r>
    </w:p>
    <w:p>
      <w:pPr>
        <w:pStyle w:val="65"/>
        <w:spacing w:before="156" w:after="156"/>
      </w:pPr>
      <w:r>
        <w:rPr>
          <w:rFonts w:hint="eastAsia"/>
        </w:rPr>
        <w:t>音视频通讯设备</w:t>
      </w:r>
    </w:p>
    <w:p>
      <w:pPr>
        <w:pStyle w:val="56"/>
        <w:ind w:firstLine="420"/>
      </w:pPr>
      <w:r>
        <w:rPr>
          <w:rFonts w:hint="eastAsia"/>
        </w:rPr>
        <w:t>拥有至少2套开展互联网医院业务的音视频通讯系统，包含必要的软件系统和硬件设备。</w:t>
      </w:r>
    </w:p>
    <w:p>
      <w:pPr>
        <w:pStyle w:val="65"/>
        <w:spacing w:before="156" w:after="156"/>
      </w:pPr>
      <w:r>
        <w:rPr>
          <w:rFonts w:hint="eastAsia"/>
        </w:rPr>
        <w:t>网络</w:t>
      </w:r>
    </w:p>
    <w:p>
      <w:pPr>
        <w:pStyle w:val="56"/>
        <w:ind w:firstLine="420"/>
      </w:pPr>
      <w:r>
        <w:rPr>
          <w:rFonts w:hint="eastAsia"/>
        </w:rPr>
        <w:t>业务使用的网络带宽不低于10</w:t>
      </w:r>
      <w:r>
        <w:t>0</w:t>
      </w:r>
      <w:r>
        <w:rPr>
          <w:rFonts w:hint="eastAsia"/>
        </w:rPr>
        <w:t>Mbps，且至少由两家宽带网络供应商提供服务。</w:t>
      </w:r>
    </w:p>
    <w:p>
      <w:pPr>
        <w:pStyle w:val="105"/>
        <w:spacing w:before="156" w:after="156"/>
      </w:pPr>
      <w:r>
        <w:rPr>
          <w:rFonts w:hint="eastAsia"/>
        </w:rPr>
        <w:t>管理体系要求</w:t>
      </w:r>
    </w:p>
    <w:p>
      <w:pPr>
        <w:pStyle w:val="56"/>
        <w:ind w:firstLine="420"/>
      </w:pPr>
      <w:r>
        <w:rPr>
          <w:rFonts w:hint="eastAsia"/>
        </w:rPr>
        <w:t>医疗机构应当设立专门的互联网医院运营管理部门，负责互联网诊疗的医疗质量、医疗安全、药学服务、信息技术等管理与协调工作。建立完善的规章制度，包括但不限于：</w:t>
      </w:r>
    </w:p>
    <w:p>
      <w:pPr>
        <w:pStyle w:val="132"/>
      </w:pPr>
      <w:r>
        <w:rPr>
          <w:rFonts w:hint="eastAsia"/>
        </w:rPr>
        <w:t>互联网医院信息公开制度；</w:t>
      </w:r>
    </w:p>
    <w:p>
      <w:pPr>
        <w:pStyle w:val="132"/>
      </w:pPr>
      <w:r>
        <w:rPr>
          <w:rFonts w:hint="eastAsia"/>
        </w:rPr>
        <w:t>互联网医疗服务管理制度；</w:t>
      </w:r>
    </w:p>
    <w:p>
      <w:pPr>
        <w:pStyle w:val="132"/>
      </w:pPr>
      <w:r>
        <w:rPr>
          <w:rFonts w:hint="eastAsia"/>
        </w:rPr>
        <w:t>互联网医院信息系统使用管理制度；</w:t>
      </w:r>
    </w:p>
    <w:p>
      <w:pPr>
        <w:pStyle w:val="132"/>
      </w:pPr>
      <w:r>
        <w:rPr>
          <w:rFonts w:hint="eastAsia"/>
        </w:rPr>
        <w:t>互联网医疗质量控制和评价制度；</w:t>
      </w:r>
    </w:p>
    <w:p>
      <w:pPr>
        <w:pStyle w:val="132"/>
      </w:pPr>
      <w:r>
        <w:rPr>
          <w:rFonts w:hint="eastAsia"/>
        </w:rPr>
        <w:t>在线处方管理制度；</w:t>
      </w:r>
    </w:p>
    <w:p>
      <w:pPr>
        <w:pStyle w:val="132"/>
      </w:pPr>
      <w:r>
        <w:rPr>
          <w:rFonts w:hint="eastAsia"/>
        </w:rPr>
        <w:t>患者知情同意与登记制度；</w:t>
      </w:r>
    </w:p>
    <w:p>
      <w:pPr>
        <w:pStyle w:val="132"/>
      </w:pPr>
      <w:r>
        <w:rPr>
          <w:rFonts w:hint="eastAsia"/>
        </w:rPr>
        <w:t>在线医疗文书管理制度；</w:t>
      </w:r>
    </w:p>
    <w:p>
      <w:pPr>
        <w:pStyle w:val="132"/>
      </w:pPr>
      <w:r>
        <w:rPr>
          <w:rFonts w:hint="eastAsia"/>
        </w:rPr>
        <w:t>在线复诊患者风险评估与突发状况预防处置制度；</w:t>
      </w:r>
    </w:p>
    <w:p>
      <w:pPr>
        <w:pStyle w:val="132"/>
      </w:pPr>
      <w:r>
        <w:rPr>
          <w:rFonts w:hint="eastAsia"/>
        </w:rPr>
        <w:t>人员培训考核和奖惩制度；</w:t>
      </w:r>
    </w:p>
    <w:p>
      <w:pPr>
        <w:pStyle w:val="132"/>
      </w:pPr>
      <w:r>
        <w:rPr>
          <w:rFonts w:hint="eastAsia" w:hAnsi="宋体"/>
          <w:color w:val="000000"/>
          <w:szCs w:val="21"/>
        </w:rPr>
        <w:t>互联网医疗投诉与纠纷管理制度；</w:t>
      </w:r>
    </w:p>
    <w:p>
      <w:pPr>
        <w:pStyle w:val="132"/>
      </w:pPr>
      <w:r>
        <w:rPr>
          <w:rFonts w:hint="eastAsia"/>
        </w:rPr>
        <w:t>互联网医院岗位职责；</w:t>
      </w:r>
    </w:p>
    <w:p>
      <w:pPr>
        <w:pStyle w:val="132"/>
      </w:pPr>
      <w:r>
        <w:rPr>
          <w:rFonts w:hint="eastAsia"/>
        </w:rPr>
        <w:t>停电、断网、设备故障等突发事件的应急预案；</w:t>
      </w:r>
    </w:p>
    <w:p>
      <w:pPr>
        <w:pStyle w:val="132"/>
      </w:pPr>
      <w:r>
        <w:rPr>
          <w:rFonts w:hint="eastAsia"/>
        </w:rPr>
        <w:t>互联网医疗服务不良事件防范和处置流程。</w:t>
      </w:r>
    </w:p>
    <w:p>
      <w:pPr>
        <w:pStyle w:val="104"/>
        <w:spacing w:before="312" w:after="312"/>
      </w:pPr>
      <w:r>
        <w:rPr>
          <w:rFonts w:hint="eastAsia"/>
        </w:rPr>
        <w:t>应用功能建设</w:t>
      </w:r>
    </w:p>
    <w:p>
      <w:pPr>
        <w:pStyle w:val="105"/>
        <w:spacing w:before="156" w:after="156"/>
      </w:pPr>
      <w:r>
        <w:rPr>
          <w:rFonts w:hint="eastAsia"/>
        </w:rPr>
        <w:t>推荐系统功能架构</w:t>
      </w:r>
    </w:p>
    <w:p>
      <w:pPr>
        <w:pStyle w:val="56"/>
        <w:ind w:firstLine="420"/>
      </w:pPr>
      <w:r>
        <w:rPr>
          <w:rFonts w:hint="eastAsia"/>
        </w:rPr>
        <w:t>互联网医院应包括患者端、医生端、药师端、医院管理端等，为患者提供相关服务的应用入口，与医院信息系统（HIS）、实验室/检验科信息系统（LIS）、影像归档和通信系统（PACS）、电子病历系统（EMR）等进行对接。推荐系统功能架构见图1。</w:t>
      </w:r>
    </w:p>
    <w:p>
      <w:pPr>
        <w:pStyle w:val="56"/>
        <w:ind w:firstLine="0" w:firstLineChars="0"/>
        <w:jc w:val="center"/>
      </w:pPr>
      <w:r>
        <w:drawing>
          <wp:inline distT="0" distB="0" distL="114300" distR="114300">
            <wp:extent cx="4150360" cy="3301365"/>
            <wp:effectExtent l="0" t="0" r="2540" b="13335"/>
            <wp:docPr id="1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6"/>
                    <pic:cNvPicPr>
                      <a:picLocks noChangeAspect="1"/>
                    </pic:cNvPicPr>
                  </pic:nvPicPr>
                  <pic:blipFill>
                    <a:blip r:embed="rId12"/>
                    <a:stretch>
                      <a:fillRect/>
                    </a:stretch>
                  </pic:blipFill>
                  <pic:spPr>
                    <a:xfrm>
                      <a:off x="0" y="0"/>
                      <a:ext cx="4150360" cy="3301365"/>
                    </a:xfrm>
                    <a:prstGeom prst="rect">
                      <a:avLst/>
                    </a:prstGeom>
                    <a:noFill/>
                    <a:ln>
                      <a:noFill/>
                    </a:ln>
                  </pic:spPr>
                </pic:pic>
              </a:graphicData>
            </a:graphic>
          </wp:inline>
        </w:drawing>
      </w:r>
    </w:p>
    <w:p>
      <w:pPr>
        <w:pStyle w:val="114"/>
        <w:spacing w:before="156" w:after="156"/>
      </w:pPr>
      <w:r>
        <w:rPr>
          <w:rFonts w:hint="eastAsia"/>
        </w:rPr>
        <w:t>推荐系统功能架构</w:t>
      </w:r>
    </w:p>
    <w:p>
      <w:pPr>
        <w:pStyle w:val="105"/>
        <w:spacing w:before="156" w:after="156"/>
      </w:pPr>
      <w:r>
        <w:rPr>
          <w:rFonts w:hint="eastAsia"/>
        </w:rPr>
        <w:t>系统应用功能</w:t>
      </w:r>
    </w:p>
    <w:p>
      <w:pPr>
        <w:pStyle w:val="56"/>
        <w:ind w:firstLine="420"/>
        <w:rPr>
          <w:rFonts w:hAnsi="宋体" w:cs="宋体"/>
        </w:rPr>
      </w:pPr>
      <w:r>
        <w:rPr>
          <w:rFonts w:hint="eastAsia" w:hAnsi="宋体" w:cs="宋体"/>
        </w:rPr>
        <w:t>互联网医院</w:t>
      </w:r>
      <w:r>
        <w:rPr>
          <w:rFonts w:hint="eastAsia"/>
        </w:rPr>
        <w:t>应用功能</w:t>
      </w:r>
      <w:r>
        <w:rPr>
          <w:rFonts w:hint="eastAsia" w:hAnsi="宋体" w:cs="宋体"/>
        </w:rPr>
        <w:t>应包含患者端、医生端、药师端、医院管理端必选功能。在此基础上，医疗机构还可以根据自身需求上线可选功能，具体见表1。</w:t>
      </w:r>
    </w:p>
    <w:p>
      <w:pPr>
        <w:pStyle w:val="112"/>
        <w:spacing w:before="156" w:after="156"/>
      </w:pPr>
      <w:r>
        <w:rPr>
          <w:rFonts w:hint="eastAsia"/>
        </w:rPr>
        <w:t>互联网医院应用功能建设清单</w:t>
      </w:r>
    </w:p>
    <w:tbl>
      <w:tblPr>
        <w:tblStyle w:val="26"/>
        <w:tblW w:w="9334" w:type="dxa"/>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557"/>
        <w:gridCol w:w="709"/>
        <w:gridCol w:w="1559"/>
        <w:gridCol w:w="4962"/>
        <w:gridCol w:w="1547"/>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340" w:hRule="atLeast"/>
        </w:trPr>
        <w:tc>
          <w:tcPr>
            <w:tcW w:w="557" w:type="dxa"/>
            <w:tcBorders>
              <w:top w:val="single" w:color="000000" w:sz="8" w:space="0"/>
              <w:bottom w:val="single" w:color="000000" w:sz="8" w:space="0"/>
            </w:tcBorders>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序号</w:t>
            </w:r>
          </w:p>
        </w:tc>
        <w:tc>
          <w:tcPr>
            <w:tcW w:w="709" w:type="dxa"/>
            <w:tcBorders>
              <w:top w:val="single" w:color="000000" w:sz="8" w:space="0"/>
              <w:bottom w:val="single" w:color="000000" w:sz="8" w:space="0"/>
            </w:tcBorders>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类别</w:t>
            </w:r>
          </w:p>
        </w:tc>
        <w:tc>
          <w:tcPr>
            <w:tcW w:w="1559" w:type="dxa"/>
            <w:tcBorders>
              <w:top w:val="single" w:color="000000" w:sz="8" w:space="0"/>
              <w:bottom w:val="single" w:color="000000" w:sz="8" w:space="0"/>
            </w:tcBorders>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功能应用</w:t>
            </w:r>
          </w:p>
        </w:tc>
        <w:tc>
          <w:tcPr>
            <w:tcW w:w="4962" w:type="dxa"/>
            <w:tcBorders>
              <w:top w:val="single" w:color="000000" w:sz="8" w:space="0"/>
              <w:bottom w:val="single" w:color="000000" w:sz="8" w:space="0"/>
            </w:tcBorders>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应用功能描述</w:t>
            </w:r>
          </w:p>
        </w:tc>
        <w:tc>
          <w:tcPr>
            <w:tcW w:w="1547" w:type="dxa"/>
            <w:tcBorders>
              <w:top w:val="single" w:color="000000" w:sz="8" w:space="0"/>
              <w:bottom w:val="single" w:color="000000" w:sz="8" w:space="0"/>
            </w:tcBorders>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应用场景</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340" w:hRule="atLeast"/>
        </w:trPr>
        <w:tc>
          <w:tcPr>
            <w:tcW w:w="557" w:type="dxa"/>
            <w:tcBorders>
              <w:top w:val="single" w:color="000000" w:sz="8" w:space="0"/>
            </w:tcBorders>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1</w:t>
            </w:r>
          </w:p>
        </w:tc>
        <w:tc>
          <w:tcPr>
            <w:tcW w:w="709" w:type="dxa"/>
            <w:tcBorders>
              <w:top w:val="single" w:color="000000" w:sz="8" w:space="0"/>
            </w:tcBorders>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必选</w:t>
            </w:r>
          </w:p>
        </w:tc>
        <w:tc>
          <w:tcPr>
            <w:tcW w:w="1559" w:type="dxa"/>
            <w:tcBorders>
              <w:top w:val="single" w:color="000000" w:sz="8" w:space="0"/>
            </w:tcBorders>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就诊人管理</w:t>
            </w:r>
          </w:p>
        </w:tc>
        <w:tc>
          <w:tcPr>
            <w:tcW w:w="4962" w:type="dxa"/>
            <w:tcBorders>
              <w:top w:val="single" w:color="000000" w:sz="8" w:space="0"/>
            </w:tcBorders>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须支持用户通过互联网医院进行实名认证，绑定电子就诊码后，享受互联网诊疗服务。</w:t>
            </w:r>
          </w:p>
        </w:tc>
        <w:tc>
          <w:tcPr>
            <w:tcW w:w="1547" w:type="dxa"/>
            <w:tcBorders>
              <w:top w:val="single" w:color="000000" w:sz="8" w:space="0"/>
            </w:tcBorders>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患者端</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340" w:hRule="atLeast"/>
        </w:trPr>
        <w:tc>
          <w:tcPr>
            <w:tcW w:w="557"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2</w:t>
            </w:r>
          </w:p>
        </w:tc>
        <w:tc>
          <w:tcPr>
            <w:tcW w:w="70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必选</w:t>
            </w:r>
          </w:p>
        </w:tc>
        <w:tc>
          <w:tcPr>
            <w:tcW w:w="1559" w:type="dxa"/>
            <w:shd w:val="clear" w:color="auto" w:fill="auto"/>
            <w:vAlign w:val="center"/>
          </w:tcPr>
          <w:p>
            <w:pPr>
              <w:adjustRightInd/>
              <w:spacing w:line="240" w:lineRule="auto"/>
              <w:jc w:val="center"/>
              <w:rPr>
                <w:rFonts w:ascii="宋体" w:hAnsi="宋体"/>
                <w:sz w:val="18"/>
                <w:szCs w:val="18"/>
              </w:rPr>
            </w:pPr>
            <w:r>
              <w:rPr>
                <w:rFonts w:hint="eastAsia" w:ascii="宋体" w:hAnsi="宋体"/>
                <w:sz w:val="18"/>
                <w:szCs w:val="18"/>
              </w:rPr>
              <w:t>电子签名（CA）</w:t>
            </w:r>
          </w:p>
        </w:tc>
        <w:tc>
          <w:tcPr>
            <w:tcW w:w="4962"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须支持医生在互联网诊疗过程中开具医嘱时（如：处方、检查、检验、住院单等）需进行电子签名（</w:t>
            </w:r>
            <w:r>
              <w:rPr>
                <w:rFonts w:ascii="宋体" w:hAnsi="宋体"/>
                <w:sz w:val="18"/>
                <w:szCs w:val="18"/>
              </w:rPr>
              <w:t>CA</w:t>
            </w:r>
            <w:r>
              <w:rPr>
                <w:rFonts w:hint="eastAsia" w:ascii="宋体" w:hAnsi="宋体"/>
                <w:sz w:val="18"/>
                <w:szCs w:val="18"/>
              </w:rPr>
              <w:t>）确认，保障传递信息的安全性、真实性、可靠性、完整性。</w:t>
            </w:r>
          </w:p>
        </w:tc>
        <w:tc>
          <w:tcPr>
            <w:tcW w:w="1547"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医生端</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340" w:hRule="atLeast"/>
        </w:trPr>
        <w:tc>
          <w:tcPr>
            <w:tcW w:w="557"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3</w:t>
            </w:r>
          </w:p>
        </w:tc>
        <w:tc>
          <w:tcPr>
            <w:tcW w:w="70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必选</w:t>
            </w:r>
          </w:p>
        </w:tc>
        <w:tc>
          <w:tcPr>
            <w:tcW w:w="155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图文问诊咨询</w:t>
            </w:r>
          </w:p>
        </w:tc>
        <w:tc>
          <w:tcPr>
            <w:tcW w:w="4962"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须支持患者在线选取医务人员，患者可在线通过图片、文字等方式进行问诊咨询。</w:t>
            </w:r>
          </w:p>
        </w:tc>
        <w:tc>
          <w:tcPr>
            <w:tcW w:w="1547"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医生端、药师端、患者端</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340" w:hRule="atLeast"/>
        </w:trPr>
        <w:tc>
          <w:tcPr>
            <w:tcW w:w="557"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4</w:t>
            </w:r>
          </w:p>
        </w:tc>
        <w:tc>
          <w:tcPr>
            <w:tcW w:w="70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必选</w:t>
            </w:r>
          </w:p>
        </w:tc>
        <w:tc>
          <w:tcPr>
            <w:tcW w:w="155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在线复诊</w:t>
            </w:r>
          </w:p>
        </w:tc>
        <w:tc>
          <w:tcPr>
            <w:tcW w:w="4962"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须支持</w:t>
            </w:r>
            <w:r>
              <w:rPr>
                <w:rFonts w:ascii="宋体" w:hAnsi="宋体"/>
                <w:sz w:val="18"/>
                <w:szCs w:val="18"/>
              </w:rPr>
              <w:t>互联网诊疗实行实名制，患者有义务提供真实的身份证明及基本信息，</w:t>
            </w:r>
            <w:r>
              <w:rPr>
                <w:rFonts w:hint="eastAsia" w:ascii="宋体" w:hAnsi="宋体"/>
                <w:sz w:val="18"/>
                <w:szCs w:val="18"/>
              </w:rPr>
              <w:t>在</w:t>
            </w:r>
            <w:r>
              <w:rPr>
                <w:rFonts w:ascii="宋体" w:hAnsi="宋体"/>
                <w:sz w:val="18"/>
                <w:szCs w:val="18"/>
              </w:rPr>
              <w:t>就诊时应当提供具有明确诊断的病历资料</w:t>
            </w:r>
            <w:r>
              <w:rPr>
                <w:rFonts w:hint="eastAsia" w:ascii="宋体" w:hAnsi="宋体"/>
                <w:sz w:val="18"/>
                <w:szCs w:val="18"/>
              </w:rPr>
              <w:t>，业务支持医生调阅复诊患者报告单、病历等，并可引用操作患者填写的预问诊内容，医患之间可通过实时通讯技术进行音视频、图文等方式互动。</w:t>
            </w:r>
          </w:p>
        </w:tc>
        <w:tc>
          <w:tcPr>
            <w:tcW w:w="1547"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患者端、医生端</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340" w:hRule="atLeast"/>
        </w:trPr>
        <w:tc>
          <w:tcPr>
            <w:tcW w:w="557"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5</w:t>
            </w:r>
          </w:p>
        </w:tc>
        <w:tc>
          <w:tcPr>
            <w:tcW w:w="70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必选</w:t>
            </w:r>
          </w:p>
        </w:tc>
        <w:tc>
          <w:tcPr>
            <w:tcW w:w="155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病历书写</w:t>
            </w:r>
          </w:p>
        </w:tc>
        <w:tc>
          <w:tcPr>
            <w:tcW w:w="4962"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须支持医生在线开具电子病历，并与依托的实体医疗机构电子病历格式一致、系统共享。系统可辅助医生遵循《医疗机构病历管理规定》和《电子病历应用管理规范（试行）》规定规范书写电子病历，且具备下载功能供患者自助打印，并不断优化操作性能。</w:t>
            </w:r>
          </w:p>
        </w:tc>
        <w:tc>
          <w:tcPr>
            <w:tcW w:w="1547"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医生端、患者端</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340" w:hRule="atLeast"/>
        </w:trPr>
        <w:tc>
          <w:tcPr>
            <w:tcW w:w="557"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6</w:t>
            </w:r>
          </w:p>
        </w:tc>
        <w:tc>
          <w:tcPr>
            <w:tcW w:w="70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必选</w:t>
            </w:r>
          </w:p>
        </w:tc>
        <w:tc>
          <w:tcPr>
            <w:tcW w:w="155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在线处方</w:t>
            </w:r>
          </w:p>
        </w:tc>
        <w:tc>
          <w:tcPr>
            <w:tcW w:w="4962"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须支持在线开具中、西药电子处方，并禁止在线生成精神、麻醉等不适宜在互联网开具的药品处方。既往处方信息可调阅并编辑应用，系统可辅助医生遵守《处方管理办法》等相关规定合理用药。</w:t>
            </w:r>
          </w:p>
        </w:tc>
        <w:tc>
          <w:tcPr>
            <w:tcW w:w="1547"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医生端、药师端、患者端</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340" w:hRule="atLeast"/>
        </w:trPr>
        <w:tc>
          <w:tcPr>
            <w:tcW w:w="557"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7</w:t>
            </w:r>
          </w:p>
        </w:tc>
        <w:tc>
          <w:tcPr>
            <w:tcW w:w="70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必选</w:t>
            </w:r>
          </w:p>
        </w:tc>
        <w:tc>
          <w:tcPr>
            <w:tcW w:w="155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在线审方</w:t>
            </w:r>
          </w:p>
        </w:tc>
        <w:tc>
          <w:tcPr>
            <w:tcW w:w="4962"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医生开具在线处方后，系统须按《互联网诊疗管理办法》等相关规定，进入审方流程，由药师在线审方并进行电子签名（CA）确认，审核通过后再流转至患者处进行处方支付。不应使用人工智能自动生成处方、自动审方等。</w:t>
            </w:r>
          </w:p>
        </w:tc>
        <w:tc>
          <w:tcPr>
            <w:tcW w:w="1547"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药师端</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340" w:hRule="atLeast"/>
        </w:trPr>
        <w:tc>
          <w:tcPr>
            <w:tcW w:w="557"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8</w:t>
            </w:r>
          </w:p>
        </w:tc>
        <w:tc>
          <w:tcPr>
            <w:tcW w:w="70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必选</w:t>
            </w:r>
          </w:p>
        </w:tc>
        <w:tc>
          <w:tcPr>
            <w:tcW w:w="155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在线结算</w:t>
            </w:r>
          </w:p>
        </w:tc>
        <w:tc>
          <w:tcPr>
            <w:tcW w:w="4962"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须具备在线支付、结算功能，就诊过程中产生的诊查费、远程医疗服务费、药品费等，可通过在线支付方式结算。</w:t>
            </w:r>
          </w:p>
        </w:tc>
        <w:tc>
          <w:tcPr>
            <w:tcW w:w="1547"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患者端</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340" w:hRule="atLeast"/>
        </w:trPr>
        <w:tc>
          <w:tcPr>
            <w:tcW w:w="557"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9</w:t>
            </w:r>
          </w:p>
        </w:tc>
        <w:tc>
          <w:tcPr>
            <w:tcW w:w="70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必选</w:t>
            </w:r>
          </w:p>
        </w:tc>
        <w:tc>
          <w:tcPr>
            <w:tcW w:w="155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药品配送</w:t>
            </w:r>
          </w:p>
        </w:tc>
        <w:tc>
          <w:tcPr>
            <w:tcW w:w="4962"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须具备药品配送功能，患者可自主选择自取或快递，系统应与具备药品配送资质的物流企业的业务系统进行对接，并根据患者填写签收地址生成物流订单，药品配送全程追溯，签收应通过信息验证。</w:t>
            </w:r>
          </w:p>
        </w:tc>
        <w:tc>
          <w:tcPr>
            <w:tcW w:w="1547"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患者端</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340" w:hRule="atLeast"/>
        </w:trPr>
        <w:tc>
          <w:tcPr>
            <w:tcW w:w="557"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10</w:t>
            </w:r>
          </w:p>
        </w:tc>
        <w:tc>
          <w:tcPr>
            <w:tcW w:w="70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必选</w:t>
            </w:r>
          </w:p>
        </w:tc>
        <w:tc>
          <w:tcPr>
            <w:tcW w:w="155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自助查询</w:t>
            </w:r>
          </w:p>
        </w:tc>
        <w:tc>
          <w:tcPr>
            <w:tcW w:w="4962"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须支持患者通过互联网医院在线查询就诊记录及报告单等。</w:t>
            </w:r>
          </w:p>
        </w:tc>
        <w:tc>
          <w:tcPr>
            <w:tcW w:w="1547"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患者端</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340" w:hRule="atLeast"/>
        </w:trPr>
        <w:tc>
          <w:tcPr>
            <w:tcW w:w="557"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11</w:t>
            </w:r>
          </w:p>
        </w:tc>
        <w:tc>
          <w:tcPr>
            <w:tcW w:w="70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必选</w:t>
            </w:r>
          </w:p>
        </w:tc>
        <w:tc>
          <w:tcPr>
            <w:tcW w:w="155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就诊评价</w:t>
            </w:r>
          </w:p>
        </w:tc>
        <w:tc>
          <w:tcPr>
            <w:tcW w:w="4962"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须支持患者在就诊结束后对就诊服务进行评价。</w:t>
            </w:r>
          </w:p>
        </w:tc>
        <w:tc>
          <w:tcPr>
            <w:tcW w:w="1547"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患者端</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340" w:hRule="atLeast"/>
        </w:trPr>
        <w:tc>
          <w:tcPr>
            <w:tcW w:w="557"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12</w:t>
            </w:r>
          </w:p>
        </w:tc>
        <w:tc>
          <w:tcPr>
            <w:tcW w:w="70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必选</w:t>
            </w:r>
          </w:p>
        </w:tc>
        <w:tc>
          <w:tcPr>
            <w:tcW w:w="155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执业人员管理</w:t>
            </w:r>
          </w:p>
        </w:tc>
        <w:tc>
          <w:tcPr>
            <w:tcW w:w="4962"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须具备医务人员信息维护管理、权限设置、排班管理等功能</w:t>
            </w:r>
          </w:p>
        </w:tc>
        <w:tc>
          <w:tcPr>
            <w:tcW w:w="1547"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管理端</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340" w:hRule="atLeast"/>
        </w:trPr>
        <w:tc>
          <w:tcPr>
            <w:tcW w:w="557"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13</w:t>
            </w:r>
          </w:p>
        </w:tc>
        <w:tc>
          <w:tcPr>
            <w:tcW w:w="70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必选</w:t>
            </w:r>
          </w:p>
        </w:tc>
        <w:tc>
          <w:tcPr>
            <w:tcW w:w="155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交易管理</w:t>
            </w:r>
          </w:p>
        </w:tc>
        <w:tc>
          <w:tcPr>
            <w:tcW w:w="4962"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须支持通过订单号、电子就诊卡等查询订单记录、异常处理及处理记录等</w:t>
            </w:r>
          </w:p>
        </w:tc>
        <w:tc>
          <w:tcPr>
            <w:tcW w:w="1547"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管理端</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340" w:hRule="atLeast"/>
        </w:trPr>
        <w:tc>
          <w:tcPr>
            <w:tcW w:w="557"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14</w:t>
            </w:r>
          </w:p>
        </w:tc>
        <w:tc>
          <w:tcPr>
            <w:tcW w:w="70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必选</w:t>
            </w:r>
          </w:p>
        </w:tc>
        <w:tc>
          <w:tcPr>
            <w:tcW w:w="155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对帐管理</w:t>
            </w:r>
          </w:p>
        </w:tc>
        <w:tc>
          <w:tcPr>
            <w:tcW w:w="4962"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须支持查看对账列表中对每笔账单的差错单，对账日志和下载对账报表、查看财务汇总、交易场景、交易入口、支付渠道的统计表和汇总图表等</w:t>
            </w:r>
          </w:p>
        </w:tc>
        <w:tc>
          <w:tcPr>
            <w:tcW w:w="1547"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管理端</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340" w:hRule="atLeast"/>
        </w:trPr>
        <w:tc>
          <w:tcPr>
            <w:tcW w:w="557"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15</w:t>
            </w:r>
          </w:p>
        </w:tc>
        <w:tc>
          <w:tcPr>
            <w:tcW w:w="70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必选</w:t>
            </w:r>
          </w:p>
        </w:tc>
        <w:tc>
          <w:tcPr>
            <w:tcW w:w="155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运营管理</w:t>
            </w:r>
          </w:p>
        </w:tc>
        <w:tc>
          <w:tcPr>
            <w:tcW w:w="4962"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须支持一站式追溯展示患者就诊全过程、建立咨询监督、评价管理、投诉管理及相应统计分析</w:t>
            </w:r>
          </w:p>
        </w:tc>
        <w:tc>
          <w:tcPr>
            <w:tcW w:w="1547"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管理端</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340" w:hRule="atLeast"/>
        </w:trPr>
        <w:tc>
          <w:tcPr>
            <w:tcW w:w="557"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16</w:t>
            </w:r>
          </w:p>
        </w:tc>
        <w:tc>
          <w:tcPr>
            <w:tcW w:w="70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必选</w:t>
            </w:r>
          </w:p>
        </w:tc>
        <w:tc>
          <w:tcPr>
            <w:tcW w:w="155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系统管理</w:t>
            </w:r>
          </w:p>
        </w:tc>
        <w:tc>
          <w:tcPr>
            <w:tcW w:w="4962"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须实现医院公告发布管理、角色管理、帐号管理及日志管理功能</w:t>
            </w:r>
          </w:p>
        </w:tc>
        <w:tc>
          <w:tcPr>
            <w:tcW w:w="1547"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管理端</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340" w:hRule="atLeast"/>
        </w:trPr>
        <w:tc>
          <w:tcPr>
            <w:tcW w:w="557"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17</w:t>
            </w:r>
          </w:p>
        </w:tc>
        <w:tc>
          <w:tcPr>
            <w:tcW w:w="70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可选</w:t>
            </w:r>
          </w:p>
        </w:tc>
        <w:tc>
          <w:tcPr>
            <w:tcW w:w="155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检查、检验治疗申请</w:t>
            </w:r>
          </w:p>
        </w:tc>
        <w:tc>
          <w:tcPr>
            <w:tcW w:w="4962"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可支持医生在线开具检查、检验、治疗等申请单，患者可在线支付相应费用，并生成电子指引单引导患者前往医院执行医嘱。</w:t>
            </w:r>
          </w:p>
        </w:tc>
        <w:tc>
          <w:tcPr>
            <w:tcW w:w="1547"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医生端、患者端</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340" w:hRule="atLeast"/>
        </w:trPr>
        <w:tc>
          <w:tcPr>
            <w:tcW w:w="557"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18</w:t>
            </w:r>
          </w:p>
        </w:tc>
        <w:tc>
          <w:tcPr>
            <w:tcW w:w="70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可选</w:t>
            </w:r>
          </w:p>
        </w:tc>
        <w:tc>
          <w:tcPr>
            <w:tcW w:w="155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智能预问诊</w:t>
            </w:r>
          </w:p>
        </w:tc>
        <w:tc>
          <w:tcPr>
            <w:tcW w:w="4962"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可支持患者在线复诊、健康咨询前进行预问诊，模拟医生问诊提前采集患者病情信息，并以电子病历格式发送给医生使用。</w:t>
            </w:r>
          </w:p>
        </w:tc>
        <w:tc>
          <w:tcPr>
            <w:tcW w:w="1547"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患者端、医生端</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340" w:hRule="atLeast"/>
        </w:trPr>
        <w:tc>
          <w:tcPr>
            <w:tcW w:w="557"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19</w:t>
            </w:r>
          </w:p>
        </w:tc>
        <w:tc>
          <w:tcPr>
            <w:tcW w:w="70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可选</w:t>
            </w:r>
          </w:p>
        </w:tc>
        <w:tc>
          <w:tcPr>
            <w:tcW w:w="155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MDT及远程会诊</w:t>
            </w:r>
          </w:p>
        </w:tc>
        <w:tc>
          <w:tcPr>
            <w:tcW w:w="4962"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可提供患者申请医生MDT会诊和远程会诊，以及转诊服务平台。</w:t>
            </w:r>
          </w:p>
        </w:tc>
        <w:tc>
          <w:tcPr>
            <w:tcW w:w="1547"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患者端、医生端</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340" w:hRule="atLeast"/>
        </w:trPr>
        <w:tc>
          <w:tcPr>
            <w:tcW w:w="557"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20</w:t>
            </w:r>
          </w:p>
        </w:tc>
        <w:tc>
          <w:tcPr>
            <w:tcW w:w="70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可选</w:t>
            </w:r>
          </w:p>
        </w:tc>
        <w:tc>
          <w:tcPr>
            <w:tcW w:w="155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住院申请</w:t>
            </w:r>
          </w:p>
        </w:tc>
        <w:tc>
          <w:tcPr>
            <w:tcW w:w="4962"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可支持医生在线开具电子住院申请单，并生成电子指引单引导患者前往医院办理入院。</w:t>
            </w:r>
          </w:p>
        </w:tc>
        <w:tc>
          <w:tcPr>
            <w:tcW w:w="1547"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医生端、患者端</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340" w:hRule="atLeast"/>
        </w:trPr>
        <w:tc>
          <w:tcPr>
            <w:tcW w:w="557"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21</w:t>
            </w:r>
          </w:p>
        </w:tc>
        <w:tc>
          <w:tcPr>
            <w:tcW w:w="70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可选</w:t>
            </w:r>
          </w:p>
        </w:tc>
        <w:tc>
          <w:tcPr>
            <w:tcW w:w="155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处方流转</w:t>
            </w:r>
          </w:p>
        </w:tc>
        <w:tc>
          <w:tcPr>
            <w:tcW w:w="4962"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可支持处方在合作供应单位内流转并全程追溯，尽量保证同一处方药品同源提供，同时做好相关药品的准入、分类及维护等。</w:t>
            </w:r>
          </w:p>
        </w:tc>
        <w:tc>
          <w:tcPr>
            <w:tcW w:w="1547"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患者端、药师端</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340" w:hRule="atLeast"/>
        </w:trPr>
        <w:tc>
          <w:tcPr>
            <w:tcW w:w="557"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22</w:t>
            </w:r>
          </w:p>
        </w:tc>
        <w:tc>
          <w:tcPr>
            <w:tcW w:w="70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可选</w:t>
            </w:r>
          </w:p>
        </w:tc>
        <w:tc>
          <w:tcPr>
            <w:tcW w:w="155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科普宣教</w:t>
            </w:r>
          </w:p>
        </w:tc>
        <w:tc>
          <w:tcPr>
            <w:tcW w:w="4962"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可提供用户查看科普宣教相关的资讯信息服务。如根据季节、天气变化等提供疾病预防相关提醒信息；针对孕妇、老人、儿童等特殊人群提供医疗卫生保健知识；为高血压、糖尿病等慢性病患者提供健康行为、饮食运动等指导信息。</w:t>
            </w:r>
          </w:p>
        </w:tc>
        <w:tc>
          <w:tcPr>
            <w:tcW w:w="1547"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患者端</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340" w:hRule="atLeast"/>
        </w:trPr>
        <w:tc>
          <w:tcPr>
            <w:tcW w:w="557"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23</w:t>
            </w:r>
          </w:p>
        </w:tc>
        <w:tc>
          <w:tcPr>
            <w:tcW w:w="70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可选</w:t>
            </w:r>
          </w:p>
        </w:tc>
        <w:tc>
          <w:tcPr>
            <w:tcW w:w="155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患者随访</w:t>
            </w:r>
          </w:p>
        </w:tc>
        <w:tc>
          <w:tcPr>
            <w:tcW w:w="4962"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可针对需进行随访用户生成随访计划，进行随访管理，提供定期预约复诊、健康建议等功能。</w:t>
            </w:r>
          </w:p>
        </w:tc>
        <w:tc>
          <w:tcPr>
            <w:tcW w:w="1547"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医生端、患者端</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340" w:hRule="atLeast"/>
        </w:trPr>
        <w:tc>
          <w:tcPr>
            <w:tcW w:w="557"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24</w:t>
            </w:r>
          </w:p>
        </w:tc>
        <w:tc>
          <w:tcPr>
            <w:tcW w:w="70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可选</w:t>
            </w:r>
          </w:p>
        </w:tc>
        <w:tc>
          <w:tcPr>
            <w:tcW w:w="155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用药提醒</w:t>
            </w:r>
          </w:p>
        </w:tc>
        <w:tc>
          <w:tcPr>
            <w:tcW w:w="4962"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可提供患者在线处方联动，进行用药提醒功能，能够根据处方药物的名称、时间、用法、用量等进行用药提醒。</w:t>
            </w:r>
          </w:p>
        </w:tc>
        <w:tc>
          <w:tcPr>
            <w:tcW w:w="1547"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患者端</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340" w:hRule="atLeast"/>
        </w:trPr>
        <w:tc>
          <w:tcPr>
            <w:tcW w:w="557"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25</w:t>
            </w:r>
          </w:p>
        </w:tc>
        <w:tc>
          <w:tcPr>
            <w:tcW w:w="70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可选</w:t>
            </w:r>
          </w:p>
        </w:tc>
        <w:tc>
          <w:tcPr>
            <w:tcW w:w="155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健康咨询</w:t>
            </w:r>
          </w:p>
        </w:tc>
        <w:tc>
          <w:tcPr>
            <w:tcW w:w="4962"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可提供健康咨询服务，系统可设置医嘱限制权限。</w:t>
            </w:r>
          </w:p>
        </w:tc>
        <w:tc>
          <w:tcPr>
            <w:tcW w:w="1547"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管理端、医生端</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340" w:hRule="atLeast"/>
        </w:trPr>
        <w:tc>
          <w:tcPr>
            <w:tcW w:w="557"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26</w:t>
            </w:r>
          </w:p>
        </w:tc>
        <w:tc>
          <w:tcPr>
            <w:tcW w:w="70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可选</w:t>
            </w:r>
          </w:p>
        </w:tc>
        <w:tc>
          <w:tcPr>
            <w:tcW w:w="1559"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网约护理</w:t>
            </w:r>
          </w:p>
        </w:tc>
        <w:tc>
          <w:tcPr>
            <w:tcW w:w="4962"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可借助互联网医院平台在线预约护士上门服务，系统应根据《关于进一步推进“互联网</w:t>
            </w:r>
            <w:r>
              <w:rPr>
                <w:rFonts w:ascii="宋体" w:hAnsi="宋体"/>
                <w:sz w:val="18"/>
                <w:szCs w:val="18"/>
              </w:rPr>
              <w:t>+</w:t>
            </w:r>
            <w:r>
              <w:rPr>
                <w:rFonts w:hint="eastAsia" w:ascii="宋体" w:hAnsi="宋体"/>
                <w:sz w:val="18"/>
                <w:szCs w:val="18"/>
              </w:rPr>
              <w:t>护理服务”试点工作的通知》等政策要求提供相应的功能。</w:t>
            </w:r>
          </w:p>
        </w:tc>
        <w:tc>
          <w:tcPr>
            <w:tcW w:w="1547"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管理端、患者端</w:t>
            </w:r>
          </w:p>
        </w:tc>
      </w:tr>
      <w:tr>
        <w:tblPrEx>
          <w:tblLayout w:type="fixed"/>
          <w:tblCellMar>
            <w:top w:w="0" w:type="dxa"/>
            <w:left w:w="0" w:type="dxa"/>
            <w:bottom w:w="0" w:type="dxa"/>
            <w:right w:w="0" w:type="dxa"/>
          </w:tblCellMar>
        </w:tblPrEx>
        <w:trPr>
          <w:trHeight w:val="340" w:hRule="atLeast"/>
        </w:trPr>
        <w:tc>
          <w:tcPr>
            <w:tcW w:w="557" w:type="dxa"/>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27</w:t>
            </w:r>
          </w:p>
        </w:tc>
        <w:tc>
          <w:tcPr>
            <w:tcW w:w="709" w:type="dxa"/>
            <w:shd w:val="clear" w:color="auto" w:fill="auto"/>
            <w:noWrap/>
            <w:vAlign w:val="center"/>
          </w:tcPr>
          <w:p>
            <w:pPr>
              <w:adjustRightInd/>
              <w:spacing w:line="240" w:lineRule="auto"/>
              <w:jc w:val="center"/>
              <w:rPr>
                <w:rFonts w:ascii="宋体" w:hAnsi="宋体"/>
                <w:sz w:val="18"/>
                <w:szCs w:val="18"/>
              </w:rPr>
            </w:pPr>
            <w:r>
              <w:rPr>
                <w:rFonts w:ascii="宋体" w:hAnsi="宋体"/>
                <w:sz w:val="18"/>
                <w:szCs w:val="18"/>
              </w:rPr>
              <w:t>可选</w:t>
            </w:r>
          </w:p>
        </w:tc>
        <w:tc>
          <w:tcPr>
            <w:tcW w:w="1559" w:type="dxa"/>
            <w:shd w:val="clear" w:color="auto" w:fill="auto"/>
            <w:noWrap/>
            <w:vAlign w:val="center"/>
          </w:tcPr>
          <w:p>
            <w:pPr>
              <w:adjustRightInd/>
              <w:spacing w:line="240" w:lineRule="auto"/>
              <w:jc w:val="center"/>
              <w:rPr>
                <w:rFonts w:ascii="宋体" w:hAnsi="宋体"/>
                <w:sz w:val="18"/>
                <w:szCs w:val="18"/>
              </w:rPr>
            </w:pPr>
            <w:r>
              <w:rPr>
                <w:rFonts w:ascii="宋体" w:hAnsi="宋体"/>
                <w:sz w:val="18"/>
                <w:szCs w:val="18"/>
              </w:rPr>
              <w:t>检查预约</w:t>
            </w:r>
          </w:p>
        </w:tc>
        <w:tc>
          <w:tcPr>
            <w:tcW w:w="4962"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可</w:t>
            </w:r>
            <w:r>
              <w:rPr>
                <w:rFonts w:ascii="宋体" w:hAnsi="宋体"/>
                <w:sz w:val="18"/>
                <w:szCs w:val="18"/>
              </w:rPr>
              <w:t>与院内检查预约平台对接，实现一站式检查预约功能。</w:t>
            </w:r>
          </w:p>
        </w:tc>
        <w:tc>
          <w:tcPr>
            <w:tcW w:w="1547" w:type="dxa"/>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医生端、患者端</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340" w:hRule="atLeast"/>
        </w:trPr>
        <w:tc>
          <w:tcPr>
            <w:tcW w:w="557" w:type="dxa"/>
            <w:tcBorders>
              <w:bottom w:val="single" w:color="000000" w:sz="8" w:space="0"/>
            </w:tcBorders>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w:t>
            </w:r>
          </w:p>
        </w:tc>
        <w:tc>
          <w:tcPr>
            <w:tcW w:w="709" w:type="dxa"/>
            <w:tcBorders>
              <w:bottom w:val="single" w:color="000000" w:sz="8" w:space="0"/>
            </w:tcBorders>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w:t>
            </w:r>
          </w:p>
        </w:tc>
        <w:tc>
          <w:tcPr>
            <w:tcW w:w="1559" w:type="dxa"/>
            <w:tcBorders>
              <w:bottom w:val="single" w:color="000000" w:sz="8" w:space="0"/>
            </w:tcBorders>
            <w:shd w:val="clear" w:color="auto" w:fill="auto"/>
            <w:noWrap/>
            <w:vAlign w:val="center"/>
          </w:tcPr>
          <w:p>
            <w:pPr>
              <w:adjustRightInd/>
              <w:spacing w:line="240" w:lineRule="auto"/>
              <w:jc w:val="center"/>
              <w:rPr>
                <w:rFonts w:ascii="宋体" w:hAnsi="宋体"/>
                <w:sz w:val="18"/>
                <w:szCs w:val="18"/>
              </w:rPr>
            </w:pPr>
            <w:r>
              <w:rPr>
                <w:rFonts w:hint="eastAsia" w:ascii="宋体" w:hAnsi="宋体"/>
                <w:sz w:val="18"/>
                <w:szCs w:val="18"/>
              </w:rPr>
              <w:t>……</w:t>
            </w:r>
          </w:p>
        </w:tc>
        <w:tc>
          <w:tcPr>
            <w:tcW w:w="4962" w:type="dxa"/>
            <w:tcBorders>
              <w:bottom w:val="single" w:color="000000" w:sz="8" w:space="0"/>
            </w:tcBorders>
            <w:shd w:val="clear" w:color="auto" w:fill="auto"/>
            <w:noWrap/>
            <w:vAlign w:val="center"/>
          </w:tcPr>
          <w:p>
            <w:pPr>
              <w:adjustRightInd/>
              <w:spacing w:line="240" w:lineRule="auto"/>
              <w:rPr>
                <w:rFonts w:ascii="宋体" w:hAnsi="宋体"/>
                <w:sz w:val="18"/>
                <w:szCs w:val="18"/>
              </w:rPr>
            </w:pPr>
            <w:r>
              <w:rPr>
                <w:rFonts w:hint="eastAsia" w:ascii="宋体" w:hAnsi="宋体"/>
                <w:sz w:val="18"/>
                <w:szCs w:val="18"/>
              </w:rPr>
              <w:t>可根据需求扩展互联网医院功能，可适时接入第三方服务。</w:t>
            </w:r>
          </w:p>
        </w:tc>
        <w:tc>
          <w:tcPr>
            <w:tcW w:w="1547" w:type="dxa"/>
            <w:tcBorders>
              <w:bottom w:val="single" w:color="000000" w:sz="8" w:space="0"/>
            </w:tcBorders>
            <w:shd w:val="clear" w:color="auto" w:fill="auto"/>
            <w:noWrap/>
            <w:vAlign w:val="center"/>
          </w:tcPr>
          <w:p>
            <w:pPr>
              <w:adjustRightInd/>
              <w:spacing w:line="240" w:lineRule="auto"/>
              <w:rPr>
                <w:rFonts w:ascii="宋体" w:hAnsi="宋体"/>
                <w:sz w:val="18"/>
                <w:szCs w:val="18"/>
              </w:rPr>
            </w:pPr>
          </w:p>
        </w:tc>
      </w:tr>
    </w:tbl>
    <w:p>
      <w:pPr>
        <w:pStyle w:val="56"/>
        <w:ind w:firstLine="420"/>
        <w:rPr>
          <w:rFonts w:hAnsi="宋体" w:cs="宋体"/>
        </w:rPr>
      </w:pPr>
    </w:p>
    <w:p>
      <w:pPr>
        <w:pStyle w:val="105"/>
        <w:spacing w:before="156" w:after="156"/>
      </w:pPr>
      <w:r>
        <w:rPr>
          <w:rFonts w:hint="eastAsia"/>
        </w:rPr>
        <w:t>业务流程设计</w:t>
      </w:r>
    </w:p>
    <w:p>
      <w:pPr>
        <w:pStyle w:val="65"/>
        <w:spacing w:before="156" w:after="156"/>
      </w:pPr>
      <w:r>
        <w:rPr>
          <w:rFonts w:hint="eastAsia"/>
        </w:rPr>
        <w:t>基本流程</w:t>
      </w:r>
    </w:p>
    <w:p>
      <w:pPr>
        <w:pStyle w:val="56"/>
        <w:ind w:firstLine="420"/>
      </w:pPr>
      <w:r>
        <w:rPr>
          <w:rFonts w:hint="eastAsia"/>
        </w:rPr>
        <w:t>互联网诊疗服务基本流程见图</w:t>
      </w:r>
      <w:r>
        <w:t>1</w:t>
      </w:r>
      <w:r>
        <w:rPr>
          <w:rFonts w:hint="eastAsia"/>
        </w:rPr>
        <w:t>所示，主要包括：</w:t>
      </w:r>
    </w:p>
    <w:p>
      <w:pPr>
        <w:pStyle w:val="174"/>
      </w:pPr>
      <w:r>
        <w:rPr>
          <w:rFonts w:hint="eastAsia"/>
        </w:rPr>
        <w:t>应由患者端发起诊疗请求，上传历史病历，确认后预约缴费；</w:t>
      </w:r>
    </w:p>
    <w:p>
      <w:pPr>
        <w:pStyle w:val="174"/>
      </w:pPr>
      <w:r>
        <w:rPr>
          <w:rFonts w:hint="eastAsia"/>
        </w:rPr>
        <w:t>医生通过医护端接收到请求后，进行复诊身份核定，按次序接诊；</w:t>
      </w:r>
    </w:p>
    <w:p>
      <w:pPr>
        <w:pStyle w:val="174"/>
      </w:pPr>
      <w:r>
        <w:rPr>
          <w:rFonts w:hint="eastAsia"/>
        </w:rPr>
        <w:t>医生接诊后根据病情开具的电子处方，处方应通过药师端由药师进行前置审方，审核后方可流转至患者缴费；</w:t>
      </w:r>
    </w:p>
    <w:p>
      <w:pPr>
        <w:pStyle w:val="174"/>
      </w:pPr>
      <w:r>
        <w:rPr>
          <w:rFonts w:hint="eastAsia"/>
        </w:rPr>
        <w:t>应提供到医院或药店自主取药、物流配送方式，确认后进行药品配送流程。</w:t>
      </w:r>
    </w:p>
    <w:p>
      <w:pPr>
        <w:pStyle w:val="56"/>
        <w:ind w:firstLine="0" w:firstLineChars="0"/>
        <w:jc w:val="center"/>
        <w:rPr>
          <w:rFonts w:hAnsi="宋体" w:cs="宋体"/>
        </w:rPr>
      </w:pPr>
      <w:r>
        <w:rPr>
          <w:rFonts w:hint="eastAsia"/>
        </w:rPr>
        <w:drawing>
          <wp:inline distT="0" distB="0" distL="114300" distR="114300">
            <wp:extent cx="4986020" cy="3614420"/>
            <wp:effectExtent l="0" t="0" r="5080" b="5080"/>
            <wp:docPr id="6" name="图片 1" descr="feab41bd053ddfcf284259bde4f5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feab41bd053ddfcf284259bde4f5940"/>
                    <pic:cNvPicPr>
                      <a:picLocks noChangeAspect="1"/>
                    </pic:cNvPicPr>
                  </pic:nvPicPr>
                  <pic:blipFill>
                    <a:blip r:embed="rId13"/>
                    <a:srcRect l="3613" t="4734" r="1812" b="706"/>
                    <a:stretch>
                      <a:fillRect/>
                    </a:stretch>
                  </pic:blipFill>
                  <pic:spPr>
                    <a:xfrm>
                      <a:off x="0" y="0"/>
                      <a:ext cx="4986337" cy="3614738"/>
                    </a:xfrm>
                    <a:prstGeom prst="rect">
                      <a:avLst/>
                    </a:prstGeom>
                    <a:noFill/>
                    <a:ln>
                      <a:noFill/>
                    </a:ln>
                  </pic:spPr>
                </pic:pic>
              </a:graphicData>
            </a:graphic>
          </wp:inline>
        </w:drawing>
      </w:r>
    </w:p>
    <w:p>
      <w:pPr>
        <w:pStyle w:val="114"/>
        <w:spacing w:before="156" w:after="156"/>
      </w:pPr>
      <w:r>
        <w:rPr>
          <w:rFonts w:hint="eastAsia"/>
        </w:rPr>
        <w:t>互联网诊疗服务基本流程图</w:t>
      </w:r>
    </w:p>
    <w:p>
      <w:pPr>
        <w:pStyle w:val="65"/>
        <w:spacing w:before="156" w:after="156"/>
      </w:pPr>
      <w:r>
        <w:rPr>
          <w:rFonts w:hint="eastAsia"/>
        </w:rPr>
        <w:t>患者注册认证流程</w:t>
      </w:r>
    </w:p>
    <w:p>
      <w:pPr>
        <w:pStyle w:val="56"/>
        <w:ind w:firstLine="420"/>
      </w:pPr>
      <w:r>
        <w:rPr>
          <w:rFonts w:hint="eastAsia"/>
        </w:rPr>
        <w:t>诊疗前应进行实名注册，校验包括但不限于身份证、手机号码、电子医保卡等。若已注册当地电子健康卡，可通过关联电子健康卡进行身份认证。</w:t>
      </w:r>
    </w:p>
    <w:p>
      <w:pPr>
        <w:pStyle w:val="65"/>
        <w:spacing w:before="156" w:after="156"/>
      </w:pPr>
      <w:r>
        <w:rPr>
          <w:rFonts w:hint="eastAsia"/>
        </w:rPr>
        <w:t>医务人员注册认证流程</w:t>
      </w:r>
    </w:p>
    <w:p>
      <w:pPr>
        <w:pStyle w:val="56"/>
        <w:ind w:firstLine="420"/>
      </w:pPr>
      <w:r>
        <w:rPr>
          <w:rFonts w:hint="eastAsia"/>
        </w:rPr>
        <w:t>医务人员注册认证流程包括：</w:t>
      </w:r>
    </w:p>
    <w:p>
      <w:pPr>
        <w:pStyle w:val="174"/>
        <w:numPr>
          <w:ilvl w:val="0"/>
          <w:numId w:val="32"/>
        </w:numPr>
      </w:pPr>
      <w:r>
        <w:rPr>
          <w:rFonts w:hint="eastAsia"/>
        </w:rPr>
        <w:t>应校验包括但不限于身份证、执业资格证明、手机号码、医保编码等，可后台统一上传认证；</w:t>
      </w:r>
    </w:p>
    <w:p>
      <w:pPr>
        <w:pStyle w:val="174"/>
      </w:pPr>
      <w:r>
        <w:rPr>
          <w:rFonts w:hint="eastAsia"/>
        </w:rPr>
        <w:t>应设置登录密码，登录密码宜由不少于8位阿拉伯数字及字母组合而成；</w:t>
      </w:r>
    </w:p>
    <w:p>
      <w:pPr>
        <w:pStyle w:val="174"/>
      </w:pPr>
      <w:r>
        <w:rPr>
          <w:rFonts w:hint="eastAsia"/>
        </w:rPr>
        <w:t>应采用设置数字签名（CA）认证登录。</w:t>
      </w:r>
    </w:p>
    <w:p>
      <w:pPr>
        <w:pStyle w:val="65"/>
        <w:spacing w:before="156" w:after="156"/>
      </w:pPr>
      <w:r>
        <w:rPr>
          <w:rFonts w:hint="eastAsia"/>
        </w:rPr>
        <w:t>在线复诊流程</w:t>
      </w:r>
    </w:p>
    <w:p>
      <w:pPr>
        <w:pStyle w:val="56"/>
        <w:ind w:firstLine="420"/>
      </w:pPr>
      <w:r>
        <w:rPr>
          <w:rFonts w:hint="eastAsia"/>
        </w:rPr>
        <w:t>患者在线复诊流程包括：</w:t>
      </w:r>
    </w:p>
    <w:p>
      <w:pPr>
        <w:pStyle w:val="174"/>
        <w:numPr>
          <w:ilvl w:val="0"/>
          <w:numId w:val="33"/>
        </w:numPr>
      </w:pPr>
      <w:r>
        <w:rPr>
          <w:rFonts w:hint="eastAsia"/>
        </w:rPr>
        <w:t>复诊患者应提供具有明确诊断的病历资料，由医生根据患者提供的病历资料判断是否符合复诊条件；</w:t>
      </w:r>
    </w:p>
    <w:p>
      <w:pPr>
        <w:pStyle w:val="174"/>
      </w:pPr>
      <w:r>
        <w:rPr>
          <w:rFonts w:hint="eastAsia"/>
        </w:rPr>
        <w:t>患者可自主选择复诊问诊方式（图文、语音、视频），支付复诊诊查费用后发起复诊请求，等待医生接诊；</w:t>
      </w:r>
    </w:p>
    <w:p>
      <w:pPr>
        <w:pStyle w:val="174"/>
      </w:pPr>
      <w:r>
        <w:rPr>
          <w:rFonts w:hint="eastAsia"/>
        </w:rPr>
        <w:t>医生接诊前进行患者复诊身份人工审核；</w:t>
      </w:r>
    </w:p>
    <w:p>
      <w:pPr>
        <w:pStyle w:val="174"/>
      </w:pPr>
      <w:r>
        <w:rPr>
          <w:rFonts w:hint="eastAsia"/>
        </w:rPr>
        <w:t>医生接诊前应进行身份认证，确保由医生本人接诊；</w:t>
      </w:r>
    </w:p>
    <w:p>
      <w:pPr>
        <w:pStyle w:val="174"/>
      </w:pPr>
      <w:r>
        <w:rPr>
          <w:rFonts w:hint="eastAsia"/>
        </w:rPr>
        <w:t>医生应根据患者选择的问诊方式提供相应的接诊方式，问诊结束后医生根据病情判断是否开具电子处方；</w:t>
      </w:r>
    </w:p>
    <w:p>
      <w:pPr>
        <w:pStyle w:val="174"/>
      </w:pPr>
      <w:r>
        <w:rPr>
          <w:rFonts w:hint="eastAsia"/>
        </w:rPr>
        <w:t>如需开具电子处方，电子处方应由开方医生本人进行CA数字签名后流转至药师审方；</w:t>
      </w:r>
    </w:p>
    <w:p>
      <w:pPr>
        <w:pStyle w:val="174"/>
      </w:pPr>
      <w:r>
        <w:rPr>
          <w:rFonts w:hint="eastAsia"/>
        </w:rPr>
        <w:t>电子处方应通过药师审核并进行CA数字签名后，经由药师端推送至患者端；</w:t>
      </w:r>
    </w:p>
    <w:p>
      <w:pPr>
        <w:pStyle w:val="174"/>
      </w:pPr>
      <w:r>
        <w:rPr>
          <w:rFonts w:hint="eastAsia"/>
        </w:rPr>
        <w:t>应支持患者查看处方及费用明细，确认无误后选择取药方式并进行在线结算。</w:t>
      </w:r>
    </w:p>
    <w:p>
      <w:pPr>
        <w:pStyle w:val="65"/>
        <w:spacing w:before="156" w:after="156"/>
      </w:pPr>
      <w:r>
        <w:rPr>
          <w:rFonts w:hint="eastAsia"/>
        </w:rPr>
        <w:t>药品配送流程</w:t>
      </w:r>
    </w:p>
    <w:p>
      <w:pPr>
        <w:pStyle w:val="56"/>
        <w:ind w:firstLine="420"/>
      </w:pPr>
      <w:r>
        <w:rPr>
          <w:rFonts w:hint="eastAsia"/>
        </w:rPr>
        <w:t>药品配送流程包括：</w:t>
      </w:r>
    </w:p>
    <w:p>
      <w:pPr>
        <w:pStyle w:val="174"/>
        <w:numPr>
          <w:ilvl w:val="0"/>
          <w:numId w:val="34"/>
        </w:numPr>
      </w:pPr>
      <w:r>
        <w:rPr>
          <w:rFonts w:hint="eastAsia"/>
        </w:rPr>
        <w:t>患者通过互联网医院平台将处方费用结算完成后，自动生成物流订单和电子处方；</w:t>
      </w:r>
    </w:p>
    <w:p>
      <w:pPr>
        <w:pStyle w:val="174"/>
      </w:pPr>
      <w:r>
        <w:rPr>
          <w:rFonts w:hint="eastAsia"/>
        </w:rPr>
        <w:t>医院或药品销售机构获取物流订单和电子处方后，进行配药；</w:t>
      </w:r>
    </w:p>
    <w:p>
      <w:pPr>
        <w:pStyle w:val="174"/>
      </w:pPr>
      <w:r>
        <w:rPr>
          <w:rFonts w:hint="eastAsia"/>
        </w:rPr>
        <w:t>物流机构收到取货订单信息后，应指派配送人员到医院或药品销售机构取药；</w:t>
      </w:r>
    </w:p>
    <w:p>
      <w:pPr>
        <w:pStyle w:val="174"/>
      </w:pPr>
      <w:r>
        <w:rPr>
          <w:rFonts w:hint="eastAsia"/>
        </w:rPr>
        <w:t>配送人员取药后生成配送信息，应将配送详情同步至互联网医院平台（管理端、医生端、药师端和患者端）；</w:t>
      </w:r>
    </w:p>
    <w:p>
      <w:pPr>
        <w:pStyle w:val="174"/>
      </w:pPr>
      <w:r>
        <w:rPr>
          <w:rFonts w:hint="eastAsia"/>
        </w:rPr>
        <w:t>物流配送人员应根据患者填写的收货信息，将药品配送至相应地点；</w:t>
      </w:r>
    </w:p>
    <w:p>
      <w:pPr>
        <w:pStyle w:val="174"/>
      </w:pPr>
      <w:r>
        <w:rPr>
          <w:rFonts w:hint="eastAsia"/>
        </w:rPr>
        <w:t>药品应通过信息验证进行签收；</w:t>
      </w:r>
    </w:p>
    <w:p>
      <w:pPr>
        <w:pStyle w:val="174"/>
      </w:pPr>
      <w:r>
        <w:rPr>
          <w:rFonts w:hint="eastAsia"/>
        </w:rPr>
        <w:t>患者签收后，物流配送机构应将签收情况上传至互联网医院平台。</w:t>
      </w:r>
    </w:p>
    <w:p>
      <w:pPr>
        <w:pStyle w:val="65"/>
        <w:spacing w:before="156" w:after="156"/>
      </w:pPr>
      <w:r>
        <w:rPr>
          <w:rFonts w:hint="eastAsia"/>
        </w:rPr>
        <w:t>退费流程</w:t>
      </w:r>
    </w:p>
    <w:p>
      <w:pPr>
        <w:pStyle w:val="56"/>
        <w:ind w:firstLine="420"/>
      </w:pPr>
      <w:r>
        <w:rPr>
          <w:rFonts w:hint="eastAsia"/>
        </w:rPr>
        <w:t>退费流程包括：</w:t>
      </w:r>
    </w:p>
    <w:p>
      <w:pPr>
        <w:pStyle w:val="174"/>
        <w:numPr>
          <w:ilvl w:val="0"/>
          <w:numId w:val="35"/>
        </w:numPr>
      </w:pPr>
      <w:r>
        <w:rPr>
          <w:rFonts w:hint="eastAsia"/>
        </w:rPr>
        <w:t>由患者通过互联网医院平台患者端发起退费申请；</w:t>
      </w:r>
    </w:p>
    <w:p>
      <w:pPr>
        <w:pStyle w:val="174"/>
      </w:pPr>
      <w:r>
        <w:rPr>
          <w:rFonts w:hint="eastAsia"/>
        </w:rPr>
        <w:t>系统判定退费项目（接诊、药品、检验、检查）状态；</w:t>
      </w:r>
    </w:p>
    <w:p>
      <w:pPr>
        <w:pStyle w:val="174"/>
      </w:pPr>
      <w:r>
        <w:rPr>
          <w:rFonts w:hint="eastAsia"/>
        </w:rPr>
        <w:t>药品已配送、检验检查已完成均不允许退费，具体状态通过患者端提示给患者；</w:t>
      </w:r>
    </w:p>
    <w:p>
      <w:pPr>
        <w:pStyle w:val="174"/>
      </w:pPr>
      <w:r>
        <w:rPr>
          <w:rFonts w:hint="eastAsia"/>
        </w:rPr>
        <w:t>药品退费申请发起成功后，由接诊医生负责审核退费申请，审核成功后自动完成退费流程，作废药品处方并将患者支付的费用原路退回，拒绝退费申请的要通过患者端或短信提示患者拒绝原因；</w:t>
      </w:r>
    </w:p>
    <w:p>
      <w:pPr>
        <w:pStyle w:val="174"/>
      </w:pPr>
      <w:r>
        <w:rPr>
          <w:rFonts w:hint="eastAsia"/>
        </w:rPr>
        <w:t>检验检查退费申请发起成功后，自动完成退费流程，作废检验申请并将患者支付的费用原路退回。</w:t>
      </w:r>
    </w:p>
    <w:p>
      <w:pPr>
        <w:pStyle w:val="104"/>
        <w:spacing w:before="312" w:after="312"/>
      </w:pPr>
      <w:r>
        <w:rPr>
          <w:rFonts w:hint="eastAsia"/>
        </w:rPr>
        <w:t>信息网络建设</w:t>
      </w:r>
    </w:p>
    <w:p>
      <w:pPr>
        <w:pStyle w:val="105"/>
        <w:spacing w:before="156" w:after="156"/>
      </w:pPr>
      <w:r>
        <w:rPr>
          <w:rFonts w:hint="eastAsia"/>
        </w:rPr>
        <w:t>总则</w:t>
      </w:r>
    </w:p>
    <w:p>
      <w:pPr>
        <w:pStyle w:val="56"/>
        <w:ind w:firstLine="420"/>
      </w:pPr>
      <w:r>
        <w:rPr>
          <w:rFonts w:hint="eastAsia"/>
        </w:rPr>
        <w:t>互联网医院是互联网诊疗服务信息平台管理的责任主体，其主要负责人是第一责任人。信息网络建设是互联网医院建设和运行的关键内容，根据《安徽省互联网医院管理办法（试行）》要求，互联网医院应严格执行信息安全和医疗数据保密的有关法律法规，妥善保管患者信息，不应非法买卖、泄露患者信息。</w:t>
      </w:r>
    </w:p>
    <w:p>
      <w:pPr>
        <w:pStyle w:val="105"/>
        <w:spacing w:before="156" w:after="156"/>
      </w:pPr>
      <w:r>
        <w:rPr>
          <w:rFonts w:hint="eastAsia"/>
        </w:rPr>
        <w:t>等保测评</w:t>
      </w:r>
    </w:p>
    <w:p>
      <w:pPr>
        <w:pStyle w:val="56"/>
        <w:ind w:firstLine="420"/>
      </w:pPr>
      <w:r>
        <w:rPr>
          <w:rFonts w:hint="eastAsia"/>
        </w:rPr>
        <w:t>在互联网医院建设中的医院网络、互联网信息平台、互联网云基础设施的网络安全应按照</w:t>
      </w:r>
      <w:r>
        <w:t>GB/T 22239</w:t>
      </w:r>
      <w:r>
        <w:rPr>
          <w:rFonts w:hint="eastAsia"/>
        </w:rPr>
        <w:t>—2</w:t>
      </w:r>
      <w:r>
        <w:t>019</w:t>
      </w:r>
      <w:r>
        <w:rPr>
          <w:rFonts w:hint="eastAsia"/>
        </w:rPr>
        <w:t>中第三级标准完成定级备案和测评，每年应依法开展测评，测评通过后应提交系统年度测评报告。同时，互联网医院建设在租用第三方互联网云基础设施时，其服务器中存储信息不应部署在托管、租赁于境外的服务器。</w:t>
      </w:r>
    </w:p>
    <w:p>
      <w:pPr>
        <w:pStyle w:val="105"/>
        <w:spacing w:before="156" w:after="156"/>
      </w:pPr>
      <w:r>
        <w:rPr>
          <w:rFonts w:hint="eastAsia"/>
        </w:rPr>
        <w:t>身份认证</w:t>
      </w:r>
    </w:p>
    <w:p>
      <w:pPr>
        <w:pStyle w:val="56"/>
        <w:ind w:firstLine="420"/>
      </w:pPr>
      <w:r>
        <w:rPr>
          <w:rFonts w:hint="eastAsia"/>
        </w:rPr>
        <w:t>互联网医院服务平台应利用数字证书服务、数字签名验证服务、电子签章和时间戳服务等技术，从“可信身份、可信行为、可信数据和可信时间”四个范畴建设可信医疗服务平台。</w:t>
      </w:r>
    </w:p>
    <w:p>
      <w:pPr>
        <w:pStyle w:val="105"/>
        <w:spacing w:before="156" w:after="156"/>
      </w:pPr>
      <w:r>
        <w:rPr>
          <w:rFonts w:hint="eastAsia"/>
        </w:rPr>
        <w:t>隐私保护</w:t>
      </w:r>
    </w:p>
    <w:p>
      <w:pPr>
        <w:pStyle w:val="56"/>
        <w:ind w:firstLine="420"/>
      </w:pPr>
      <w:r>
        <w:rPr>
          <w:rFonts w:hint="eastAsia"/>
        </w:rPr>
        <w:t>互联网医院服务数据包括服务过程中使用和产生的业务数据和管理数据（服务对象信息、病历资料、服务过程资料、音视频记录、行政管理、服务统计等），应做到管控和追溯合一，严格执行信息安全和健康医疗数据保密规定，建立完善个人隐私信息保护制度，严格管理患者信息、用户资料、诊疗数据等，个人信息安全和健康医疗数据安全应符合GB/T 35273、GB/T 39725的要求。</w:t>
      </w:r>
    </w:p>
    <w:p>
      <w:pPr>
        <w:pStyle w:val="56"/>
        <w:ind w:firstLine="420"/>
      </w:pPr>
      <w:r>
        <w:rPr>
          <w:rFonts w:hint="eastAsia"/>
        </w:rPr>
        <w:t>互联网医院各角色进行业务使用时，涉及患者诊疗等相关数据的业务，在数据传输过程时应进行加密处理，保障患者隐私数据的安全性、完整性。同时，应建设数据库审计系统，记录每个业务用户的关键操作，支持用户访问行为监测，能够对用户访问互联网医院平台的认证、访问控制、数据签名、数据加密等业务操作进行综合监控，信息系统密码应符合GM/T 0054要求。</w:t>
      </w:r>
    </w:p>
    <w:p>
      <w:pPr>
        <w:pStyle w:val="105"/>
        <w:spacing w:before="156" w:after="156"/>
      </w:pPr>
      <w:r>
        <w:rPr>
          <w:rFonts w:hint="eastAsia"/>
        </w:rPr>
        <w:t>基础设施安全</w:t>
      </w:r>
    </w:p>
    <w:p>
      <w:pPr>
        <w:pStyle w:val="65"/>
        <w:spacing w:before="156" w:after="156"/>
      </w:pPr>
      <w:r>
        <w:rPr>
          <w:rFonts w:hint="eastAsia"/>
        </w:rPr>
        <w:t>数据机房基础要求</w:t>
      </w:r>
    </w:p>
    <w:p>
      <w:pPr>
        <w:pStyle w:val="56"/>
        <w:ind w:firstLine="420"/>
      </w:pPr>
      <w:r>
        <w:rPr>
          <w:rFonts w:hint="eastAsia"/>
        </w:rPr>
        <w:t>互联网医院信息基础设施可采用云服务部署或本地机房部署，设备所在机房应按照</w:t>
      </w:r>
      <w:r>
        <w:rPr>
          <w:rFonts w:hint="eastAsia" w:hAnsi="宋体"/>
          <w:color w:val="000000"/>
          <w:szCs w:val="21"/>
        </w:rPr>
        <w:t>GB 50174—2017中</w:t>
      </w:r>
      <w:r>
        <w:rPr>
          <w:rFonts w:hint="eastAsia"/>
        </w:rPr>
        <w:t>B级标准进行设计和建设。</w:t>
      </w:r>
    </w:p>
    <w:p>
      <w:pPr>
        <w:pStyle w:val="56"/>
        <w:ind w:firstLine="420"/>
      </w:pPr>
      <w:r>
        <w:rPr>
          <w:rFonts w:hint="eastAsia"/>
        </w:rPr>
        <w:t>互联网医院的建设单位应建设配置容灾机房，容灾机房应具备双路市电电源供电、配备精密空调、消防和安防监控设施。</w:t>
      </w:r>
    </w:p>
    <w:p>
      <w:pPr>
        <w:pStyle w:val="56"/>
        <w:ind w:firstLine="420"/>
      </w:pPr>
      <w:r>
        <w:rPr>
          <w:rFonts w:hint="eastAsia"/>
        </w:rPr>
        <w:t>互联网医院数据存储设施设备应在机房重点区域妥善存放，相关设施设备不应存放在境外。</w:t>
      </w:r>
    </w:p>
    <w:p>
      <w:pPr>
        <w:pStyle w:val="65"/>
        <w:spacing w:before="156" w:after="156"/>
      </w:pPr>
      <w:r>
        <w:rPr>
          <w:rFonts w:hint="eastAsia"/>
        </w:rPr>
        <w:t>网络基础设施安全</w:t>
      </w:r>
    </w:p>
    <w:p>
      <w:pPr>
        <w:pStyle w:val="56"/>
        <w:ind w:firstLine="420"/>
      </w:pPr>
      <w:r>
        <w:rPr>
          <w:rFonts w:hint="eastAsia"/>
        </w:rPr>
        <w:t>互联网医院应用系统与院内其他系统集成时可部署网闸、防火墙等访问控制设备，具备防止各类敏感数据泄露、安全隔离和受控的信息交换等功能，并通过专用VPN对设备进行安全管理。</w:t>
      </w:r>
    </w:p>
    <w:p>
      <w:pPr>
        <w:pStyle w:val="56"/>
        <w:ind w:firstLine="420"/>
      </w:pPr>
      <w:r>
        <w:rPr>
          <w:rFonts w:hint="eastAsia"/>
        </w:rPr>
        <w:t>互联网医院应用系统可部署广域网加速，进行应用系统网络加速、提高网络资源访问的响应速度，对网络流量进行特征抓取分析及管控。</w:t>
      </w:r>
    </w:p>
    <w:p>
      <w:pPr>
        <w:pStyle w:val="56"/>
        <w:ind w:firstLine="420"/>
      </w:pPr>
      <w:r>
        <w:rPr>
          <w:rFonts w:hint="eastAsia"/>
        </w:rPr>
        <w:t>互联网医院网络建设，可配备网络安全集中管理和监控系统，进行安全策略的集中监管、下发，同时具备网络拓扑管理、可用性监控、设备性能监控等功能。</w:t>
      </w:r>
    </w:p>
    <w:p>
      <w:pPr>
        <w:pStyle w:val="65"/>
        <w:spacing w:before="156" w:after="156"/>
      </w:pPr>
      <w:r>
        <w:rPr>
          <w:rFonts w:hint="eastAsia"/>
        </w:rPr>
        <w:t>容灾备份</w:t>
      </w:r>
    </w:p>
    <w:p>
      <w:pPr>
        <w:pStyle w:val="56"/>
        <w:ind w:firstLine="420"/>
      </w:pPr>
      <w:r>
        <w:rPr>
          <w:rFonts w:hint="eastAsia"/>
        </w:rPr>
        <w:t>互联网医院信息系统应制定数据备份与恢复策略，部署数据备份设备及存储空间，定期进行备份数据检查和恢复演练，</w:t>
      </w:r>
      <w:r>
        <w:rPr>
          <w:rFonts w:hint="eastAsia" w:hAnsi="宋体"/>
          <w:color w:val="000000"/>
          <w:szCs w:val="21"/>
        </w:rPr>
        <w:t>并制定系统</w:t>
      </w:r>
      <w:r>
        <w:rPr>
          <w:rFonts w:hAnsi="宋体"/>
          <w:color w:val="000000"/>
          <w:szCs w:val="21"/>
        </w:rPr>
        <w:t>故障应急预案</w:t>
      </w:r>
      <w:r>
        <w:rPr>
          <w:rFonts w:hint="eastAsia"/>
        </w:rPr>
        <w:t>。</w:t>
      </w:r>
      <w:r>
        <w:rPr>
          <w:rFonts w:hint="eastAsia" w:hAnsi="宋体"/>
          <w:color w:val="000000"/>
          <w:szCs w:val="21"/>
        </w:rPr>
        <w:t>有条件的，可增加离线备份。</w:t>
      </w:r>
    </w:p>
    <w:p>
      <w:pPr>
        <w:pStyle w:val="104"/>
        <w:spacing w:before="312" w:after="312"/>
      </w:pPr>
      <w:r>
        <w:rPr>
          <w:rFonts w:hint="eastAsia"/>
        </w:rPr>
        <w:t>质量控制</w:t>
      </w:r>
    </w:p>
    <w:p>
      <w:pPr>
        <w:pStyle w:val="105"/>
        <w:spacing w:before="156" w:after="156"/>
      </w:pPr>
      <w:r>
        <w:rPr>
          <w:rFonts w:hint="eastAsia"/>
        </w:rPr>
        <w:t>制度质控</w:t>
      </w:r>
    </w:p>
    <w:p>
      <w:pPr>
        <w:pStyle w:val="56"/>
        <w:ind w:firstLine="420"/>
      </w:pPr>
      <w:r>
        <w:rPr>
          <w:rFonts w:hint="eastAsia"/>
        </w:rPr>
        <w:t>医疗机构应建立完善的互联网医院质控制度，包含医疗质量安全、服务质量评价、应急处理等内容。明确互联网诊疗的终止条件。当患者病情出现</w:t>
      </w:r>
      <w:r>
        <w:rPr>
          <w:rFonts w:hint="eastAsia" w:hAnsi="宋体" w:cs="宋体"/>
          <w:color w:val="000000"/>
          <w:szCs w:val="21"/>
          <w:lang w:bidi="ar"/>
        </w:rPr>
        <w:t>不适宜互联网诊疗</w:t>
      </w:r>
      <w:r>
        <w:rPr>
          <w:rFonts w:hint="eastAsia"/>
        </w:rPr>
        <w:t>、本次就诊经互联网医院判断为首诊或存在其他不适宜互联网诊疗的情况时，接诊医师应当立即终止互联网诊疗活动，并引导患者到实体医疗机构就诊。</w:t>
      </w:r>
    </w:p>
    <w:p>
      <w:pPr>
        <w:pStyle w:val="105"/>
        <w:spacing w:before="156" w:after="156"/>
      </w:pPr>
      <w:r>
        <w:rPr>
          <w:rFonts w:hint="eastAsia"/>
        </w:rPr>
        <w:t>病历质控</w:t>
      </w:r>
    </w:p>
    <w:p>
      <w:pPr>
        <w:pStyle w:val="56"/>
        <w:ind w:firstLine="420"/>
      </w:pPr>
      <w:r>
        <w:rPr>
          <w:rFonts w:hint="eastAsia"/>
        </w:rPr>
        <w:t>互联网诊疗过程中所产生的电子病历信息应与依托的实体医疗机构共享，并与线下电子病历格式保持一致</w:t>
      </w:r>
      <w:r>
        <w:rPr>
          <w:rFonts w:hAnsi="宋体"/>
          <w:color w:val="000000"/>
          <w:szCs w:val="21"/>
          <w:lang w:eastAsia="zh-Hans"/>
        </w:rPr>
        <w:t>，</w:t>
      </w:r>
      <w:r>
        <w:rPr>
          <w:rFonts w:hint="eastAsia" w:hAnsi="宋体"/>
          <w:color w:val="000000"/>
          <w:szCs w:val="21"/>
          <w:lang w:eastAsia="zh-Hans"/>
        </w:rPr>
        <w:t>线上线下一体化质控</w:t>
      </w:r>
      <w:r>
        <w:rPr>
          <w:rFonts w:hint="eastAsia"/>
        </w:rPr>
        <w:t>。互联网诊疗病历记录按照门诊电子病历的有关规定进行管理，保存时间不得少于15年。诊疗中的图文对话、音视频资料等过程记录保存时间不得少于3年。</w:t>
      </w:r>
    </w:p>
    <w:p>
      <w:pPr>
        <w:pStyle w:val="105"/>
        <w:spacing w:before="156" w:after="156"/>
      </w:pPr>
      <w:r>
        <w:rPr>
          <w:rFonts w:hint="eastAsia"/>
        </w:rPr>
        <w:t>处方管理</w:t>
      </w:r>
    </w:p>
    <w:p>
      <w:pPr>
        <w:pStyle w:val="56"/>
        <w:ind w:firstLine="420"/>
      </w:pPr>
      <w:r>
        <w:rPr>
          <w:rFonts w:hint="eastAsia"/>
        </w:rPr>
        <w:t>互联网医院应当严格遵守《处方管理办法》《医疗机构药事管理规定》《医疗机构制剂注册管理办法(试行)》等相关规定开具处方。不应在互联网上开具麻醉药品、精神类药品处方</w:t>
      </w:r>
      <w:r>
        <w:rPr>
          <w:rFonts w:hint="eastAsia" w:hAnsi="宋体"/>
          <w:color w:val="000000"/>
          <w:szCs w:val="21"/>
        </w:rPr>
        <w:t>、针剂处方，</w:t>
      </w:r>
      <w:r>
        <w:rPr>
          <w:rFonts w:hint="eastAsia"/>
        </w:rPr>
        <w:t>以及其他用药风险较高、有其他特殊管理规定的药品处方。为低龄儿童（6岁以下）开具互联网儿童用药处方时，应当确定患儿有监护人和相关专业医师陪伴。药学部门定期对互联网医院处方进行合理用药点评、考核。</w:t>
      </w:r>
    </w:p>
    <w:p>
      <w:pPr>
        <w:pStyle w:val="105"/>
        <w:spacing w:before="156" w:after="156"/>
      </w:pPr>
      <w:r>
        <w:rPr>
          <w:rFonts w:hint="eastAsia"/>
        </w:rPr>
        <w:t>不良事件管理</w:t>
      </w:r>
    </w:p>
    <w:p>
      <w:pPr>
        <w:pStyle w:val="56"/>
        <w:ind w:firstLine="420"/>
      </w:pPr>
      <w:r>
        <w:rPr>
          <w:rFonts w:hint="eastAsia"/>
        </w:rPr>
        <w:t>互联网医院应当建立互联网医疗服务不良事件防范和处置流程，发生不良事件按照国家《医疗质量安全事件报告暂行规定》等有关规定上报。医疗机构定期收集不良事件并建立患者投诉反馈渠道，定期总结分析，持续改进医疗质量和服务水平。</w:t>
      </w:r>
    </w:p>
    <w:p>
      <w:pPr>
        <w:pStyle w:val="105"/>
        <w:spacing w:before="156" w:after="156"/>
      </w:pPr>
      <w:r>
        <w:rPr>
          <w:rFonts w:hint="eastAsia"/>
        </w:rPr>
        <w:t>服务质量评价</w:t>
      </w:r>
    </w:p>
    <w:p>
      <w:pPr>
        <w:pStyle w:val="56"/>
        <w:ind w:firstLine="420"/>
        <w:rPr>
          <w:rFonts w:hint="eastAsia"/>
        </w:rPr>
      </w:pPr>
      <w:r>
        <w:rPr>
          <w:rFonts w:hint="eastAsia"/>
        </w:rPr>
        <w:t>医疗机构应当将互联网诊疗服务纳入线下医疗质量控制体系，定期进行考核，内容包括医务人员依法执业、处方开具、病历书写、患者隐私保护、信息安全、满意度评价等内容，考核结果与绩效挂钩，建立人员重新培训及退出机制。</w:t>
      </w:r>
    </w:p>
    <w:bookmarkEnd w:id="22"/>
    <w:p>
      <w:pPr>
        <w:pStyle w:val="56"/>
        <w:ind w:firstLine="420"/>
        <w:sectPr>
          <w:pgSz w:w="11906" w:h="16838"/>
          <w:pgMar w:top="1928" w:right="1134" w:bottom="1134" w:left="1134" w:header="1418" w:footer="1134" w:gutter="284"/>
          <w:pgNumType w:start="1"/>
          <w:cols w:space="425" w:num="1"/>
          <w:formProt w:val="0"/>
          <w:docGrid w:type="lines" w:linePitch="312" w:charSpace="0"/>
        </w:sectPr>
      </w:pPr>
      <w:bookmarkStart w:id="44" w:name="BookMark6"/>
    </w:p>
    <w:p>
      <w:pPr>
        <w:pStyle w:val="63"/>
        <w:spacing w:after="156"/>
      </w:pPr>
      <w:r>
        <w:rPr>
          <w:rFonts w:hint="eastAsia"/>
          <w:spacing w:val="105"/>
        </w:rPr>
        <w:t>参考文</w:t>
      </w:r>
      <w:r>
        <w:rPr>
          <w:rFonts w:hint="eastAsia"/>
        </w:rPr>
        <w:t>献</w:t>
      </w:r>
    </w:p>
    <w:bookmarkEnd w:id="44"/>
    <w:p>
      <w:pPr>
        <w:pStyle w:val="56"/>
        <w:numPr>
          <w:ilvl w:val="0"/>
          <w:numId w:val="36"/>
        </w:numPr>
        <w:ind w:firstLineChars="0"/>
      </w:pPr>
      <w:r>
        <w:rPr>
          <w:rFonts w:hint="eastAsia"/>
        </w:rPr>
        <w:t>《国家健康医疗大数据标准、安全和服务管理办法（试行）》（国卫规划发〔2018〕23号）</w:t>
      </w:r>
    </w:p>
    <w:p>
      <w:pPr>
        <w:pStyle w:val="56"/>
        <w:numPr>
          <w:ilvl w:val="0"/>
          <w:numId w:val="36"/>
        </w:numPr>
        <w:ind w:firstLineChars="0"/>
      </w:pPr>
      <w:r>
        <w:rPr>
          <w:rFonts w:hint="eastAsia"/>
        </w:rPr>
        <w:t>《国务院办公厅关于促进“互联网+医疗健康”发展的意见》（国办发〔2018〕26号）</w:t>
      </w:r>
    </w:p>
    <w:p>
      <w:pPr>
        <w:pStyle w:val="56"/>
        <w:numPr>
          <w:ilvl w:val="0"/>
          <w:numId w:val="36"/>
        </w:numPr>
        <w:ind w:firstLineChars="0"/>
      </w:pPr>
      <w:r>
        <w:rPr>
          <w:rFonts w:hint="eastAsia"/>
        </w:rPr>
        <w:t>《远程医疗服务管理规范（试行）》（国卫医发（2018〕25号）</w:t>
      </w:r>
    </w:p>
    <w:p>
      <w:pPr>
        <w:pStyle w:val="56"/>
        <w:numPr>
          <w:ilvl w:val="0"/>
          <w:numId w:val="36"/>
        </w:numPr>
        <w:ind w:firstLineChars="0"/>
      </w:pPr>
      <w:r>
        <w:rPr>
          <w:rFonts w:hint="eastAsia"/>
        </w:rPr>
        <w:t>《互联网诊疗监管细则（试行）》（国卫办医发（2022）2号）</w:t>
      </w:r>
    </w:p>
    <w:p>
      <w:pPr>
        <w:pStyle w:val="56"/>
        <w:numPr>
          <w:ilvl w:val="0"/>
          <w:numId w:val="36"/>
        </w:numPr>
        <w:ind w:firstLineChars="0"/>
      </w:pPr>
      <w:r>
        <w:rPr>
          <w:rFonts w:hint="eastAsia"/>
        </w:rPr>
        <w:t>《电子病历系统应用水平分级评价管理办法（试行）及评价标准（试行）》（国卫办医函〔2018〕1079号）</w:t>
      </w:r>
    </w:p>
    <w:p>
      <w:pPr>
        <w:pStyle w:val="56"/>
        <w:numPr>
          <w:ilvl w:val="0"/>
          <w:numId w:val="36"/>
        </w:numPr>
        <w:ind w:firstLineChars="0"/>
      </w:pPr>
      <w:r>
        <w:rPr>
          <w:rFonts w:hint="eastAsia"/>
        </w:rPr>
        <w:t>《医疗保障信息平台医保移动支付技术规范》（XJ-D02-2020）</w:t>
      </w:r>
    </w:p>
    <w:p>
      <w:pPr>
        <w:pStyle w:val="56"/>
        <w:numPr>
          <w:ilvl w:val="0"/>
          <w:numId w:val="36"/>
        </w:numPr>
        <w:ind w:firstLineChars="0"/>
      </w:pPr>
      <w:r>
        <w:rPr>
          <w:rFonts w:hint="eastAsia"/>
        </w:rPr>
        <w:t>《关于进一步推进“互联网+护理服务”试点工作的通知》（国卫办医函〔2020〕985号）</w:t>
      </w:r>
    </w:p>
    <w:p>
      <w:pPr>
        <w:pStyle w:val="56"/>
        <w:numPr>
          <w:ilvl w:val="0"/>
          <w:numId w:val="36"/>
        </w:numPr>
        <w:ind w:firstLineChars="0"/>
      </w:pPr>
      <w:r>
        <w:rPr>
          <w:rFonts w:hint="eastAsia"/>
        </w:rPr>
        <w:t>《医疗机构病历管理规定》（卫医发〔2002〕193号）</w:t>
      </w:r>
    </w:p>
    <w:p>
      <w:pPr>
        <w:pStyle w:val="56"/>
        <w:numPr>
          <w:ilvl w:val="0"/>
          <w:numId w:val="36"/>
        </w:numPr>
        <w:ind w:firstLineChars="0"/>
      </w:pPr>
      <w:r>
        <w:rPr>
          <w:rFonts w:hint="eastAsia"/>
        </w:rPr>
        <w:t>《安徽省互联网医院管理办法（试行）》（皖卫医〔2019〕19号）</w:t>
      </w:r>
    </w:p>
    <w:p>
      <w:pPr>
        <w:pStyle w:val="56"/>
        <w:numPr>
          <w:ilvl w:val="0"/>
          <w:numId w:val="36"/>
        </w:numPr>
        <w:ind w:firstLineChars="0"/>
      </w:pPr>
      <w:r>
        <w:rPr>
          <w:rFonts w:hint="eastAsia"/>
        </w:rPr>
        <w:t>《安徽省互联网诊疗监管实施办法（试行）》（皖卫发〔2022〕11号）</w:t>
      </w:r>
    </w:p>
    <w:p>
      <w:pPr>
        <w:pStyle w:val="56"/>
        <w:numPr>
          <w:ilvl w:val="0"/>
          <w:numId w:val="36"/>
        </w:numPr>
        <w:ind w:firstLineChars="0"/>
      </w:pPr>
      <w:r>
        <w:rPr>
          <w:rFonts w:hint="eastAsia"/>
        </w:rPr>
        <w:t>《安徽省医疗纠纷预防与处置办法》（安徽省人民政府276号令）</w:t>
      </w:r>
    </w:p>
    <w:sectPr>
      <w:pgSz w:w="11906" w:h="16838"/>
      <w:pgMar w:top="1928"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DB34/T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2EF232E4"/>
    <w:multiLevelType w:val="multilevel"/>
    <w:tmpl w:val="2EF232E4"/>
    <w:lvl w:ilvl="0" w:tentative="0">
      <w:start w:val="1"/>
      <w:numFmt w:val="decimal"/>
      <w:lvlText w:val="[%1]"/>
      <w:lvlJc w:val="left"/>
      <w:pPr>
        <w:ind w:left="86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2483"/>
    <w:rsid w:val="0000040A"/>
    <w:rsid w:val="00000A94"/>
    <w:rsid w:val="00001972"/>
    <w:rsid w:val="00001D9A"/>
    <w:rsid w:val="0000539B"/>
    <w:rsid w:val="00007B3A"/>
    <w:rsid w:val="000107E0"/>
    <w:rsid w:val="00011FDE"/>
    <w:rsid w:val="00012FFD"/>
    <w:rsid w:val="00014162"/>
    <w:rsid w:val="00014340"/>
    <w:rsid w:val="00016A9C"/>
    <w:rsid w:val="00022184"/>
    <w:rsid w:val="00022762"/>
    <w:rsid w:val="000238E0"/>
    <w:rsid w:val="000249DB"/>
    <w:rsid w:val="0002595E"/>
    <w:rsid w:val="000303C3"/>
    <w:rsid w:val="000303CE"/>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52F"/>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A9"/>
    <w:rsid w:val="00176DFD"/>
    <w:rsid w:val="00183BF6"/>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2B22"/>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1EB5"/>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102"/>
    <w:rsid w:val="002D79AC"/>
    <w:rsid w:val="002E039D"/>
    <w:rsid w:val="002E4D5A"/>
    <w:rsid w:val="002E6326"/>
    <w:rsid w:val="002F30E0"/>
    <w:rsid w:val="002F35E4"/>
    <w:rsid w:val="002F3730"/>
    <w:rsid w:val="002F38E1"/>
    <w:rsid w:val="002F4002"/>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68D8"/>
    <w:rsid w:val="003872FC"/>
    <w:rsid w:val="00387ADC"/>
    <w:rsid w:val="00390020"/>
    <w:rsid w:val="003903D6"/>
    <w:rsid w:val="00390EE6"/>
    <w:rsid w:val="0039118F"/>
    <w:rsid w:val="00392AD7"/>
    <w:rsid w:val="003938D9"/>
    <w:rsid w:val="00394376"/>
    <w:rsid w:val="003943FF"/>
    <w:rsid w:val="00395700"/>
    <w:rsid w:val="003966B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7B9"/>
    <w:rsid w:val="003E2A69"/>
    <w:rsid w:val="003E2D49"/>
    <w:rsid w:val="003E2FD4"/>
    <w:rsid w:val="003E49F6"/>
    <w:rsid w:val="003E660F"/>
    <w:rsid w:val="003F0841"/>
    <w:rsid w:val="003F23D3"/>
    <w:rsid w:val="003F3F08"/>
    <w:rsid w:val="003F49F1"/>
    <w:rsid w:val="003F5A4B"/>
    <w:rsid w:val="003F6272"/>
    <w:rsid w:val="00400E72"/>
    <w:rsid w:val="00401400"/>
    <w:rsid w:val="00404869"/>
    <w:rsid w:val="00405884"/>
    <w:rsid w:val="00407D39"/>
    <w:rsid w:val="0041477A"/>
    <w:rsid w:val="004167A3"/>
    <w:rsid w:val="00432DAA"/>
    <w:rsid w:val="00434305"/>
    <w:rsid w:val="00435597"/>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483"/>
    <w:rsid w:val="00492F02"/>
    <w:rsid w:val="004939AD"/>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4FAD"/>
    <w:rsid w:val="004C7556"/>
    <w:rsid w:val="004C7E8B"/>
    <w:rsid w:val="004C7E9D"/>
    <w:rsid w:val="004C7F67"/>
    <w:rsid w:val="004D076D"/>
    <w:rsid w:val="004D0EF1"/>
    <w:rsid w:val="004D2253"/>
    <w:rsid w:val="004D4406"/>
    <w:rsid w:val="004D5388"/>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937"/>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6230"/>
    <w:rsid w:val="00560043"/>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B7A7D"/>
    <w:rsid w:val="005C29B8"/>
    <w:rsid w:val="005C5F21"/>
    <w:rsid w:val="005C7156"/>
    <w:rsid w:val="005D0C75"/>
    <w:rsid w:val="005D4171"/>
    <w:rsid w:val="005D6A95"/>
    <w:rsid w:val="005D6B2C"/>
    <w:rsid w:val="005D6D9C"/>
    <w:rsid w:val="005E0EA7"/>
    <w:rsid w:val="005E2335"/>
    <w:rsid w:val="005E34CA"/>
    <w:rsid w:val="005E3C18"/>
    <w:rsid w:val="005E6812"/>
    <w:rsid w:val="005E7881"/>
    <w:rsid w:val="005E78E0"/>
    <w:rsid w:val="005F0D9C"/>
    <w:rsid w:val="005F284E"/>
    <w:rsid w:val="005F4712"/>
    <w:rsid w:val="006015CE"/>
    <w:rsid w:val="00604784"/>
    <w:rsid w:val="00606419"/>
    <w:rsid w:val="00607D29"/>
    <w:rsid w:val="00612390"/>
    <w:rsid w:val="00612952"/>
    <w:rsid w:val="00614CC1"/>
    <w:rsid w:val="00615A9D"/>
    <w:rsid w:val="00617387"/>
    <w:rsid w:val="006205D6"/>
    <w:rsid w:val="006252D8"/>
    <w:rsid w:val="006259BC"/>
    <w:rsid w:val="0062636B"/>
    <w:rsid w:val="00632182"/>
    <w:rsid w:val="00632AE0"/>
    <w:rsid w:val="00633C17"/>
    <w:rsid w:val="00633CCD"/>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413B"/>
    <w:rsid w:val="006770F4"/>
    <w:rsid w:val="00677A84"/>
    <w:rsid w:val="0068026D"/>
    <w:rsid w:val="00680A27"/>
    <w:rsid w:val="006816A4"/>
    <w:rsid w:val="006819B8"/>
    <w:rsid w:val="006840A6"/>
    <w:rsid w:val="006850CD"/>
    <w:rsid w:val="00685AAB"/>
    <w:rsid w:val="00694600"/>
    <w:rsid w:val="00695D22"/>
    <w:rsid w:val="006A07AA"/>
    <w:rsid w:val="006A25E5"/>
    <w:rsid w:val="006A2B46"/>
    <w:rsid w:val="006A336D"/>
    <w:rsid w:val="006A37B9"/>
    <w:rsid w:val="006A6283"/>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3726"/>
    <w:rsid w:val="00704387"/>
    <w:rsid w:val="00707669"/>
    <w:rsid w:val="00711CBA"/>
    <w:rsid w:val="00711FB5"/>
    <w:rsid w:val="00712A01"/>
    <w:rsid w:val="00714F58"/>
    <w:rsid w:val="00722E03"/>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5E9D"/>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3701"/>
    <w:rsid w:val="00856316"/>
    <w:rsid w:val="008579B5"/>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A81"/>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6498"/>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5A2"/>
    <w:rsid w:val="009B46F9"/>
    <w:rsid w:val="009B6029"/>
    <w:rsid w:val="009B6971"/>
    <w:rsid w:val="009C27F1"/>
    <w:rsid w:val="009C3152"/>
    <w:rsid w:val="009C4CFA"/>
    <w:rsid w:val="009C5070"/>
    <w:rsid w:val="009D112C"/>
    <w:rsid w:val="009D47FA"/>
    <w:rsid w:val="009D4C5B"/>
    <w:rsid w:val="009D50D2"/>
    <w:rsid w:val="009D6AA2"/>
    <w:rsid w:val="009D6BCA"/>
    <w:rsid w:val="009E0F62"/>
    <w:rsid w:val="009E32D5"/>
    <w:rsid w:val="009E367C"/>
    <w:rsid w:val="009E4A58"/>
    <w:rsid w:val="009E5A2D"/>
    <w:rsid w:val="009E5AB2"/>
    <w:rsid w:val="009E6219"/>
    <w:rsid w:val="009F03B3"/>
    <w:rsid w:val="00A0096C"/>
    <w:rsid w:val="00A01757"/>
    <w:rsid w:val="00A028C0"/>
    <w:rsid w:val="00A02BAE"/>
    <w:rsid w:val="00A06A6B"/>
    <w:rsid w:val="00A07E47"/>
    <w:rsid w:val="00A11857"/>
    <w:rsid w:val="00A129D0"/>
    <w:rsid w:val="00A12C33"/>
    <w:rsid w:val="00A138BA"/>
    <w:rsid w:val="00A14C8E"/>
    <w:rsid w:val="00A153D9"/>
    <w:rsid w:val="00A15F09"/>
    <w:rsid w:val="00A169B6"/>
    <w:rsid w:val="00A2271D"/>
    <w:rsid w:val="00A237D5"/>
    <w:rsid w:val="00A30EFC"/>
    <w:rsid w:val="00A31104"/>
    <w:rsid w:val="00A31984"/>
    <w:rsid w:val="00A32D73"/>
    <w:rsid w:val="00A3367B"/>
    <w:rsid w:val="00A3597D"/>
    <w:rsid w:val="00A36024"/>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2E"/>
    <w:rsid w:val="00A862D6"/>
    <w:rsid w:val="00A8715E"/>
    <w:rsid w:val="00A9295B"/>
    <w:rsid w:val="00A93B09"/>
    <w:rsid w:val="00A94247"/>
    <w:rsid w:val="00A952D7"/>
    <w:rsid w:val="00A963F7"/>
    <w:rsid w:val="00A96AD8"/>
    <w:rsid w:val="00A96B42"/>
    <w:rsid w:val="00AA052C"/>
    <w:rsid w:val="00AA1E45"/>
    <w:rsid w:val="00AA4286"/>
    <w:rsid w:val="00AA456B"/>
    <w:rsid w:val="00AA57F5"/>
    <w:rsid w:val="00AA672E"/>
    <w:rsid w:val="00AA6EC9"/>
    <w:rsid w:val="00AB41D5"/>
    <w:rsid w:val="00AB6309"/>
    <w:rsid w:val="00AB6C5F"/>
    <w:rsid w:val="00AB7129"/>
    <w:rsid w:val="00AB7608"/>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085"/>
    <w:rsid w:val="00B147DD"/>
    <w:rsid w:val="00B156FD"/>
    <w:rsid w:val="00B21F61"/>
    <w:rsid w:val="00B261F1"/>
    <w:rsid w:val="00B265BC"/>
    <w:rsid w:val="00B31FB1"/>
    <w:rsid w:val="00B33952"/>
    <w:rsid w:val="00B33C5E"/>
    <w:rsid w:val="00B342F4"/>
    <w:rsid w:val="00B34369"/>
    <w:rsid w:val="00B34DC2"/>
    <w:rsid w:val="00B37190"/>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C7A3E"/>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12BE"/>
    <w:rsid w:val="00C33E50"/>
    <w:rsid w:val="00C34C20"/>
    <w:rsid w:val="00C35A3E"/>
    <w:rsid w:val="00C35B2B"/>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3B09"/>
    <w:rsid w:val="00CE78B4"/>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3113"/>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3F7"/>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D0"/>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256"/>
    <w:rsid w:val="00F07B9D"/>
    <w:rsid w:val="00F11586"/>
    <w:rsid w:val="00F1183B"/>
    <w:rsid w:val="00F11C9F"/>
    <w:rsid w:val="00F12263"/>
    <w:rsid w:val="00F1409D"/>
    <w:rsid w:val="00F14214"/>
    <w:rsid w:val="00F157A9"/>
    <w:rsid w:val="00F25BB6"/>
    <w:rsid w:val="00F26B7E"/>
    <w:rsid w:val="00F27A3B"/>
    <w:rsid w:val="00F33817"/>
    <w:rsid w:val="00F37199"/>
    <w:rsid w:val="00F4017F"/>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6F69"/>
    <w:rsid w:val="00FD7299"/>
    <w:rsid w:val="00FE1FBE"/>
    <w:rsid w:val="00FE3901"/>
    <w:rsid w:val="00FE39D3"/>
    <w:rsid w:val="00FE4BCE"/>
    <w:rsid w:val="00FE54AE"/>
    <w:rsid w:val="00FE576A"/>
    <w:rsid w:val="00FE7E79"/>
    <w:rsid w:val="00FF3E7D"/>
    <w:rsid w:val="00FF5B99"/>
    <w:rsid w:val="00FF6125"/>
    <w:rsid w:val="00FF730C"/>
    <w:rsid w:val="00FF73F4"/>
    <w:rsid w:val="00FF7CE4"/>
    <w:rsid w:val="00FF7E39"/>
    <w:rsid w:val="09197A9E"/>
    <w:rsid w:val="257B1B06"/>
    <w:rsid w:val="5E843B7E"/>
    <w:rsid w:val="698C0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Layout w:type="fixed"/>
      <w:tblCellMar>
        <w:top w:w="0" w:type="dxa"/>
        <w:left w:w="108" w:type="dxa"/>
        <w:bottom w:w="0" w:type="dxa"/>
        <w:right w:w="108" w:type="dxa"/>
      </w:tblCellMar>
    </w:tblPr>
  </w:style>
  <w:style w:type="paragraph" w:styleId="11">
    <w:name w:val="toc 7"/>
    <w:basedOn w:val="1"/>
    <w:next w:val="1"/>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uiPriority w:val="0"/>
    <w:pPr>
      <w:spacing w:after="120"/>
    </w:pPr>
  </w:style>
  <w:style w:type="paragraph" w:styleId="14">
    <w:name w:val="toc 5"/>
    <w:basedOn w:val="1"/>
    <w:next w:val="1"/>
    <w:unhideWhenUsed/>
    <w:uiPriority w:val="39"/>
    <w:pPr>
      <w:ind w:left="839"/>
    </w:pPr>
    <w:rPr>
      <w:rFonts w:ascii="宋体"/>
    </w:rPr>
  </w:style>
  <w:style w:type="paragraph" w:styleId="15">
    <w:name w:val="toc 3"/>
    <w:basedOn w:val="1"/>
    <w:next w:val="1"/>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unhideWhenUsed/>
    <w:uiPriority w:val="39"/>
    <w:rPr>
      <w:rFonts w:ascii="宋体"/>
    </w:rPr>
  </w:style>
  <w:style w:type="paragraph" w:styleId="20">
    <w:name w:val="toc 4"/>
    <w:basedOn w:val="1"/>
    <w:next w:val="1"/>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uiPriority w:val="0"/>
    <w:rPr>
      <w:b/>
      <w:bCs/>
      <w:kern w:val="44"/>
      <w:sz w:val="44"/>
      <w:szCs w:val="44"/>
    </w:rPr>
  </w:style>
  <w:style w:type="character" w:customStyle="1" w:styleId="35">
    <w:name w:val="标题 2 字符"/>
    <w:link w:val="3"/>
    <w:uiPriority w:val="0"/>
    <w:rPr>
      <w:rFonts w:ascii="Arial" w:hAnsi="Arial" w:eastAsia="黑体"/>
      <w:b/>
      <w:bCs/>
      <w:kern w:val="2"/>
      <w:sz w:val="32"/>
      <w:szCs w:val="32"/>
    </w:rPr>
  </w:style>
  <w:style w:type="character" w:customStyle="1" w:styleId="36">
    <w:name w:val="标题 3 字符"/>
    <w:link w:val="4"/>
    <w:uiPriority w:val="0"/>
    <w:rPr>
      <w:b/>
      <w:bCs/>
      <w:kern w:val="2"/>
      <w:sz w:val="32"/>
      <w:szCs w:val="32"/>
    </w:rPr>
  </w:style>
  <w:style w:type="character" w:customStyle="1" w:styleId="37">
    <w:name w:val="标题 4 字符"/>
    <w:link w:val="5"/>
    <w:uiPriority w:val="0"/>
    <w:rPr>
      <w:rFonts w:ascii="Arial" w:hAnsi="Arial" w:eastAsia="黑体"/>
      <w:b/>
      <w:bCs/>
      <w:kern w:val="2"/>
      <w:sz w:val="28"/>
      <w:szCs w:val="28"/>
    </w:rPr>
  </w:style>
  <w:style w:type="character" w:customStyle="1" w:styleId="38">
    <w:name w:val="标题 5 字符"/>
    <w:link w:val="6"/>
    <w:uiPriority w:val="0"/>
    <w:rPr>
      <w:b/>
      <w:bCs/>
      <w:kern w:val="2"/>
      <w:sz w:val="28"/>
      <w:szCs w:val="28"/>
    </w:rPr>
  </w:style>
  <w:style w:type="character" w:customStyle="1" w:styleId="39">
    <w:name w:val="标题 6 字符"/>
    <w:link w:val="7"/>
    <w:uiPriority w:val="0"/>
    <w:rPr>
      <w:rFonts w:ascii="Arial" w:hAnsi="Arial" w:eastAsia="黑体"/>
      <w:b/>
      <w:bCs/>
      <w:kern w:val="2"/>
      <w:sz w:val="24"/>
      <w:szCs w:val="24"/>
    </w:rPr>
  </w:style>
  <w:style w:type="character" w:customStyle="1" w:styleId="40">
    <w:name w:val="标题 7 字符"/>
    <w:link w:val="8"/>
    <w:uiPriority w:val="0"/>
    <w:rPr>
      <w:b/>
      <w:bCs/>
      <w:kern w:val="2"/>
      <w:sz w:val="24"/>
      <w:szCs w:val="24"/>
    </w:rPr>
  </w:style>
  <w:style w:type="character" w:customStyle="1" w:styleId="41">
    <w:name w:val="标题 8 字符"/>
    <w:link w:val="9"/>
    <w:uiPriority w:val="0"/>
    <w:rPr>
      <w:rFonts w:ascii="Arial" w:hAnsi="Arial" w:eastAsia="黑体"/>
      <w:kern w:val="2"/>
      <w:sz w:val="24"/>
      <w:szCs w:val="24"/>
    </w:rPr>
  </w:style>
  <w:style w:type="character" w:customStyle="1" w:styleId="42">
    <w:name w:val="标题 9 字符"/>
    <w:link w:val="10"/>
    <w:uiPriority w:val="0"/>
    <w:rPr>
      <w:rFonts w:ascii="Arial" w:hAnsi="Arial" w:eastAsia="黑体"/>
      <w:kern w:val="2"/>
      <w:sz w:val="21"/>
      <w:szCs w:val="21"/>
    </w:rPr>
  </w:style>
  <w:style w:type="character" w:customStyle="1" w:styleId="43">
    <w:name w:val="页眉 字符"/>
    <w:link w:val="18"/>
    <w:uiPriority w:val="99"/>
    <w:rPr>
      <w:kern w:val="2"/>
      <w:sz w:val="18"/>
      <w:szCs w:val="18"/>
    </w:rPr>
  </w:style>
  <w:style w:type="character" w:customStyle="1" w:styleId="44">
    <w:name w:val="页脚 字符"/>
    <w:link w:val="17"/>
    <w:uiPriority w:val="99"/>
    <w:rPr>
      <w:rFonts w:ascii="宋体"/>
      <w:kern w:val="2"/>
      <w:sz w:val="18"/>
      <w:szCs w:val="18"/>
    </w:rPr>
  </w:style>
  <w:style w:type="character" w:customStyle="1" w:styleId="45">
    <w:name w:val="批注框文本 字符"/>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uiPriority w:val="29"/>
    <w:rPr>
      <w:i/>
      <w:iCs/>
      <w:color w:val="000000"/>
      <w:kern w:val="2"/>
      <w:sz w:val="21"/>
      <w:szCs w:val="21"/>
    </w:rPr>
  </w:style>
  <w:style w:type="character" w:customStyle="1" w:styleId="48">
    <w:name w:val="标题 字符"/>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uiPriority w:val="0"/>
    <w:pPr>
      <w:adjustRightInd/>
      <w:spacing w:line="240" w:lineRule="auto"/>
      <w:jc w:val="left"/>
    </w:pPr>
    <w:rPr>
      <w:bCs/>
      <w:iCs/>
    </w:rPr>
  </w:style>
  <w:style w:type="paragraph" w:customStyle="1" w:styleId="143">
    <w:name w:val="目录 31"/>
    <w:basedOn w:val="1"/>
    <w:next w:val="1"/>
    <w:semiHidden/>
    <w:uiPriority w:val="0"/>
    <w:pPr>
      <w:spacing w:line="240" w:lineRule="auto"/>
    </w:pPr>
    <w:rPr>
      <w:rFonts w:ascii="宋体" w:hAnsi="宋体"/>
      <w:iCs/>
    </w:rPr>
  </w:style>
  <w:style w:type="paragraph" w:customStyle="1" w:styleId="144">
    <w:name w:val="目录 41"/>
    <w:basedOn w:val="1"/>
    <w:next w:val="1"/>
    <w:semiHidden/>
    <w:uiPriority w:val="0"/>
    <w:pPr>
      <w:adjustRightInd/>
      <w:spacing w:line="240" w:lineRule="auto"/>
      <w:jc w:val="left"/>
    </w:pPr>
  </w:style>
  <w:style w:type="paragraph" w:customStyle="1" w:styleId="145">
    <w:name w:val="目录 51"/>
    <w:basedOn w:val="1"/>
    <w:next w:val="1"/>
    <w:semiHidden/>
    <w:uiPriority w:val="0"/>
    <w:pPr>
      <w:spacing w:line="240" w:lineRule="auto"/>
    </w:pPr>
    <w:rPr>
      <w:rFonts w:ascii="宋体" w:hAnsi="宋体"/>
    </w:rPr>
  </w:style>
  <w:style w:type="paragraph" w:customStyle="1" w:styleId="146">
    <w:name w:val="目录 61"/>
    <w:basedOn w:val="1"/>
    <w:next w:val="1"/>
    <w:semiHidden/>
    <w:uiPriority w:val="0"/>
    <w:pPr>
      <w:adjustRightInd/>
      <w:spacing w:line="240" w:lineRule="auto"/>
      <w:jc w:val="left"/>
    </w:pPr>
  </w:style>
  <w:style w:type="paragraph" w:customStyle="1" w:styleId="147">
    <w:name w:val="目录 71"/>
    <w:basedOn w:val="146"/>
    <w:semiHidden/>
    <w:uiPriority w:val="0"/>
    <w:pPr>
      <w:ind w:left="1260"/>
    </w:pPr>
  </w:style>
  <w:style w:type="paragraph" w:customStyle="1" w:styleId="148">
    <w:name w:val="目录 81"/>
    <w:basedOn w:val="147"/>
    <w:semiHidden/>
    <w:uiPriority w:val="0"/>
    <w:pPr>
      <w:ind w:left="1470"/>
    </w:pPr>
  </w:style>
  <w:style w:type="paragraph" w:customStyle="1" w:styleId="149">
    <w:name w:val="目录 91"/>
    <w:basedOn w:val="148"/>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vAnchor="page" w:hAnchor="page" w:x="1419" w:y="14097"/>
    </w:pPr>
  </w:style>
  <w:style w:type="paragraph" w:customStyle="1" w:styleId="194">
    <w:name w:val="其他实施日期"/>
    <w:basedOn w:val="154"/>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image" Target="media/image1.tiff"/><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B4A1FF96CF94034897D5677AEC5EA65"/>
        <w:style w:val=""/>
        <w:category>
          <w:name w:val="常规"/>
          <w:gallery w:val="placeholder"/>
        </w:category>
        <w:types>
          <w:type w:val="bbPlcHdr"/>
        </w:types>
        <w:behaviors>
          <w:behavior w:val="content"/>
        </w:behaviors>
        <w:description w:val=""/>
        <w:guid w:val="{064BE861-DD3E-4B0C-887B-6DD896664D3F}"/>
      </w:docPartPr>
      <w:docPartBody>
        <w:p>
          <w:pPr>
            <w:pStyle w:val="5"/>
          </w:pPr>
          <w:r>
            <w:rPr>
              <w:rStyle w:val="4"/>
              <w:rFonts w:hint="eastAsia"/>
            </w:rPr>
            <w:t>单击或点击此处输入文字。</w:t>
          </w:r>
        </w:p>
      </w:docPartBody>
    </w:docPart>
    <w:docPart>
      <w:docPartPr>
        <w:name w:val="5B9B529A72D44C7DAA64D0FCFDF83EE3"/>
        <w:style w:val=""/>
        <w:category>
          <w:name w:val="常规"/>
          <w:gallery w:val="placeholder"/>
        </w:category>
        <w:types>
          <w:type w:val="bbPlcHdr"/>
        </w:types>
        <w:behaviors>
          <w:behavior w:val="content"/>
        </w:behaviors>
        <w:description w:val=""/>
        <w:guid w:val="{2E733B64-12BC-4410-9CB5-7AFEBD96FAE1}"/>
      </w:docPartPr>
      <w:docPartBody>
        <w:p>
          <w:pPr>
            <w:pStyle w:val="6"/>
          </w:pPr>
          <w:r>
            <w:rPr>
              <w:rStyle w:val="4"/>
              <w:rFonts w:hint="eastAsia"/>
            </w:rPr>
            <w:t>选择一项。</w:t>
          </w:r>
        </w:p>
      </w:docPartBody>
    </w:docPart>
    <w:docPart>
      <w:docPartPr>
        <w:name w:val="4E364DB8320B425EB8FE01DB58A4A898"/>
        <w:style w:val=""/>
        <w:category>
          <w:name w:val="常规"/>
          <w:gallery w:val="placeholder"/>
        </w:category>
        <w:types>
          <w:type w:val="bbPlcHdr"/>
        </w:types>
        <w:behaviors>
          <w:behavior w:val="content"/>
        </w:behaviors>
        <w:description w:val=""/>
        <w:guid w:val="{88504235-1DA8-44EA-9EF7-3003F0B35577}"/>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9D3"/>
    <w:rsid w:val="00A629D3"/>
    <w:rsid w:val="00AD0375"/>
    <w:rsid w:val="00CC0872"/>
    <w:rsid w:val="00D87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4B4A1FF96CF94034897D5677AEC5EA65"/>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5B9B529A72D44C7DAA64D0FCFDF83EE3"/>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4E364DB8320B425EB8FE01DB58A4A898"/>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12</Pages>
  <Words>1247</Words>
  <Characters>7109</Characters>
  <Lines>59</Lines>
  <Paragraphs>16</Paragraphs>
  <TotalTime>1</TotalTime>
  <ScaleCrop>false</ScaleCrop>
  <LinksUpToDate>false</LinksUpToDate>
  <CharactersWithSpaces>8340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2023-09-14T10:02:00Z</dcterms:created>
  <dc:creator>以梦为马</dc:creator>
  <dc:description>&lt;config cover="true" show_menu="true" version="1.0.0" doctype="SDKXY"&gt;_x000d_
&lt;/config&gt;</dc:description>
  <cp:lastModifiedBy>Administrator</cp:lastModifiedBy>
  <cp:lastPrinted>2020-08-30T10:00:00Z</cp:lastPrinted>
  <dcterms:modified xsi:type="dcterms:W3CDTF">2023-10-27T00:48:41Z</dcterms:modified>
  <dc:title>地方标准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2052-11.8.2.8621</vt:lpwstr>
  </property>
</Properties>
</file>