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ascii="方正黑体_GBK" w:hAnsi="方正黑体_GBK" w:eastAsia="方正黑体_GBK" w:cs="方正黑体_GBK"/>
          <w:szCs w:val="32"/>
        </w:rPr>
      </w:pPr>
      <w:bookmarkStart w:id="24" w:name="_GoBack"/>
      <w:r>
        <w:rPr>
          <w:rFonts w:hint="eastAsia" w:ascii="方正黑体_GBK" w:hAnsi="方正黑体_GBK" w:eastAsia="方正黑体_GBK" w:cs="方正黑体_GBK"/>
          <w:szCs w:val="32"/>
        </w:rPr>
        <w:t>附件1</w:t>
      </w:r>
    </w:p>
    <w:bookmarkEnd w:id="24"/>
    <w:p>
      <w:pPr>
        <w:pStyle w:val="2"/>
        <w:ind w:left="1895" w:firstLine="632"/>
      </w:pPr>
    </w:p>
    <w:p>
      <w:pPr>
        <w:spacing w:line="480" w:lineRule="auto"/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  <w:t>江苏省第二类精神药品原料药年度</w:t>
      </w:r>
    </w:p>
    <w:p>
      <w:pPr>
        <w:spacing w:line="480" w:lineRule="auto"/>
        <w:ind w:firstLine="197" w:firstLineChars="45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  <w:t>需用（追加）计划备案</w:t>
      </w:r>
    </w:p>
    <w:p>
      <w:pPr>
        <w:ind w:firstLine="632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用户手册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  <w:t>（企业端）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szCs w:val="32"/>
          <w:lang w:val="en-US"/>
        </w:rPr>
        <w:t>江苏</w:t>
      </w:r>
      <w:r>
        <w:rPr>
          <w:rFonts w:hint="eastAsia" w:ascii="方正小标宋_GBK" w:hAnsi="方正小标宋_GBK" w:eastAsia="方正小标宋_GBK" w:cs="方正小标宋_GBK"/>
          <w:bCs/>
          <w:szCs w:val="32"/>
          <w:lang w:val="en-US"/>
        </w:rPr>
        <w:t>科佳软件开发有限公司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color w:val="000000" w:themeColor="text1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Cs w:val="32"/>
          <w:lang w:val="en-US"/>
        </w:rPr>
        <w:t>2023年10月</w:t>
      </w:r>
    </w:p>
    <w:p>
      <w:pPr>
        <w:pStyle w:val="2"/>
        <w:ind w:left="1895" w:firstLine="632"/>
        <w:rPr>
          <w:lang w:val="en-US"/>
        </w:rPr>
      </w:pPr>
    </w:p>
    <w:p>
      <w:pPr>
        <w:pStyle w:val="2"/>
        <w:ind w:left="0" w:leftChars="0"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目  录</w:t>
      </w:r>
    </w:p>
    <w:p>
      <w:pPr>
        <w:pStyle w:val="2"/>
        <w:ind w:left="597" w:leftChars="189" w:firstLineChars="0"/>
        <w:rPr>
          <w:rFonts w:ascii="仿宋" w:hAnsi="仿宋" w:eastAsia="仿宋"/>
        </w:rPr>
      </w:pPr>
    </w:p>
    <w:p>
      <w:pPr>
        <w:pStyle w:val="2"/>
        <w:ind w:left="0" w:leftChars="0"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一、企业用户</w:t>
      </w:r>
      <w:r>
        <w:rPr>
          <w:rFonts w:ascii="仿宋" w:hAnsi="仿宋" w:eastAsia="仿宋"/>
        </w:rPr>
        <w:t>注册……………</w:t>
      </w:r>
      <w:r>
        <w:rPr>
          <w:rFonts w:hint="eastAsia" w:ascii="仿宋" w:hAnsi="仿宋" w:eastAsia="仿宋"/>
        </w:rPr>
        <w:t>…………………………3</w:t>
      </w:r>
    </w:p>
    <w:p>
      <w:pPr>
        <w:pStyle w:val="2"/>
        <w:ind w:left="0" w:leftChars="0"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二、</w:t>
      </w:r>
      <w:r>
        <w:rPr>
          <w:rFonts w:ascii="仿宋" w:hAnsi="仿宋" w:eastAsia="仿宋"/>
        </w:rPr>
        <w:t>备案</w:t>
      </w:r>
      <w:r>
        <w:rPr>
          <w:rFonts w:hint="eastAsia" w:ascii="仿宋" w:hAnsi="仿宋" w:eastAsia="仿宋"/>
        </w:rPr>
        <w:t>模块</w:t>
      </w:r>
      <w:r>
        <w:rPr>
          <w:rFonts w:ascii="仿宋" w:hAnsi="仿宋" w:eastAsia="仿宋"/>
        </w:rPr>
        <w:t>登录</w:t>
      </w:r>
      <w:r>
        <w:rPr>
          <w:rFonts w:hint="eastAsia" w:ascii="仿宋" w:hAnsi="仿宋" w:eastAsia="仿宋"/>
        </w:rPr>
        <w:t>………………………………………4</w:t>
      </w:r>
    </w:p>
    <w:p>
      <w:pPr>
        <w:pStyle w:val="2"/>
        <w:ind w:left="0" w:leftChars="0"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三、备案</w:t>
      </w:r>
      <w:r>
        <w:rPr>
          <w:rFonts w:ascii="仿宋" w:hAnsi="仿宋" w:eastAsia="仿宋"/>
        </w:rPr>
        <w:t>操作说明</w:t>
      </w:r>
      <w:r>
        <w:rPr>
          <w:rFonts w:hint="eastAsia" w:ascii="仿宋" w:hAnsi="仿宋" w:eastAsia="仿宋"/>
        </w:rPr>
        <w:t>………………………………………5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3.1申请功能</w:t>
      </w:r>
      <w:r>
        <w:rPr>
          <w:rFonts w:hint="eastAsia" w:ascii="仿宋" w:hAnsi="仿宋" w:eastAsia="仿宋"/>
        </w:rPr>
        <w:t xml:space="preserve"> ………………………………………5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3.2删除功能</w:t>
      </w:r>
      <w:r>
        <w:rPr>
          <w:rFonts w:hint="eastAsia" w:ascii="仿宋" w:hAnsi="仿宋" w:eastAsia="仿宋"/>
        </w:rPr>
        <w:t xml:space="preserve"> ………………………………………9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3.3修改功能</w:t>
      </w:r>
      <w:r>
        <w:rPr>
          <w:rFonts w:hint="eastAsia" w:ascii="仿宋" w:hAnsi="仿宋" w:eastAsia="仿宋"/>
        </w:rPr>
        <w:t>………………………………………10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3.4查询功能</w:t>
      </w:r>
      <w:r>
        <w:rPr>
          <w:rFonts w:hint="eastAsia" w:ascii="仿宋" w:hAnsi="仿宋" w:eastAsia="仿宋"/>
        </w:rPr>
        <w:t>………………………………………11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3.5撤回功能</w:t>
      </w:r>
      <w:r>
        <w:rPr>
          <w:rFonts w:hint="eastAsia" w:ascii="仿宋" w:hAnsi="仿宋" w:eastAsia="仿宋"/>
        </w:rPr>
        <w:t>………………………………………12</w:t>
      </w:r>
    </w:p>
    <w:p>
      <w:pPr>
        <w:pStyle w:val="2"/>
        <w:ind w:left="0" w:leftChars="0" w:firstLine="1261" w:firstLineChars="399"/>
        <w:rPr>
          <w:rFonts w:ascii="仿宋" w:hAnsi="仿宋" w:eastAsia="仿宋"/>
        </w:rPr>
      </w:pPr>
      <w:r>
        <w:rPr>
          <w:rFonts w:ascii="仿宋" w:hAnsi="仿宋" w:eastAsia="仿宋"/>
        </w:rPr>
        <w:t>3.6补充材料</w:t>
      </w:r>
      <w:r>
        <w:rPr>
          <w:rFonts w:hint="eastAsia" w:ascii="仿宋" w:hAnsi="仿宋" w:eastAsia="仿宋"/>
        </w:rPr>
        <w:t>………………………………………13</w:t>
      </w:r>
    </w:p>
    <w:p>
      <w:pPr>
        <w:pStyle w:val="2"/>
        <w:ind w:leftChars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四、</w:t>
      </w:r>
      <w:r>
        <w:rPr>
          <w:rFonts w:ascii="仿宋" w:hAnsi="仿宋" w:eastAsia="仿宋"/>
        </w:rPr>
        <w:t>技术</w:t>
      </w:r>
      <w:r>
        <w:rPr>
          <w:rFonts w:hint="eastAsia" w:ascii="仿宋" w:hAnsi="仿宋" w:eastAsia="仿宋"/>
        </w:rPr>
        <w:t>咨询服务……………………………………14</w:t>
      </w:r>
    </w:p>
    <w:p>
      <w:pPr>
        <w:pStyle w:val="2"/>
        <w:ind w:left="1895" w:firstLine="632"/>
      </w:pPr>
    </w:p>
    <w:p>
      <w:pPr>
        <w:ind w:firstLine="632"/>
      </w:pPr>
    </w:p>
    <w:p>
      <w:pPr>
        <w:pStyle w:val="2"/>
        <w:ind w:left="0" w:leftChars="0" w:firstLine="0" w:firstLineChars="0"/>
      </w:pPr>
    </w:p>
    <w:p>
      <w:pPr>
        <w:pStyle w:val="3"/>
        <w:numPr>
          <w:ilvl w:val="0"/>
          <w:numId w:val="0"/>
        </w:numPr>
        <w:ind w:left="420" w:leftChars="133" w:firstLine="310" w:firstLineChars="98"/>
        <w:rPr>
          <w:rFonts w:ascii="黑体" w:hAnsi="黑体" w:eastAsia="黑体"/>
          <w:b w:val="0"/>
          <w:lang w:val="en-US"/>
        </w:rPr>
      </w:pPr>
      <w:bookmarkStart w:id="0" w:name="_Toc24529"/>
      <w:bookmarkStart w:id="1" w:name="_Toc107261407"/>
      <w:bookmarkStart w:id="2" w:name="_Toc10130"/>
      <w:bookmarkStart w:id="3" w:name="_Toc19317"/>
      <w:r>
        <w:rPr>
          <w:rFonts w:hint="eastAsia" w:ascii="黑体" w:hAnsi="黑体" w:eastAsia="黑体"/>
          <w:b w:val="0"/>
          <w:lang w:val="en-US"/>
        </w:rPr>
        <w:t>一、企业用户</w:t>
      </w:r>
      <w:r>
        <w:rPr>
          <w:rFonts w:ascii="黑体" w:hAnsi="黑体" w:eastAsia="黑体"/>
          <w:b w:val="0"/>
          <w:lang w:val="en-US"/>
        </w:rPr>
        <w:t>注册</w:t>
      </w:r>
      <w:bookmarkEnd w:id="0"/>
      <w:bookmarkEnd w:id="1"/>
      <w:bookmarkEnd w:id="2"/>
      <w:bookmarkEnd w:id="3"/>
    </w:p>
    <w:p>
      <w:pPr>
        <w:spacing w:line="240" w:lineRule="auto"/>
        <w:ind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打开浏览器</w:t>
      </w:r>
      <w:r>
        <w:rPr>
          <w:rFonts w:hint="eastAsia" w:ascii="仿宋" w:hAnsi="仿宋" w:eastAsia="仿宋"/>
          <w:lang w:val="en-US"/>
        </w:rPr>
        <w:t>（</w:t>
      </w:r>
      <w:r>
        <w:rPr>
          <w:rFonts w:hint="eastAsia" w:ascii="仿宋" w:hAnsi="仿宋" w:eastAsia="仿宋"/>
        </w:rPr>
        <w:t>推荐使用</w:t>
      </w:r>
      <w:r>
        <w:rPr>
          <w:rFonts w:ascii="仿宋" w:hAnsi="仿宋" w:eastAsia="仿宋"/>
          <w:lang w:val="en-US"/>
        </w:rPr>
        <w:t>360</w:t>
      </w:r>
      <w:r>
        <w:rPr>
          <w:rFonts w:ascii="仿宋" w:hAnsi="仿宋" w:eastAsia="仿宋"/>
        </w:rPr>
        <w:t>安全浏览器极速模式或者火狐浏览器</w:t>
      </w:r>
      <w:r>
        <w:rPr>
          <w:rFonts w:ascii="仿宋" w:hAnsi="仿宋" w:eastAsia="仿宋"/>
          <w:lang w:val="en-US"/>
        </w:rPr>
        <w:t>），</w:t>
      </w:r>
      <w:r>
        <w:rPr>
          <w:rFonts w:ascii="仿宋" w:hAnsi="仿宋" w:eastAsia="仿宋"/>
        </w:rPr>
        <w:t>输入江苏政务服务网网址</w:t>
      </w:r>
      <w:r>
        <w:rPr>
          <w:rFonts w:ascii="仿宋" w:hAnsi="仿宋" w:eastAsia="仿宋"/>
          <w:lang w:val="en-US"/>
        </w:rPr>
        <w:t>（http://www.jszwfw.gov.cn），</w:t>
      </w:r>
      <w:r>
        <w:rPr>
          <w:rFonts w:ascii="仿宋" w:hAnsi="仿宋" w:eastAsia="仿宋"/>
        </w:rPr>
        <w:t>进行法人注册。</w:t>
      </w:r>
      <w:r>
        <w:rPr>
          <w:rFonts w:hint="eastAsia" w:ascii="仿宋" w:hAnsi="仿宋" w:eastAsia="仿宋"/>
        </w:rPr>
        <w:t>法人可授权经办人，由经办人进行日常登记申报。</w:t>
      </w:r>
    </w:p>
    <w:p>
      <w:pPr>
        <w:spacing w:line="240" w:lineRule="auto"/>
        <w:ind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初次使用系统的用户，点击“注册——法人注册”。</w:t>
      </w:r>
    </w:p>
    <w:p>
      <w:pPr>
        <w:spacing w:line="240" w:lineRule="auto"/>
        <w:ind w:left="632" w:firstLine="0" w:firstLineChars="0"/>
        <w:rPr>
          <w:rFonts w:ascii="仿宋" w:hAnsi="仿宋" w:eastAsia="仿宋"/>
        </w:rPr>
      </w:pPr>
      <w:r>
        <w:rPr>
          <w:rFonts w:ascii="仿宋" w:hAnsi="仿宋" w:eastAsia="仿宋"/>
          <w:lang w:val="en-US" w:bidi="ar-SA"/>
        </w:rPr>
        <w:drawing>
          <wp:inline distT="0" distB="0" distL="114300" distR="114300">
            <wp:extent cx="5060950" cy="6800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3543" cy="6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32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可以通过“电子营业执照”、“综合法人库”两种方式，进行核验注册。</w:t>
      </w:r>
    </w:p>
    <w:p>
      <w:pPr>
        <w:spacing w:line="240" w:lineRule="auto"/>
        <w:ind w:left="632" w:firstLine="0" w:firstLineChars="0"/>
        <w:rPr>
          <w:rFonts w:ascii="仿宋" w:hAnsi="仿宋" w:eastAsia="仿宋"/>
        </w:rPr>
      </w:pPr>
      <w:r>
        <w:rPr>
          <w:rFonts w:ascii="仿宋" w:hAnsi="仿宋" w:eastAsia="仿宋"/>
          <w:lang w:val="en-US" w:bidi="ar-SA"/>
        </w:rPr>
        <w:drawing>
          <wp:inline distT="0" distB="0" distL="114300" distR="114300">
            <wp:extent cx="4986655" cy="2094230"/>
            <wp:effectExtent l="0" t="0" r="444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351" cy="21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632" w:firstLine="0" w:firstLineChars="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电子营业执照核验注册：</w:t>
      </w:r>
    </w:p>
    <w:p>
      <w:pPr>
        <w:spacing w:line="240" w:lineRule="auto"/>
        <w:ind w:firstLine="196" w:firstLineChars="62"/>
        <w:jc w:val="center"/>
        <w:rPr>
          <w:rFonts w:ascii="仿宋" w:hAnsi="仿宋" w:eastAsia="仿宋"/>
          <w:bCs/>
        </w:rPr>
      </w:pPr>
      <w:r>
        <w:rPr>
          <w:rFonts w:ascii="仿宋" w:hAnsi="仿宋" w:eastAsia="仿宋"/>
          <w:bCs/>
          <w:lang w:val="en-US" w:bidi="ar-SA"/>
        </w:rPr>
        <w:drawing>
          <wp:inline distT="0" distB="0" distL="114300" distR="114300">
            <wp:extent cx="4396105" cy="2264410"/>
            <wp:effectExtent l="0" t="0" r="444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740" cy="22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32"/>
        <w:rPr>
          <w:rFonts w:ascii="仿宋" w:hAnsi="仿宋" w:eastAsia="仿宋"/>
        </w:rPr>
      </w:pPr>
      <w:r>
        <w:rPr>
          <w:rFonts w:hint="eastAsia" w:ascii="仿宋" w:hAnsi="仿宋" w:eastAsia="仿宋"/>
          <w:bCs/>
        </w:rPr>
        <w:t>综合法人库核验注册：</w:t>
      </w:r>
    </w:p>
    <w:p>
      <w:pPr>
        <w:spacing w:line="590" w:lineRule="atLeast"/>
        <w:ind w:firstLine="0" w:firstLineChars="0"/>
      </w:pPr>
      <w:r>
        <w:rPr>
          <w:lang w:val="en-US" w:bidi="ar-SA"/>
        </w:rPr>
        <w:drawing>
          <wp:inline distT="0" distB="0" distL="114300" distR="114300">
            <wp:extent cx="5272405" cy="3710305"/>
            <wp:effectExtent l="0" t="0" r="444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bookmarkStart w:id="4" w:name="_Toc8521"/>
      <w:bookmarkStart w:id="5" w:name="_Toc23564"/>
      <w:bookmarkStart w:id="6" w:name="_Toc107261408"/>
      <w:bookmarkStart w:id="7" w:name="_Toc31643"/>
      <w:r>
        <w:rPr>
          <w:rFonts w:hint="eastAsia" w:ascii="黑体" w:hAnsi="黑体" w:eastAsia="黑体"/>
          <w:b w:val="0"/>
          <w:lang w:val="en-US"/>
        </w:rPr>
        <w:t>二、备案</w:t>
      </w:r>
      <w:bookmarkEnd w:id="4"/>
      <w:r>
        <w:rPr>
          <w:rFonts w:hint="eastAsia" w:ascii="黑体" w:hAnsi="黑体" w:eastAsia="黑体"/>
          <w:b w:val="0"/>
          <w:lang w:val="en-US"/>
        </w:rPr>
        <w:t>模块登录</w:t>
      </w:r>
      <w:bookmarkEnd w:id="5"/>
      <w:bookmarkEnd w:id="6"/>
      <w:bookmarkEnd w:id="7"/>
    </w:p>
    <w:p>
      <w:pPr>
        <w:spacing w:line="590" w:lineRule="atLeast"/>
        <w:ind w:firstLine="632"/>
        <w:rPr>
          <w:rFonts w:ascii="仿宋" w:hAnsi="仿宋" w:eastAsia="仿宋"/>
        </w:rPr>
      </w:pPr>
      <w:r>
        <w:rPr>
          <w:rFonts w:ascii="仿宋" w:hAnsi="仿宋" w:eastAsia="仿宋"/>
        </w:rPr>
        <w:t>以企业法人身份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登录江苏政务服务网，选择综合服务旗舰店-&gt;省级部门-&gt;省药品监管局旗舰店</w:t>
      </w:r>
      <w:r>
        <w:rPr>
          <w:rFonts w:hint="eastAsia" w:ascii="仿宋" w:hAnsi="仿宋" w:eastAsia="仿宋"/>
        </w:rPr>
        <w:t>。</w:t>
      </w:r>
    </w:p>
    <w:p>
      <w:pPr>
        <w:spacing w:line="590" w:lineRule="atLeast"/>
        <w:ind w:firstLine="0" w:firstLineChars="0"/>
        <w:jc w:val="center"/>
        <w:rPr>
          <w:sz w:val="40"/>
        </w:rPr>
      </w:pPr>
      <w:r>
        <w:rPr>
          <w:lang w:val="en-US" w:bidi="ar-SA"/>
        </w:rPr>
        <w:drawing>
          <wp:inline distT="0" distB="0" distL="114300" distR="114300">
            <wp:extent cx="5272405" cy="1607185"/>
            <wp:effectExtent l="0" t="0" r="4445" b="1206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</w:rPr>
      </w:pPr>
      <w:r>
        <w:rPr>
          <w:rFonts w:ascii="仿宋" w:hAnsi="仿宋" w:eastAsia="仿宋"/>
        </w:rPr>
        <w:t>点击</w:t>
      </w:r>
      <w:r>
        <w:rPr>
          <w:rFonts w:hint="eastAsia" w:ascii="仿宋" w:hAnsi="仿宋" w:eastAsia="仿宋"/>
        </w:rPr>
        <w:t>“智慧政务服务平台”</w:t>
      </w:r>
      <w:r>
        <w:rPr>
          <w:rFonts w:ascii="仿宋" w:hAnsi="仿宋" w:eastAsia="仿宋"/>
        </w:rPr>
        <w:t>，跳转到江苏省药品监督管理局智慧政务服务平台页面</w:t>
      </w:r>
      <w:r>
        <w:rPr>
          <w:rFonts w:hint="eastAsia" w:ascii="仿宋" w:hAnsi="仿宋" w:eastAsia="仿宋"/>
        </w:rPr>
        <w:t>，</w:t>
      </w:r>
      <w:r>
        <w:rPr>
          <w:rFonts w:ascii="仿宋" w:hAnsi="仿宋" w:eastAsia="仿宋"/>
        </w:rPr>
        <w:t>点击顶部菜单栏的</w:t>
      </w:r>
      <w:r>
        <w:rPr>
          <w:rFonts w:hint="eastAsia" w:ascii="仿宋" w:hAnsi="仿宋" w:eastAsia="仿宋"/>
        </w:rPr>
        <w:t>【</w:t>
      </w:r>
      <w:r>
        <w:rPr>
          <w:rFonts w:ascii="仿宋" w:hAnsi="仿宋" w:eastAsia="仿宋"/>
        </w:rPr>
        <w:t>网上办事</w:t>
      </w:r>
      <w:r>
        <w:rPr>
          <w:rFonts w:hint="eastAsia" w:ascii="仿宋" w:hAnsi="仿宋" w:eastAsia="仿宋"/>
        </w:rPr>
        <w:t>】</w:t>
      </w:r>
      <w:r>
        <w:rPr>
          <w:rFonts w:ascii="仿宋" w:hAnsi="仿宋" w:eastAsia="仿宋"/>
        </w:rPr>
        <w:t>，点击左侧的</w:t>
      </w:r>
      <w:r>
        <w:rPr>
          <w:rFonts w:hint="eastAsia" w:ascii="仿宋" w:hAnsi="仿宋" w:eastAsia="仿宋"/>
        </w:rPr>
        <w:t>【药品】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选择【</w:t>
      </w:r>
      <w:r>
        <w:rPr>
          <w:rFonts w:hint="eastAsia" w:ascii="仿宋" w:hAnsi="仿宋" w:eastAsia="仿宋"/>
          <w:lang w:val="en-US"/>
        </w:rPr>
        <w:t>其他行政权力</w:t>
      </w:r>
      <w:r>
        <w:rPr>
          <w:rFonts w:hint="eastAsia" w:ascii="仿宋" w:hAnsi="仿宋" w:eastAsia="仿宋"/>
        </w:rPr>
        <w:t>】，</w:t>
      </w:r>
      <w:r>
        <w:rPr>
          <w:rFonts w:hint="eastAsia" w:ascii="仿宋" w:hAnsi="仿宋" w:eastAsia="仿宋"/>
          <w:spacing w:val="-6"/>
        </w:rPr>
        <w:t>选择</w:t>
      </w:r>
      <w:r>
        <w:rPr>
          <w:rFonts w:hint="eastAsia" w:ascii="仿宋" w:hAnsi="仿宋" w:eastAsia="仿宋"/>
          <w:spacing w:val="-6"/>
          <w:lang w:val="en-US"/>
        </w:rPr>
        <w:t>药品生产监管处</w:t>
      </w:r>
      <w:r>
        <w:rPr>
          <w:rFonts w:hint="eastAsia" w:ascii="仿宋" w:hAnsi="仿宋" w:eastAsia="仿宋"/>
          <w:spacing w:val="-6"/>
        </w:rPr>
        <w:t>下面的【</w:t>
      </w:r>
      <w:r>
        <w:rPr>
          <w:rFonts w:hint="eastAsia" w:ascii="仿宋" w:hAnsi="仿宋" w:eastAsia="仿宋"/>
          <w:spacing w:val="-6"/>
          <w:lang w:val="en-US"/>
        </w:rPr>
        <w:t>第二类精神药品原料药需用计划备案</w:t>
      </w:r>
      <w:r>
        <w:rPr>
          <w:rFonts w:hint="eastAsia" w:ascii="仿宋" w:hAnsi="仿宋" w:eastAsia="仿宋"/>
          <w:spacing w:val="-6"/>
        </w:rPr>
        <w:t>】</w:t>
      </w:r>
      <w:r>
        <w:rPr>
          <w:rFonts w:hint="eastAsia" w:ascii="仿宋" w:hAnsi="仿宋" w:eastAsia="仿宋"/>
          <w:spacing w:val="-6"/>
          <w:lang w:val="en-US"/>
        </w:rPr>
        <w:t>，点击右侧</w:t>
      </w:r>
      <w:r>
        <w:rPr>
          <w:rFonts w:ascii="仿宋" w:hAnsi="仿宋" w:eastAsia="仿宋"/>
          <w:spacing w:val="-6"/>
        </w:rPr>
        <w:t>向下的箭头展开，点击</w:t>
      </w:r>
      <w:r>
        <w:rPr>
          <w:rFonts w:hint="eastAsia" w:ascii="仿宋" w:hAnsi="仿宋" w:eastAsia="仿宋"/>
          <w:spacing w:val="-6"/>
        </w:rPr>
        <w:t>【</w:t>
      </w:r>
      <w:r>
        <w:rPr>
          <w:rFonts w:ascii="仿宋" w:hAnsi="仿宋" w:eastAsia="仿宋"/>
          <w:spacing w:val="-6"/>
        </w:rPr>
        <w:t>在线申办</w:t>
      </w:r>
      <w:r>
        <w:rPr>
          <w:rFonts w:hint="eastAsia" w:ascii="仿宋" w:hAnsi="仿宋" w:eastAsia="仿宋"/>
          <w:spacing w:val="-6"/>
        </w:rPr>
        <w:t>】</w:t>
      </w:r>
      <w:r>
        <w:rPr>
          <w:rFonts w:ascii="仿宋" w:hAnsi="仿宋" w:eastAsia="仿宋"/>
          <w:spacing w:val="-6"/>
        </w:rPr>
        <w:t>进入企业端。</w:t>
      </w:r>
    </w:p>
    <w:p>
      <w:pPr>
        <w:spacing w:line="590" w:lineRule="atLeast"/>
        <w:ind w:firstLine="0" w:firstLineChars="0"/>
        <w:jc w:val="center"/>
        <w:rPr>
          <w:rFonts w:ascii="仿宋" w:hAnsi="仿宋" w:eastAsia="仿宋"/>
          <w:spacing w:val="-6"/>
        </w:rPr>
      </w:pPr>
      <w:r>
        <w:rPr>
          <w:lang w:val="en-US" w:bidi="ar-SA"/>
        </w:rPr>
        <w:drawing>
          <wp:inline distT="0" distB="0" distL="114300" distR="114300">
            <wp:extent cx="5363210" cy="2142490"/>
            <wp:effectExtent l="0" t="0" r="889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7007" cy="21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335905" cy="2197100"/>
            <wp:effectExtent l="0" t="0" r="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828" cy="21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335905" cy="2489200"/>
            <wp:effectExtent l="0" t="0" r="0" b="635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393" cy="25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bookmarkStart w:id="8" w:name="_Toc21511"/>
      <w:bookmarkStart w:id="9" w:name="_Toc29360"/>
      <w:r>
        <w:rPr>
          <w:rFonts w:hint="eastAsia" w:ascii="黑体" w:hAnsi="黑体" w:eastAsia="黑体"/>
          <w:b w:val="0"/>
          <w:lang w:val="en-US"/>
        </w:rPr>
        <w:t>三、备案操作说明</w:t>
      </w:r>
      <w:bookmarkEnd w:id="8"/>
      <w:bookmarkEnd w:id="9"/>
      <w:bookmarkStart w:id="10" w:name="_Toc24303"/>
      <w:bookmarkStart w:id="11" w:name="_Toc3521"/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r>
        <w:rPr>
          <w:rFonts w:hint="eastAsia" w:ascii="黑体" w:hAnsi="黑体" w:eastAsia="黑体"/>
          <w:b w:val="0"/>
          <w:lang w:val="en-US"/>
        </w:rPr>
        <w:t>3.1 申请功能</w:t>
      </w:r>
      <w:bookmarkEnd w:id="10"/>
      <w:bookmarkEnd w:id="11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企业进入系统后，显示当前用户申请页面。</w:t>
      </w:r>
    </w:p>
    <w:p>
      <w:pPr>
        <w:pStyle w:val="2"/>
        <w:ind w:left="0" w:leftChars="0" w:firstLine="0" w:firstLineChars="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9590" cy="1034415"/>
            <wp:effectExtent l="0" t="0" r="10160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lang w:val="en-US"/>
        </w:rPr>
      </w:pPr>
      <w:r>
        <w:rPr>
          <w:rFonts w:hint="eastAsia" w:ascii="仿宋" w:hAnsi="仿宋" w:eastAsia="仿宋"/>
          <w:lang w:val="en-US"/>
        </w:rPr>
        <w:t>点击【申请】按钮，选择事项申报类型，选择“年度计划申报”。追加计划和临时新增计划的申报，与年度计划流程、操作要求相同，不再重复介绍。</w:t>
      </w:r>
    </w:p>
    <w:p>
      <w:pPr>
        <w:spacing w:line="590" w:lineRule="atLeast"/>
        <w:ind w:firstLine="0" w:firstLineChars="0"/>
        <w:rPr>
          <w:b/>
          <w:bCs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22290" cy="1787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7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黑体" w:hAnsi="黑体" w:eastAsia="黑体"/>
          <w:lang w:val="en-US"/>
        </w:rPr>
      </w:pPr>
      <w:r>
        <w:rPr>
          <w:rFonts w:hint="eastAsia" w:ascii="黑体" w:hAnsi="黑体" w:eastAsia="黑体"/>
          <w:lang w:val="en-US"/>
        </w:rPr>
        <w:t>申请页面包括“申请信息”、“相关附件”两个模块。</w:t>
      </w:r>
    </w:p>
    <w:p>
      <w:pPr>
        <w:spacing w:line="590" w:lineRule="atLeast"/>
        <w:ind w:firstLine="632"/>
        <w:rPr>
          <w:rFonts w:ascii="楷体" w:hAnsi="楷体" w:eastAsia="楷体"/>
          <w:lang w:val="en-US"/>
        </w:rPr>
      </w:pPr>
      <w:r>
        <w:rPr>
          <w:rFonts w:hint="eastAsia" w:ascii="楷体" w:hAnsi="楷体" w:eastAsia="楷体"/>
          <w:bCs/>
          <w:lang w:val="en-US"/>
        </w:rPr>
        <w:t>（1）填写申请信息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带*的为必填项，部分内容自动获取，无需手动填写；企业名称、企业住所应与营业执照中内容完全一致。</w:t>
      </w:r>
    </w:p>
    <w:p>
      <w:pPr>
        <w:ind w:firstLine="0" w:firstLineChars="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8955" cy="2756535"/>
            <wp:effectExtent l="0" t="0" r="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7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“上年执行情况”、“拟生产制剂数量”单位默认为“千克”，用户可根据实际情况填写或修改。</w:t>
      </w:r>
    </w:p>
    <w:p>
      <w:pPr>
        <w:ind w:firstLine="632"/>
        <w:rPr>
          <w:lang w:val="en-US"/>
        </w:rPr>
      </w:pPr>
      <w:r>
        <w:rPr>
          <w:rFonts w:hint="eastAsia"/>
          <w:lang w:val="en-US"/>
        </w:rPr>
        <w:t>单位选择：</w:t>
      </w:r>
    </w:p>
    <w:p>
      <w:pPr>
        <w:spacing w:line="590" w:lineRule="atLeast"/>
        <w:ind w:firstLine="0" w:firstLineChars="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8955" cy="1637665"/>
            <wp:effectExtent l="0" t="0" r="0" b="6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6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lang w:val="en-US"/>
        </w:rPr>
      </w:pPr>
      <w:r>
        <w:rPr>
          <w:rFonts w:hint="eastAsia"/>
          <w:lang w:val="en-US"/>
        </w:rPr>
        <w:t>单位填写：</w:t>
      </w:r>
    </w:p>
    <w:p>
      <w:pPr>
        <w:spacing w:line="590" w:lineRule="atLeast"/>
        <w:ind w:firstLine="0" w:firstLineChars="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595620" cy="1732915"/>
            <wp:effectExtent l="0" t="0" r="508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7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楷体" w:hAnsi="楷体" w:eastAsia="楷体"/>
          <w:bCs/>
          <w:lang w:val="en-US"/>
        </w:rPr>
      </w:pPr>
      <w:r>
        <w:rPr>
          <w:rFonts w:hint="eastAsia" w:ascii="楷体" w:hAnsi="楷体" w:eastAsia="楷体"/>
          <w:bCs/>
          <w:lang w:val="en-US"/>
        </w:rPr>
        <w:t>（2）相关附件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显示需要上传的附件目录，点击右侧【上传附件】按钮上传，仅支持PDF格式文件。</w:t>
      </w:r>
    </w:p>
    <w:p>
      <w:pPr>
        <w:spacing w:line="590" w:lineRule="atLeast"/>
        <w:ind w:firstLine="0" w:firstLineChars="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8955" cy="3288665"/>
            <wp:effectExtent l="0" t="0" r="0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512" w:firstLineChars="162"/>
        <w:rPr>
          <w:lang w:val="en-US"/>
        </w:rPr>
      </w:pPr>
      <w:r>
        <w:rPr>
          <w:rFonts w:hint="eastAsia" w:ascii="黑体" w:hAnsi="黑体" w:eastAsia="黑体"/>
          <w:lang w:val="en-US"/>
        </w:rPr>
        <w:t>填写申请信息时，需注意以下几点：</w:t>
      </w:r>
    </w:p>
    <w:p>
      <w:pPr>
        <w:spacing w:line="590" w:lineRule="atLeast"/>
        <w:ind w:firstLine="512" w:firstLineChars="16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（1）品种类型分为三种类型：新批品种、停产后复产、正常生产。其中选择新批品种不需要填写上年计划；选择停产后复产上年计划如果有上年计划则需要填写，如果没有则不需要填写；选择正常生产上年计划需要填写上年计划。</w:t>
      </w:r>
    </w:p>
    <w:p>
      <w:pPr>
        <w:spacing w:line="590" w:lineRule="atLeast"/>
        <w:ind w:firstLine="0" w:firstLineChars="0"/>
        <w:jc w:val="both"/>
      </w:pPr>
      <w:r>
        <w:rPr>
          <w:lang w:val="en-US" w:bidi="ar-SA"/>
        </w:rPr>
        <w:drawing>
          <wp:inline distT="0" distB="0" distL="114300" distR="114300">
            <wp:extent cx="5250180" cy="1964690"/>
            <wp:effectExtent l="0" t="0" r="7620" b="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90" w:lineRule="atLeast"/>
        <w:ind w:left="0" w:leftChars="0" w:firstLine="0" w:firstLineChars="0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70500" cy="1255395"/>
            <wp:effectExtent l="0" t="0" r="6350" b="190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/>
        </w:rPr>
        <w:t>（2）拟备案原料药需用计划数量达到上年计划数量120%以上时，需要填写超出理由，同时填写商业批量（每批次）、拟生产（每批次）、损耗量（每批次）、原料药（每批次）和包装规格（每批次）。</w:t>
      </w:r>
    </w:p>
    <w:p>
      <w:pPr>
        <w:pStyle w:val="2"/>
        <w:spacing w:line="590" w:lineRule="atLeast"/>
        <w:ind w:left="0" w:leftChars="0" w:firstLine="0" w:firstLineChars="0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4150" cy="777240"/>
            <wp:effectExtent l="0" t="0" r="12700" b="381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黑体" w:hAnsi="黑体" w:eastAsia="黑体"/>
          <w:b/>
          <w:lang w:val="en-US"/>
        </w:rPr>
      </w:pPr>
      <w:r>
        <w:rPr>
          <w:rFonts w:hint="eastAsia" w:ascii="仿宋" w:hAnsi="仿宋" w:eastAsia="仿宋"/>
          <w:lang w:val="en-US"/>
        </w:rPr>
        <w:t>（3）企业根据申报时间，提交年度计划申请和追加计划申请。逾期申请，系统会自动关闭申报入口。</w:t>
      </w:r>
      <w:bookmarkStart w:id="12" w:name="_Toc26971"/>
      <w:bookmarkStart w:id="13" w:name="_Toc30435"/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r>
        <w:rPr>
          <w:rFonts w:hint="eastAsia" w:ascii="黑体" w:hAnsi="黑体" w:eastAsia="黑体"/>
          <w:b w:val="0"/>
          <w:lang w:val="en-US"/>
        </w:rPr>
        <w:t>3.2 删除功能</w:t>
      </w:r>
      <w:bookmarkEnd w:id="12"/>
      <w:bookmarkEnd w:id="13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只有状态为“待提交”的数据可以删除。如需删除数据，点击操作栏里的【删除】按钮，然后点击弹框中的【确定】按钮即可。</w:t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267960" cy="1528445"/>
            <wp:effectExtent l="0" t="0" r="8890" b="0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90" w:lineRule="atLeast"/>
        <w:ind w:left="0" w:leftChars="0"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4312285" cy="995680"/>
            <wp:effectExtent l="0" t="0" r="0" b="0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rcRect l="1557" t="6977"/>
                    <a:stretch>
                      <a:fillRect/>
                    </a:stretch>
                  </pic:blipFill>
                  <pic:spPr>
                    <a:xfrm>
                      <a:off x="0" y="0"/>
                      <a:ext cx="4313252" cy="9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bookmarkStart w:id="14" w:name="_Toc4636"/>
      <w:bookmarkStart w:id="15" w:name="_Toc27752"/>
      <w:r>
        <w:rPr>
          <w:rFonts w:hint="eastAsia" w:ascii="黑体" w:hAnsi="黑体" w:eastAsia="黑体"/>
          <w:b w:val="0"/>
          <w:lang w:val="en-US"/>
        </w:rPr>
        <w:t>3.3 修改功能</w:t>
      </w:r>
      <w:bookmarkEnd w:id="14"/>
      <w:bookmarkEnd w:id="15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只有状态为“待提交”的数据才可以修改。如需修改，点击操作栏中的【修改】按钮进入修改页面，修改相关信息后点击【提交】即可。</w:t>
      </w:r>
    </w:p>
    <w:p>
      <w:pPr>
        <w:spacing w:line="590" w:lineRule="atLeast"/>
        <w:ind w:firstLine="0" w:firstLineChars="0"/>
        <w:jc w:val="center"/>
        <w:rPr>
          <w:rFonts w:ascii="黑体" w:hAnsi="黑体" w:eastAsia="黑体"/>
          <w:b/>
          <w:bCs/>
          <w:szCs w:val="32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47640" cy="1487170"/>
            <wp:effectExtent l="0" t="0" r="0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5267960" cy="2333625"/>
            <wp:effectExtent l="0" t="0" r="8890" b="9525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32"/>
                    <a:srcRect b="34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0" w:firstLineChars="0"/>
        <w:jc w:val="center"/>
        <w:rPr>
          <w:rFonts w:ascii="黑体" w:hAnsi="黑体" w:eastAsia="黑体"/>
          <w:b/>
          <w:bCs/>
          <w:szCs w:val="32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4785" cy="2975610"/>
            <wp:effectExtent l="0" t="0" r="12065" b="15240"/>
            <wp:docPr id="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9081"/>
      <w:bookmarkStart w:id="17" w:name="_Toc6474"/>
    </w:p>
    <w:p>
      <w:pPr>
        <w:spacing w:line="590" w:lineRule="atLeast"/>
        <w:ind w:firstLine="632"/>
      </w:pPr>
      <w:r>
        <w:rPr>
          <w:rFonts w:hint="eastAsia" w:ascii="黑体" w:hAnsi="黑体" w:eastAsia="黑体"/>
          <w:bCs/>
          <w:szCs w:val="32"/>
          <w:lang w:val="en-US"/>
        </w:rPr>
        <w:t>3.4 查询功能</w:t>
      </w:r>
      <w:bookmarkEnd w:id="16"/>
      <w:bookmarkEnd w:id="17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企业可以根据制剂名称、原料药名称、批准文号、状态、是否逾期申请和申请时间等六个查询项，查询企业相关申请数据。可以点击操作栏中【查看】按钮，查看申请信息详情。</w:t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265420" cy="1442720"/>
            <wp:effectExtent l="0" t="0" r="11430" b="5080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0340" cy="2477770"/>
            <wp:effectExtent l="0" t="0" r="16510" b="17780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5260340" cy="2349500"/>
            <wp:effectExtent l="0" t="0" r="16510" b="12700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24944"/>
      <w:bookmarkStart w:id="19" w:name="_Toc18881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企业提交申请后，可以通过“状态”，查询备案办理进度。</w:t>
      </w:r>
    </w:p>
    <w:p>
      <w:pPr>
        <w:spacing w:line="590" w:lineRule="atLeast"/>
        <w:ind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12765" cy="2082800"/>
            <wp:effectExtent l="0" t="0" r="698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已办结的申请，操作栏会显示【查看备案书】按钮，可以点击下载加盖省局电子印章的《第二类精神药品原料药需用计划备案表》。</w:t>
      </w:r>
    </w:p>
    <w:p>
      <w:pPr>
        <w:pStyle w:val="2"/>
        <w:ind w:left="0" w:leftChars="0" w:firstLine="0" w:firstLineChars="0"/>
        <w:jc w:val="center"/>
        <w:rPr>
          <w:rFonts w:ascii="黑体" w:hAnsi="黑体" w:eastAsia="黑体"/>
          <w:b/>
          <w:bCs/>
          <w:szCs w:val="32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6415" cy="675640"/>
            <wp:effectExtent l="0" t="0" r="1333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20" w:firstLineChars="196"/>
        <w:rPr>
          <w:lang w:val="en-US"/>
        </w:rPr>
      </w:pPr>
      <w:r>
        <w:rPr>
          <w:rFonts w:hint="eastAsia" w:ascii="黑体" w:hAnsi="黑体" w:eastAsia="黑体"/>
          <w:bCs/>
          <w:szCs w:val="32"/>
          <w:lang w:val="en-US"/>
        </w:rPr>
        <w:t>3.5 撤回功能</w:t>
      </w:r>
      <w:bookmarkEnd w:id="18"/>
      <w:bookmarkEnd w:id="19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1.企业已提交申请，监管端尚未查阅的，申请可以直接撤回，点击【撤回】按钮即可。</w:t>
      </w:r>
    </w:p>
    <w:p>
      <w:pPr>
        <w:spacing w:line="590" w:lineRule="atLeast"/>
        <w:ind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4150" cy="1076960"/>
            <wp:effectExtent l="0" t="0" r="12700" b="889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2.“待分局签收”已查阅、经办人审查等阶段，企业有特殊原因申请撤回的，需填写撤回原因，并上传相关附件，经监管端同意后才能撤回。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撤回成功后，申请流程直接跳转至结束。企业如果继续申报，需重新提交申请。“待处领导审核”、“局领导审批”状态不可撤回。</w:t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264150" cy="1076960"/>
            <wp:effectExtent l="0" t="0" r="12700" b="8890"/>
            <wp:docPr id="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3875" cy="2064385"/>
            <wp:effectExtent l="0" t="0" r="1587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Toc13494"/>
      <w:bookmarkStart w:id="21" w:name="_Toc21136"/>
    </w:p>
    <w:p>
      <w:pPr>
        <w:pStyle w:val="2"/>
        <w:ind w:left="0" w:leftChars="0" w:firstLine="632"/>
        <w:rPr>
          <w:rFonts w:ascii="黑体" w:hAnsi="黑体" w:eastAsia="黑体"/>
        </w:rPr>
      </w:pPr>
      <w:r>
        <w:rPr>
          <w:rFonts w:hint="eastAsia" w:ascii="黑体" w:hAnsi="黑体" w:eastAsia="黑体"/>
          <w:lang w:val="en-US"/>
        </w:rPr>
        <w:t>3.6 补充材料</w:t>
      </w:r>
      <w:bookmarkEnd w:id="20"/>
      <w:bookmarkEnd w:id="21"/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监管端要求企业补充材料时，企业端会出现【查看补充要求】按钮。点击【查看补充要求】，出现补充说明页面，显示监管端办理意见。</w:t>
      </w:r>
    </w:p>
    <w:p>
      <w:pPr>
        <w:spacing w:line="590" w:lineRule="atLeast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5270500" cy="1116330"/>
            <wp:effectExtent l="0" t="0" r="6350" b="7620"/>
            <wp:docPr id="6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点击【确定】按钮进入申请页面，补充相关信息后点击提交即可。</w:t>
      </w:r>
    </w:p>
    <w:p>
      <w:pPr>
        <w:spacing w:line="590" w:lineRule="atLeast"/>
        <w:ind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12130" cy="1549400"/>
            <wp:effectExtent l="0" t="0" r="7620" b="1270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atLeast"/>
        <w:ind w:firstLine="0" w:firstLineChars="0"/>
        <w:jc w:val="center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09590" cy="2165350"/>
            <wp:effectExtent l="0" t="0" r="10160" b="635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bookmarkStart w:id="22" w:name="_Toc22206"/>
      <w:bookmarkStart w:id="23" w:name="_Toc14996"/>
    </w:p>
    <w:p>
      <w:pPr>
        <w:pStyle w:val="3"/>
        <w:numPr>
          <w:ilvl w:val="0"/>
          <w:numId w:val="0"/>
        </w:numPr>
        <w:spacing w:line="590" w:lineRule="atLeast"/>
        <w:ind w:firstLine="620" w:firstLineChars="196"/>
        <w:rPr>
          <w:rFonts w:ascii="黑体" w:hAnsi="黑体" w:eastAsia="黑体"/>
          <w:b w:val="0"/>
          <w:lang w:val="en-US"/>
        </w:rPr>
      </w:pPr>
      <w:r>
        <w:rPr>
          <w:rFonts w:hint="eastAsia" w:ascii="黑体" w:hAnsi="黑体" w:eastAsia="黑体"/>
          <w:b w:val="0"/>
          <w:lang w:val="en-US"/>
        </w:rPr>
        <w:t>四、技术</w:t>
      </w:r>
      <w:bookmarkEnd w:id="22"/>
      <w:bookmarkEnd w:id="23"/>
      <w:r>
        <w:rPr>
          <w:rFonts w:hint="eastAsia" w:ascii="黑体" w:hAnsi="黑体" w:eastAsia="黑体"/>
          <w:b w:val="0"/>
          <w:lang w:val="en-US"/>
        </w:rPr>
        <w:t>咨询服务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企业进行备案申报时，如遇操作问题，可在工作时间进行技术咨询。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 xml:space="preserve">工作时间：周一至周五 </w:t>
      </w:r>
      <w:r>
        <w:rPr>
          <w:rFonts w:ascii="仿宋" w:hAnsi="仿宋" w:eastAsia="仿宋"/>
          <w:lang w:val="en-US"/>
        </w:rPr>
        <w:t>8</w:t>
      </w:r>
      <w:r>
        <w:rPr>
          <w:rFonts w:hint="eastAsia" w:ascii="仿宋" w:hAnsi="仿宋" w:eastAsia="仿宋"/>
          <w:lang w:val="en-US"/>
        </w:rPr>
        <w:t>：3</w:t>
      </w:r>
      <w:r>
        <w:rPr>
          <w:rFonts w:ascii="仿宋" w:hAnsi="仿宋" w:eastAsia="仿宋"/>
          <w:lang w:val="en-US"/>
        </w:rPr>
        <w:t>0</w:t>
      </w:r>
      <w:r>
        <w:rPr>
          <w:rFonts w:hint="eastAsia" w:ascii="仿宋" w:hAnsi="仿宋" w:eastAsia="仿宋"/>
          <w:lang w:val="en-US"/>
        </w:rPr>
        <w:t>-</w:t>
      </w:r>
      <w:r>
        <w:rPr>
          <w:rFonts w:ascii="仿宋" w:hAnsi="仿宋" w:eastAsia="仿宋"/>
          <w:lang w:val="en-US"/>
        </w:rPr>
        <w:t>17</w:t>
      </w:r>
      <w:r>
        <w:rPr>
          <w:rFonts w:hint="eastAsia" w:ascii="仿宋" w:hAnsi="仿宋" w:eastAsia="仿宋"/>
          <w:lang w:val="en-US"/>
        </w:rPr>
        <w:t>：3</w:t>
      </w:r>
      <w:r>
        <w:rPr>
          <w:rFonts w:ascii="仿宋" w:hAnsi="仿宋" w:eastAsia="仿宋"/>
          <w:lang w:val="en-US"/>
        </w:rPr>
        <w:t>0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技术咨询</w:t>
      </w:r>
      <w:r>
        <w:rPr>
          <w:rFonts w:ascii="仿宋" w:hAnsi="仿宋" w:eastAsia="仿宋"/>
          <w:lang w:val="en-US"/>
        </w:rPr>
        <w:t>QQ</w:t>
      </w:r>
      <w:r>
        <w:rPr>
          <w:rFonts w:hint="eastAsia" w:ascii="仿宋" w:hAnsi="仿宋" w:eastAsia="仿宋"/>
          <w:lang w:val="en-US"/>
        </w:rPr>
        <w:t>群号：744587040</w:t>
      </w:r>
    </w:p>
    <w:p>
      <w:pPr>
        <w:spacing w:line="590" w:lineRule="atLeast"/>
        <w:ind w:firstLine="632"/>
        <w:rPr>
          <w:rFonts w:ascii="仿宋" w:hAnsi="仿宋" w:eastAsia="仿宋"/>
          <w:lang w:val="en-US"/>
        </w:rPr>
      </w:pPr>
      <w:r>
        <w:rPr>
          <w:rFonts w:hint="eastAsia" w:ascii="仿宋" w:hAnsi="仿宋" w:eastAsia="仿宋"/>
          <w:lang w:val="en-US"/>
        </w:rPr>
        <w:t>技术</w:t>
      </w:r>
      <w:r>
        <w:rPr>
          <w:rFonts w:ascii="仿宋" w:hAnsi="仿宋" w:eastAsia="仿宋"/>
          <w:lang w:val="en-US"/>
        </w:rPr>
        <w:t>咨询</w:t>
      </w:r>
      <w:r>
        <w:rPr>
          <w:rFonts w:hint="eastAsia" w:ascii="仿宋" w:hAnsi="仿宋" w:eastAsia="仿宋"/>
          <w:lang w:val="en-US"/>
        </w:rPr>
        <w:t>联系人：何敏，联系电话</w:t>
      </w:r>
      <w:r>
        <w:rPr>
          <w:rFonts w:ascii="仿宋" w:hAnsi="仿宋" w:eastAsia="仿宋"/>
          <w:lang w:val="en-US"/>
        </w:rPr>
        <w:t>：</w:t>
      </w:r>
      <w:r>
        <w:rPr>
          <w:rFonts w:hint="eastAsia" w:ascii="仿宋" w:hAnsi="仿宋" w:eastAsia="仿宋"/>
          <w:lang w:val="en-US"/>
        </w:rPr>
        <w:t>0519-89886336。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588" w:right="1531" w:bottom="1418" w:left="1531" w:header="567" w:footer="567" w:gutter="0"/>
      <w:pgNumType w:start="1"/>
      <w:cols w:space="0" w:num="1"/>
      <w:docGrid w:type="linesAndChars" w:linePitch="592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912407C-47E0-4644-90D0-5E1189CF0DE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楷体_GB2312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E9598F49-E9EC-466F-92CE-F9C6588A28F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091B6F7-2B06-4530-8570-FDD4060DF06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913A5401-623B-4463-9EB2-048C1938473D}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BB4CC8C8-1F90-4F73-A1E6-5DCA445AD4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17439651"/>
      <w:docPartObj>
        <w:docPartGallery w:val="AutoText"/>
      </w:docPartObj>
    </w:sdtPr>
    <w:sdtEndPr>
      <w:rPr>
        <w:rFonts w:ascii="仿宋" w:hAnsi="仿宋" w:eastAsia="仿宋"/>
        <w:sz w:val="28"/>
        <w:szCs w:val="28"/>
      </w:rPr>
    </w:sdtEndPr>
    <w:sdtContent>
      <w:p>
        <w:pPr>
          <w:pStyle w:val="11"/>
          <w:ind w:firstLine="360"/>
          <w:jc w:val="right"/>
          <w:rPr>
            <w:rFonts w:ascii="仿宋" w:hAnsi="仿宋" w:eastAsia="仿宋"/>
            <w:sz w:val="28"/>
            <w:szCs w:val="28"/>
          </w:rPr>
        </w:pPr>
        <w:r>
          <w:rPr>
            <w:rFonts w:ascii="仿宋" w:hAnsi="仿宋" w:eastAsia="仿宋"/>
            <w:sz w:val="28"/>
            <w:szCs w:val="28"/>
          </w:rPr>
          <w:fldChar w:fldCharType="begin"/>
        </w:r>
        <w:r>
          <w:rPr>
            <w:rFonts w:ascii="仿宋" w:hAnsi="仿宋" w:eastAsia="仿宋"/>
            <w:sz w:val="28"/>
            <w:szCs w:val="28"/>
          </w:rPr>
          <w:instrText xml:space="preserve">PAGE   \* MERGEFORMAT</w:instrText>
        </w:r>
        <w:r>
          <w:rPr>
            <w:rFonts w:ascii="仿宋" w:hAnsi="仿宋" w:eastAsia="仿宋"/>
            <w:sz w:val="28"/>
            <w:szCs w:val="28"/>
          </w:rPr>
          <w:fldChar w:fldCharType="separate"/>
        </w:r>
        <w:r>
          <w:rPr>
            <w:rFonts w:ascii="仿宋" w:hAnsi="仿宋" w:eastAsia="仿宋"/>
            <w:sz w:val="28"/>
            <w:szCs w:val="28"/>
          </w:rPr>
          <w:t>2</w:t>
        </w:r>
        <w:r>
          <w:rPr>
            <w:rFonts w:ascii="仿宋" w:hAnsi="仿宋" w:eastAsia="仿宋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32"/>
      </w:pPr>
      <w:r>
        <w:separator/>
      </w:r>
    </w:p>
  </w:footnote>
  <w:footnote w:type="continuationSeparator" w:id="1">
    <w:p>
      <w:pPr>
        <w:spacing w:line="360" w:lineRule="auto"/>
        <w:ind w:firstLine="63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9A86BC"/>
    <w:multiLevelType w:val="multilevel"/>
    <w:tmpl w:val="4F9A86BC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568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58"/>
  <w:drawingGridVerticalSpacing w:val="29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ZkN2NhOTA2NWM0ZTE3MGI4YTc2ZTMwOWU0YTc2MzMifQ=="/>
  </w:docVars>
  <w:rsids>
    <w:rsidRoot w:val="005654EB"/>
    <w:rsid w:val="00000318"/>
    <w:rsid w:val="00023DA0"/>
    <w:rsid w:val="00056637"/>
    <w:rsid w:val="000A32EF"/>
    <w:rsid w:val="000B29F9"/>
    <w:rsid w:val="000E28FC"/>
    <w:rsid w:val="000F2244"/>
    <w:rsid w:val="00100A81"/>
    <w:rsid w:val="00121D0C"/>
    <w:rsid w:val="0018708A"/>
    <w:rsid w:val="001D009C"/>
    <w:rsid w:val="001E2CDC"/>
    <w:rsid w:val="001F60AC"/>
    <w:rsid w:val="002265A1"/>
    <w:rsid w:val="0025312A"/>
    <w:rsid w:val="00255C53"/>
    <w:rsid w:val="002C2E0F"/>
    <w:rsid w:val="002E3826"/>
    <w:rsid w:val="002F108F"/>
    <w:rsid w:val="00334DB2"/>
    <w:rsid w:val="003467A4"/>
    <w:rsid w:val="0042105F"/>
    <w:rsid w:val="00481931"/>
    <w:rsid w:val="004863DF"/>
    <w:rsid w:val="004D6FB3"/>
    <w:rsid w:val="00541956"/>
    <w:rsid w:val="005654EB"/>
    <w:rsid w:val="005851B8"/>
    <w:rsid w:val="00597779"/>
    <w:rsid w:val="005E5B4E"/>
    <w:rsid w:val="006426BF"/>
    <w:rsid w:val="00646BF4"/>
    <w:rsid w:val="00650E30"/>
    <w:rsid w:val="006673FA"/>
    <w:rsid w:val="006807B7"/>
    <w:rsid w:val="00685794"/>
    <w:rsid w:val="00697D9D"/>
    <w:rsid w:val="00702085"/>
    <w:rsid w:val="00730674"/>
    <w:rsid w:val="00770C26"/>
    <w:rsid w:val="00817E34"/>
    <w:rsid w:val="008254CE"/>
    <w:rsid w:val="0087044D"/>
    <w:rsid w:val="00874E3A"/>
    <w:rsid w:val="00876C6C"/>
    <w:rsid w:val="00883C9D"/>
    <w:rsid w:val="008971ED"/>
    <w:rsid w:val="008A57CA"/>
    <w:rsid w:val="00903A83"/>
    <w:rsid w:val="00916F18"/>
    <w:rsid w:val="0093117B"/>
    <w:rsid w:val="00994B00"/>
    <w:rsid w:val="009A7F52"/>
    <w:rsid w:val="00A54A52"/>
    <w:rsid w:val="00A75460"/>
    <w:rsid w:val="00A96362"/>
    <w:rsid w:val="00AA2C00"/>
    <w:rsid w:val="00AA73E6"/>
    <w:rsid w:val="00AE32F2"/>
    <w:rsid w:val="00B07EEC"/>
    <w:rsid w:val="00B4646F"/>
    <w:rsid w:val="00B64B25"/>
    <w:rsid w:val="00B97ECE"/>
    <w:rsid w:val="00C81673"/>
    <w:rsid w:val="00C94242"/>
    <w:rsid w:val="00CA2D11"/>
    <w:rsid w:val="00D123D9"/>
    <w:rsid w:val="00D26270"/>
    <w:rsid w:val="00D32C28"/>
    <w:rsid w:val="00D8722B"/>
    <w:rsid w:val="00DF4A5B"/>
    <w:rsid w:val="00E647D8"/>
    <w:rsid w:val="00E97E13"/>
    <w:rsid w:val="00EA33FB"/>
    <w:rsid w:val="00EA6486"/>
    <w:rsid w:val="00EF5DF6"/>
    <w:rsid w:val="00FD6376"/>
    <w:rsid w:val="00FE168C"/>
    <w:rsid w:val="00FE45C1"/>
    <w:rsid w:val="00FF10B3"/>
    <w:rsid w:val="01916216"/>
    <w:rsid w:val="030D40BE"/>
    <w:rsid w:val="031C4B39"/>
    <w:rsid w:val="032558AB"/>
    <w:rsid w:val="039E6B70"/>
    <w:rsid w:val="04932CE9"/>
    <w:rsid w:val="04F17C1F"/>
    <w:rsid w:val="04F82B4C"/>
    <w:rsid w:val="05221F94"/>
    <w:rsid w:val="053C512E"/>
    <w:rsid w:val="05646E2D"/>
    <w:rsid w:val="0951622D"/>
    <w:rsid w:val="0A945167"/>
    <w:rsid w:val="0B8B296C"/>
    <w:rsid w:val="0BBA0B5B"/>
    <w:rsid w:val="0BF8702F"/>
    <w:rsid w:val="0C8C699B"/>
    <w:rsid w:val="0DCA2637"/>
    <w:rsid w:val="0E762AD4"/>
    <w:rsid w:val="0EC046DA"/>
    <w:rsid w:val="0FF8585A"/>
    <w:rsid w:val="1021389E"/>
    <w:rsid w:val="10F42D61"/>
    <w:rsid w:val="110A60E1"/>
    <w:rsid w:val="11515ABE"/>
    <w:rsid w:val="12EA21C5"/>
    <w:rsid w:val="12F2507E"/>
    <w:rsid w:val="14470E31"/>
    <w:rsid w:val="15192D96"/>
    <w:rsid w:val="173B3498"/>
    <w:rsid w:val="178766DD"/>
    <w:rsid w:val="17EE76C7"/>
    <w:rsid w:val="18961B01"/>
    <w:rsid w:val="1BAA4748"/>
    <w:rsid w:val="1D912E65"/>
    <w:rsid w:val="1EA01E32"/>
    <w:rsid w:val="1EA62795"/>
    <w:rsid w:val="21527F15"/>
    <w:rsid w:val="21DC7625"/>
    <w:rsid w:val="22B31E6F"/>
    <w:rsid w:val="230B0A65"/>
    <w:rsid w:val="2310715F"/>
    <w:rsid w:val="239755FD"/>
    <w:rsid w:val="26127ABA"/>
    <w:rsid w:val="263C68E5"/>
    <w:rsid w:val="277F5534"/>
    <w:rsid w:val="27AE0637"/>
    <w:rsid w:val="291D100E"/>
    <w:rsid w:val="2C1300E8"/>
    <w:rsid w:val="2C302A04"/>
    <w:rsid w:val="2C6C77F8"/>
    <w:rsid w:val="2C755348"/>
    <w:rsid w:val="2E9A689E"/>
    <w:rsid w:val="2FA8516F"/>
    <w:rsid w:val="30354627"/>
    <w:rsid w:val="3038636F"/>
    <w:rsid w:val="317C6223"/>
    <w:rsid w:val="32604A24"/>
    <w:rsid w:val="32CC11BB"/>
    <w:rsid w:val="342E0C4C"/>
    <w:rsid w:val="35A4724B"/>
    <w:rsid w:val="37816415"/>
    <w:rsid w:val="37A83DDA"/>
    <w:rsid w:val="37F45271"/>
    <w:rsid w:val="38B90517"/>
    <w:rsid w:val="38DF035C"/>
    <w:rsid w:val="3A7F1B92"/>
    <w:rsid w:val="3B227EA4"/>
    <w:rsid w:val="3BDD7DCA"/>
    <w:rsid w:val="3C0E4427"/>
    <w:rsid w:val="3C4542ED"/>
    <w:rsid w:val="3C995F3E"/>
    <w:rsid w:val="3D4413DB"/>
    <w:rsid w:val="3E246184"/>
    <w:rsid w:val="3E2C6DE7"/>
    <w:rsid w:val="3E6A3B12"/>
    <w:rsid w:val="3F0B4C4E"/>
    <w:rsid w:val="3F375A43"/>
    <w:rsid w:val="3F5B743A"/>
    <w:rsid w:val="404228F2"/>
    <w:rsid w:val="43D83C99"/>
    <w:rsid w:val="44715804"/>
    <w:rsid w:val="449D09C5"/>
    <w:rsid w:val="44C246C3"/>
    <w:rsid w:val="452760E1"/>
    <w:rsid w:val="45956F51"/>
    <w:rsid w:val="45B1392B"/>
    <w:rsid w:val="461F178B"/>
    <w:rsid w:val="465A1AEF"/>
    <w:rsid w:val="466A4442"/>
    <w:rsid w:val="46FF32EA"/>
    <w:rsid w:val="49523BFC"/>
    <w:rsid w:val="49966F18"/>
    <w:rsid w:val="4DAA1FB1"/>
    <w:rsid w:val="4E5263F6"/>
    <w:rsid w:val="517B3EB5"/>
    <w:rsid w:val="524B7883"/>
    <w:rsid w:val="52774555"/>
    <w:rsid w:val="531B5950"/>
    <w:rsid w:val="534F479B"/>
    <w:rsid w:val="53F570AB"/>
    <w:rsid w:val="54885A70"/>
    <w:rsid w:val="554106D6"/>
    <w:rsid w:val="55A35789"/>
    <w:rsid w:val="55BF6A67"/>
    <w:rsid w:val="567C6706"/>
    <w:rsid w:val="578D5E55"/>
    <w:rsid w:val="58BA3515"/>
    <w:rsid w:val="5B182775"/>
    <w:rsid w:val="5BB26726"/>
    <w:rsid w:val="5C435E37"/>
    <w:rsid w:val="5D0E15FA"/>
    <w:rsid w:val="5D6B326F"/>
    <w:rsid w:val="60F62070"/>
    <w:rsid w:val="635A1B7D"/>
    <w:rsid w:val="635B5CDD"/>
    <w:rsid w:val="639B3980"/>
    <w:rsid w:val="63C811DC"/>
    <w:rsid w:val="654E3490"/>
    <w:rsid w:val="65A12A86"/>
    <w:rsid w:val="672F3320"/>
    <w:rsid w:val="674B0589"/>
    <w:rsid w:val="67B657F0"/>
    <w:rsid w:val="68C36416"/>
    <w:rsid w:val="68E72104"/>
    <w:rsid w:val="6A22750B"/>
    <w:rsid w:val="6A80552A"/>
    <w:rsid w:val="6EF40AFD"/>
    <w:rsid w:val="6FC228F9"/>
    <w:rsid w:val="70E1568B"/>
    <w:rsid w:val="74EB6AD9"/>
    <w:rsid w:val="75501031"/>
    <w:rsid w:val="75C665FE"/>
    <w:rsid w:val="762F0C47"/>
    <w:rsid w:val="79FA674E"/>
    <w:rsid w:val="7A361C20"/>
    <w:rsid w:val="7B713AB0"/>
    <w:rsid w:val="7BFA014C"/>
    <w:rsid w:val="7C3945CD"/>
    <w:rsid w:val="7D810DE8"/>
    <w:rsid w:val="7F250E39"/>
    <w:rsid w:val="7F6A7194"/>
    <w:rsid w:val="7FC03CF4"/>
    <w:rsid w:val="7FDB51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line="360" w:lineRule="auto"/>
      <w:ind w:firstLine="200" w:firstLineChars="200"/>
    </w:pPr>
    <w:rPr>
      <w:rFonts w:ascii="微软雅黑" w:hAnsi="微软雅黑" w:eastAsia="方正仿宋_GBK" w:cs="微软雅黑"/>
      <w:sz w:val="3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numPr>
        <w:ilvl w:val="0"/>
        <w:numId w:val="1"/>
      </w:numPr>
      <w:ind w:firstLine="0" w:firstLineChars="0"/>
      <w:outlineLvl w:val="0"/>
    </w:pPr>
    <w:rPr>
      <w:rFonts w:eastAsia="方正黑体"/>
      <w:b/>
      <w:bCs/>
      <w:szCs w:val="32"/>
    </w:rPr>
  </w:style>
  <w:style w:type="paragraph" w:styleId="4">
    <w:name w:val="heading 2"/>
    <w:basedOn w:val="1"/>
    <w:next w:val="1"/>
    <w:qFormat/>
    <w:uiPriority w:val="1"/>
    <w:pPr>
      <w:keepNext/>
      <w:keepLines/>
      <w:spacing w:before="260" w:after="260" w:line="413" w:lineRule="auto"/>
      <w:outlineLvl w:val="1"/>
    </w:pPr>
    <w:rPr>
      <w:rFonts w:ascii="Arial" w:hAnsi="Arial" w:eastAsia="方正楷体_GB2312"/>
      <w:b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link w:val="22"/>
    <w:qFormat/>
    <w:uiPriority w:val="0"/>
    <w:pPr>
      <w:ind w:left="600" w:leftChars="600"/>
    </w:pPr>
  </w:style>
  <w:style w:type="paragraph" w:styleId="7">
    <w:name w:val="Body Text"/>
    <w:basedOn w:val="1"/>
    <w:qFormat/>
    <w:uiPriority w:val="1"/>
    <w:rPr>
      <w:rFonts w:eastAsia="微软雅黑"/>
      <w:sz w:val="24"/>
      <w:szCs w:val="24"/>
    </w:r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Date"/>
    <w:basedOn w:val="1"/>
    <w:next w:val="1"/>
    <w:link w:val="25"/>
    <w:uiPriority w:val="0"/>
    <w:pPr>
      <w:ind w:left="100" w:leftChars="2500"/>
    </w:pPr>
  </w:style>
  <w:style w:type="paragraph" w:styleId="10">
    <w:name w:val="Balloon Text"/>
    <w:basedOn w:val="1"/>
    <w:link w:val="23"/>
    <w:uiPriority w:val="0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0"/>
    <w:pPr>
      <w:ind w:left="1260" w:leftChars="600"/>
    </w:p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customStyle="1" w:styleId="18">
    <w:name w:val="Table Paragraph"/>
    <w:basedOn w:val="1"/>
    <w:qFormat/>
    <w:uiPriority w:val="1"/>
    <w:rPr>
      <w:rFonts w:eastAsia="微软雅黑"/>
    </w:r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2">
    <w:name w:val="索引 4 Char"/>
    <w:link w:val="2"/>
    <w:qFormat/>
    <w:uiPriority w:val="0"/>
  </w:style>
  <w:style w:type="character" w:customStyle="1" w:styleId="23">
    <w:name w:val="批注框文本 Char"/>
    <w:basedOn w:val="17"/>
    <w:link w:val="10"/>
    <w:uiPriority w:val="0"/>
    <w:rPr>
      <w:rFonts w:ascii="微软雅黑" w:hAnsi="微软雅黑" w:eastAsia="方正仿宋_GBK" w:cs="微软雅黑"/>
      <w:sz w:val="18"/>
      <w:szCs w:val="18"/>
      <w:lang w:val="zh-CN" w:bidi="zh-CN"/>
    </w:rPr>
  </w:style>
  <w:style w:type="character" w:customStyle="1" w:styleId="24">
    <w:name w:val="页脚 Char"/>
    <w:basedOn w:val="17"/>
    <w:link w:val="11"/>
    <w:uiPriority w:val="99"/>
    <w:rPr>
      <w:rFonts w:ascii="微软雅黑" w:hAnsi="微软雅黑" w:eastAsia="方正仿宋_GBK" w:cs="微软雅黑"/>
      <w:sz w:val="18"/>
      <w:szCs w:val="22"/>
      <w:lang w:val="zh-CN" w:bidi="zh-CN"/>
    </w:rPr>
  </w:style>
  <w:style w:type="character" w:customStyle="1" w:styleId="25">
    <w:name w:val="日期 Char"/>
    <w:basedOn w:val="17"/>
    <w:link w:val="9"/>
    <w:uiPriority w:val="0"/>
    <w:rPr>
      <w:rFonts w:ascii="微软雅黑" w:hAnsi="微软雅黑" w:eastAsia="方正仿宋_GBK" w:cs="微软雅黑"/>
      <w:sz w:val="3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300</Words>
  <Characters>1712</Characters>
  <Lines>14</Lines>
  <Paragraphs>4</Paragraphs>
  <TotalTime>316</TotalTime>
  <ScaleCrop>false</ScaleCrop>
  <LinksUpToDate>false</LinksUpToDate>
  <CharactersWithSpaces>2008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2023-03-27T02:20:00Z</dcterms:created>
  <dc:creator>弃格</dc:creator>
  <cp:lastModifiedBy>文印室(wys)</cp:lastModifiedBy>
  <cp:lastPrinted>2023-10-23T04:34:00Z</cp:lastPrinted>
  <dcterms:modified xsi:type="dcterms:W3CDTF">2023-11-01T03:36:57Z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AA04FFE3C924401CADDB11433912E97C</vt:lpwstr>
  </property>
</Properties>
</file>