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Times New Roman" w:hAnsi="Times New Roman" w:eastAsia="黑体" w:cs="Times New Roman"/>
          <w:b/>
          <w:sz w:val="36"/>
          <w:szCs w:val="36"/>
        </w:rPr>
      </w:pPr>
      <w:bookmarkStart w:id="0" w:name="_GoBack"/>
      <w:bookmarkEnd w:id="0"/>
      <w:r>
        <w:rPr>
          <w:rFonts w:ascii="Times New Roman" w:hAnsi="Times New Roman" w:eastAsia="黑体" w:cs="Times New Roman"/>
          <w:b/>
          <w:sz w:val="36"/>
          <w:szCs w:val="36"/>
        </w:rPr>
        <w:t>大驳骨</w:t>
      </w:r>
    </w:p>
    <w:p>
      <w:pPr>
        <w:jc w:val="center"/>
        <w:rPr>
          <w:rFonts w:ascii="黑体" w:hAnsi="黑体" w:eastAsia="黑体" w:cs="Times New Roman"/>
          <w:sz w:val="24"/>
          <w:szCs w:val="24"/>
        </w:rPr>
      </w:pPr>
      <w:r>
        <w:rPr>
          <w:rFonts w:ascii="黑体" w:hAnsi="黑体" w:eastAsia="黑体" w:cs="Times New Roman"/>
          <w:sz w:val="24"/>
          <w:szCs w:val="24"/>
        </w:rPr>
        <w:t>Dabogu</w:t>
      </w:r>
    </w:p>
    <w:p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GENDARUSSAE VENTRICOSAE HERBA</w:t>
      </w:r>
    </w:p>
    <w:p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>
      <w:pPr>
        <w:spacing w:line="580" w:lineRule="exact"/>
        <w:ind w:firstLine="481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黑体" w:cs="Times New Roman"/>
          <w:b/>
          <w:bCs/>
          <w:sz w:val="24"/>
          <w:szCs w:val="24"/>
        </w:rPr>
        <w:t>【来源】</w:t>
      </w:r>
      <w:r>
        <w:rPr>
          <w:rFonts w:ascii="Times New Roman" w:hAnsi="Times New Roman" w:eastAsia="黑体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本品为爵床科植物</w:t>
      </w:r>
      <w:r>
        <w:rPr>
          <w:rFonts w:hint="eastAsia" w:ascii="Times New Roman" w:hAnsi="Times New Roman" w:cs="Times New Roman"/>
          <w:sz w:val="24"/>
          <w:szCs w:val="24"/>
        </w:rPr>
        <w:t>黑叶小驳骨</w:t>
      </w:r>
      <w:r>
        <w:rPr>
          <w:rFonts w:hint="eastAsia" w:ascii="Times New Roman" w:hAnsi="Times New Roman" w:cs="Times New Roman"/>
          <w:i/>
          <w:sz w:val="24"/>
          <w:szCs w:val="24"/>
        </w:rPr>
        <w:t>Gendarussa ventricosa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（</w:t>
      </w:r>
      <w:r>
        <w:rPr>
          <w:rFonts w:ascii="Times New Roman" w:hAnsi="Times New Roman" w:cs="Times New Roman"/>
          <w:sz w:val="24"/>
          <w:szCs w:val="24"/>
        </w:rPr>
        <w:t>Wall.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ex Sims.</w:t>
      </w:r>
      <w:r>
        <w:rPr>
          <w:rFonts w:hint="eastAsia" w:ascii="Times New Roman" w:hAnsi="Times New Roman" w:cs="Times New Roman"/>
          <w:sz w:val="24"/>
          <w:szCs w:val="24"/>
        </w:rPr>
        <w:t>）Nees</w:t>
      </w:r>
      <w:r>
        <w:rPr>
          <w:rFonts w:ascii="Times New Roman" w:hAnsi="Times New Roman" w:cs="Times New Roman"/>
          <w:sz w:val="24"/>
          <w:szCs w:val="24"/>
        </w:rPr>
        <w:t>的地上部分</w:t>
      </w:r>
      <w:r>
        <w:rPr>
          <w:rFonts w:hint="eastAsia" w:ascii="Times New Roman" w:hAnsi="Times New Roman" w:cs="Times New Roman"/>
          <w:sz w:val="24"/>
          <w:szCs w:val="24"/>
        </w:rPr>
        <w:t>。</w:t>
      </w:r>
    </w:p>
    <w:p>
      <w:pPr>
        <w:spacing w:line="580" w:lineRule="exact"/>
        <w:ind w:firstLine="481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黑体" w:cs="Times New Roman"/>
          <w:b/>
          <w:bCs/>
          <w:sz w:val="24"/>
          <w:szCs w:val="24"/>
        </w:rPr>
        <w:t>【炮制】</w:t>
      </w:r>
      <w:r>
        <w:rPr>
          <w:rFonts w:ascii="Times New Roman" w:hAnsi="Times New Roman" w:eastAsia="黑体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除去杂质，</w:t>
      </w:r>
      <w:r>
        <w:rPr>
          <w:rFonts w:hint="eastAsia" w:ascii="Times New Roman" w:hAnsi="Times New Roman" w:cs="Times New Roman"/>
          <w:sz w:val="24"/>
          <w:szCs w:val="24"/>
        </w:rPr>
        <w:t>干燥或洗润</w:t>
      </w:r>
      <w:r>
        <w:rPr>
          <w:rFonts w:ascii="Times New Roman" w:hAnsi="Times New Roman" w:cs="Times New Roman"/>
          <w:sz w:val="24"/>
          <w:szCs w:val="24"/>
        </w:rPr>
        <w:t>，切</w:t>
      </w:r>
      <w:r>
        <w:rPr>
          <w:rFonts w:hint="eastAsia" w:ascii="Times New Roman" w:hAnsi="Times New Roman" w:cs="Times New Roman"/>
          <w:sz w:val="24"/>
          <w:szCs w:val="24"/>
        </w:rPr>
        <w:t>段</w:t>
      </w:r>
      <w:r>
        <w:rPr>
          <w:rFonts w:ascii="Times New Roman" w:hAnsi="Times New Roman" w:cs="Times New Roman"/>
          <w:sz w:val="24"/>
          <w:szCs w:val="24"/>
        </w:rPr>
        <w:t>，</w:t>
      </w:r>
      <w:r>
        <w:rPr>
          <w:rFonts w:hint="eastAsia" w:ascii="Times New Roman" w:hAnsi="Times New Roman" w:cs="Times New Roman"/>
          <w:sz w:val="24"/>
          <w:szCs w:val="24"/>
        </w:rPr>
        <w:t>干燥</w:t>
      </w:r>
      <w:r>
        <w:rPr>
          <w:rFonts w:ascii="Times New Roman" w:hAnsi="Times New Roman" w:cs="Times New Roman"/>
          <w:sz w:val="24"/>
          <w:szCs w:val="24"/>
        </w:rPr>
        <w:t>。</w:t>
      </w:r>
    </w:p>
    <w:p>
      <w:pPr>
        <w:spacing w:line="580" w:lineRule="exact"/>
        <w:ind w:firstLine="481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黑体" w:cs="Times New Roman"/>
          <w:b/>
          <w:bCs/>
          <w:sz w:val="24"/>
          <w:szCs w:val="24"/>
        </w:rPr>
        <w:t>【性状】</w:t>
      </w:r>
      <w:r>
        <w:rPr>
          <w:rFonts w:hint="eastAsia" w:ascii="Times New Roman" w:hAnsi="Times New Roman" w:eastAsia="黑体" w:cs="Times New Roman"/>
          <w:b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本品为不规则的段。嫩茎略呈方形，老茎呈圆柱形，直径0.3～4 cm，老茎表面灰黄色至灰褐色，嫩茎绿色，常有粉尘状细密斑点及点状凸起的皮孔，节稍膨大。质硬，断面皮部薄，木部类白色或淡黄色，髓部松软。叶多破碎，革质，黄绿色、墨绿色或灰褐色，全缘。气微，味淡，稍有豆腥味。</w:t>
      </w:r>
    </w:p>
    <w:p>
      <w:pPr>
        <w:tabs>
          <w:tab w:val="left" w:pos="540"/>
        </w:tabs>
        <w:spacing w:line="580" w:lineRule="exact"/>
        <w:ind w:firstLine="481" w:firstLineChars="200"/>
        <w:rPr>
          <w:rFonts w:ascii="Times New Roman" w:hAnsi="Times New Roman" w:cs="Times New Roman"/>
          <w:kern w:val="1"/>
          <w:sz w:val="24"/>
        </w:rPr>
      </w:pPr>
      <w:r>
        <w:rPr>
          <w:rFonts w:ascii="Times New Roman" w:hAnsi="Times New Roman" w:eastAsia="黑体" w:cs="Times New Roman"/>
          <w:b/>
          <w:bCs/>
          <w:sz w:val="24"/>
          <w:szCs w:val="24"/>
        </w:rPr>
        <w:t>【鉴别】</w:t>
      </w:r>
      <w:r>
        <w:rPr>
          <w:rFonts w:hint="eastAsia" w:ascii="Times New Roman" w:hAnsi="Times New Roman" w:eastAsia="黑体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（1）</w:t>
      </w:r>
      <w:r>
        <w:rPr>
          <w:rFonts w:hint="eastAsia" w:ascii="Times New Roman" w:hAnsi="Times New Roman" w:cs="Times New Roman"/>
          <w:sz w:val="24"/>
          <w:szCs w:val="24"/>
        </w:rPr>
        <w:t>本品</w:t>
      </w:r>
      <w:r>
        <w:rPr>
          <w:rFonts w:ascii="Times New Roman" w:hAnsi="Times New Roman" w:cs="Times New Roman"/>
          <w:sz w:val="24"/>
          <w:szCs w:val="24"/>
        </w:rPr>
        <w:t>粉末灰绿色。纤维单个散在或成束，壁厚，胞腔线形，直径15</w:t>
      </w:r>
      <w:r>
        <w:rPr>
          <w:rFonts w:hint="eastAsia" w:ascii="Times New Roman" w:hAnsi="Times New Roman" w:cs="Times New Roman"/>
          <w:sz w:val="24"/>
          <w:szCs w:val="24"/>
        </w:rPr>
        <w:t>～</w:t>
      </w:r>
      <w:r>
        <w:rPr>
          <w:rFonts w:ascii="Times New Roman" w:hAnsi="Times New Roman" w:cs="Times New Roman"/>
          <w:sz w:val="24"/>
          <w:szCs w:val="24"/>
        </w:rPr>
        <w:t>30 µm。导管主要为螺纹导管和具缘纹孔导管，直径22</w:t>
      </w:r>
      <w:r>
        <w:rPr>
          <w:rFonts w:hint="eastAsia" w:ascii="Times New Roman" w:hAnsi="Times New Roman" w:cs="Times New Roman"/>
          <w:sz w:val="24"/>
          <w:szCs w:val="24"/>
        </w:rPr>
        <w:t>～</w:t>
      </w:r>
      <w:r>
        <w:rPr>
          <w:rFonts w:ascii="Times New Roman" w:hAnsi="Times New Roman" w:cs="Times New Roman"/>
          <w:sz w:val="24"/>
          <w:szCs w:val="24"/>
        </w:rPr>
        <w:t>32 µm。非腺毛为单细胞，直径13</w:t>
      </w:r>
      <w:r>
        <w:rPr>
          <w:rFonts w:hint="eastAsia" w:ascii="Times New Roman" w:hAnsi="Times New Roman" w:cs="Times New Roman"/>
          <w:sz w:val="24"/>
          <w:szCs w:val="24"/>
        </w:rPr>
        <w:t>～</w:t>
      </w:r>
      <w:r>
        <w:rPr>
          <w:rFonts w:ascii="Times New Roman" w:hAnsi="Times New Roman" w:cs="Times New Roman"/>
          <w:sz w:val="24"/>
          <w:szCs w:val="24"/>
        </w:rPr>
        <w:t>28 µm，长80</w:t>
      </w:r>
      <w:r>
        <w:rPr>
          <w:rFonts w:hint="eastAsia" w:ascii="Times New Roman" w:hAnsi="Times New Roman" w:cs="Times New Roman"/>
          <w:sz w:val="24"/>
          <w:szCs w:val="24"/>
        </w:rPr>
        <w:t>～</w:t>
      </w:r>
      <w:r>
        <w:rPr>
          <w:rFonts w:ascii="Times New Roman" w:hAnsi="Times New Roman" w:cs="Times New Roman"/>
          <w:sz w:val="24"/>
          <w:szCs w:val="24"/>
        </w:rPr>
        <w:t>230 µm。腺毛直径20</w:t>
      </w:r>
      <w:r>
        <w:rPr>
          <w:rFonts w:hint="eastAsia" w:ascii="Times New Roman" w:hAnsi="Times New Roman" w:cs="Times New Roman"/>
          <w:sz w:val="24"/>
          <w:szCs w:val="24"/>
        </w:rPr>
        <w:t>～</w:t>
      </w:r>
      <w:r>
        <w:rPr>
          <w:rFonts w:ascii="Times New Roman" w:hAnsi="Times New Roman" w:cs="Times New Roman"/>
          <w:sz w:val="24"/>
          <w:szCs w:val="24"/>
        </w:rPr>
        <w:t>35 µm，柄部单细胞，头部由2细胞组成。腺鳞直径16</w:t>
      </w:r>
      <w:r>
        <w:rPr>
          <w:rFonts w:hint="eastAsia" w:ascii="Times New Roman" w:hAnsi="Times New Roman" w:cs="Times New Roman"/>
          <w:sz w:val="24"/>
          <w:szCs w:val="24"/>
        </w:rPr>
        <w:t>～</w:t>
      </w:r>
      <w:r>
        <w:rPr>
          <w:rFonts w:ascii="Times New Roman" w:hAnsi="Times New Roman" w:cs="Times New Roman"/>
          <w:sz w:val="24"/>
          <w:szCs w:val="24"/>
        </w:rPr>
        <w:t>25 µm，腺柄单细胞，头部由4细胞组成。石细胞多见，类方形或方圆形，孔沟明显，直径39</w:t>
      </w:r>
      <w:r>
        <w:rPr>
          <w:rFonts w:hint="eastAsia" w:ascii="Times New Roman" w:hAnsi="Times New Roman" w:cs="Times New Roman"/>
          <w:sz w:val="24"/>
          <w:szCs w:val="24"/>
        </w:rPr>
        <w:t>～</w:t>
      </w:r>
      <w:r>
        <w:rPr>
          <w:rFonts w:ascii="Times New Roman" w:hAnsi="Times New Roman" w:cs="Times New Roman"/>
          <w:sz w:val="24"/>
          <w:szCs w:val="24"/>
        </w:rPr>
        <w:t>62 µm。叶表皮细胞垂周壁微弯曲，气孔直轴式，副卫细胞4</w:t>
      </w:r>
      <w:r>
        <w:rPr>
          <w:rFonts w:hint="eastAsia" w:ascii="Times New Roman" w:hAnsi="Times New Roman" w:cs="Times New Roman"/>
          <w:sz w:val="24"/>
          <w:szCs w:val="24"/>
        </w:rPr>
        <w:t>～</w:t>
      </w:r>
      <w:r>
        <w:rPr>
          <w:rFonts w:ascii="Times New Roman" w:hAnsi="Times New Roman" w:cs="Times New Roman"/>
          <w:sz w:val="24"/>
          <w:szCs w:val="24"/>
        </w:rPr>
        <w:t>6个。钟乳体灰白色，外表面有小突起，直径22</w:t>
      </w:r>
      <w:r>
        <w:rPr>
          <w:rFonts w:hint="eastAsia" w:ascii="Times New Roman" w:hAnsi="Times New Roman" w:cs="Times New Roman"/>
          <w:sz w:val="24"/>
          <w:szCs w:val="24"/>
        </w:rPr>
        <w:t>～</w:t>
      </w:r>
      <w:r>
        <w:rPr>
          <w:rFonts w:ascii="Times New Roman" w:hAnsi="Times New Roman" w:cs="Times New Roman"/>
          <w:sz w:val="24"/>
          <w:szCs w:val="24"/>
        </w:rPr>
        <w:t>28 µm。木栓细胞多角形。</w:t>
      </w:r>
    </w:p>
    <w:p>
      <w:pPr>
        <w:spacing w:line="580" w:lineRule="exact"/>
        <w:ind w:firstLine="480" w:firstLineChars="200"/>
        <w:rPr>
          <w:rFonts w:ascii="Times New Roman" w:hAnsi="Times New Roman" w:cs="Times New Roman"/>
          <w:kern w:val="0"/>
          <w:sz w:val="24"/>
        </w:rPr>
      </w:pPr>
      <w:r>
        <w:rPr>
          <w:rFonts w:hint="eastAsia" w:ascii="Times New Roman" w:hAnsi="Times New Roman" w:cs="Times New Roman"/>
          <w:sz w:val="24"/>
        </w:rPr>
        <w:t>（2）</w:t>
      </w:r>
      <w:r>
        <w:rPr>
          <w:rFonts w:ascii="Times New Roman" w:hAnsi="Times New Roman" w:cs="Times New Roman"/>
          <w:sz w:val="24"/>
        </w:rPr>
        <w:t>取本品粉末1 g，加甲醇20 ml，加热回流30分钟，滤过，滤液蒸干，残渣加甲醇1 ml使溶解，作为供试品溶液。另取大驳骨对照药材1 g，同法制成对照药材溶液。照薄层色谱法</w:t>
      </w:r>
      <w:r>
        <w:rPr>
          <w:rFonts w:ascii="宋体" w:hAnsi="宋体"/>
          <w:sz w:val="24"/>
        </w:rPr>
        <w:t>（</w:t>
      </w:r>
      <w:r>
        <w:rPr>
          <w:rFonts w:hint="eastAsia" w:ascii="宋体" w:hAnsi="宋体"/>
          <w:sz w:val="24"/>
        </w:rPr>
        <w:t>中国药典2020年版通则0502</w:t>
      </w:r>
      <w:r>
        <w:rPr>
          <w:rFonts w:ascii="宋体" w:hAnsi="宋体"/>
          <w:sz w:val="24"/>
        </w:rPr>
        <w:t>）</w:t>
      </w:r>
      <w:r>
        <w:rPr>
          <w:rFonts w:ascii="Times New Roman" w:hAnsi="Times New Roman" w:cs="Times New Roman"/>
          <w:sz w:val="24"/>
        </w:rPr>
        <w:t>试验，吸取上述两种溶液各3 µl，分别点于同一硅胶G薄层板上，以乙酸乙酯-[正丁醇-冰醋酸-水（4:1:5）的上层液]</w:t>
      </w:r>
      <w:r>
        <w:rPr>
          <w:rFonts w:hint="eastAsia" w:ascii="Times New Roman" w:hAnsi="Times New Roman" w:cs="Times New Roman"/>
          <w:sz w:val="24"/>
        </w:rPr>
        <w:t>（</w:t>
      </w:r>
      <w:r>
        <w:rPr>
          <w:rFonts w:ascii="Times New Roman" w:hAnsi="Times New Roman" w:cs="Times New Roman"/>
          <w:sz w:val="24"/>
        </w:rPr>
        <w:t>1:1</w:t>
      </w:r>
      <w:r>
        <w:rPr>
          <w:rFonts w:hint="eastAsia" w:ascii="Times New Roman" w:hAnsi="Times New Roman" w:cs="Times New Roman"/>
          <w:sz w:val="24"/>
        </w:rPr>
        <w:t>）</w:t>
      </w:r>
      <w:r>
        <w:rPr>
          <w:rFonts w:ascii="Times New Roman" w:hAnsi="Times New Roman" w:cs="Times New Roman"/>
          <w:sz w:val="24"/>
        </w:rPr>
        <w:t>为展开剂，展开，取出，晾干，喷以5%磷钼酸试液，在105℃加热至斑点显色清晰。供试品色谱中，在与对照药材色谱相应的位置上，显相同颜色的斑点。</w:t>
      </w:r>
    </w:p>
    <w:p>
      <w:pPr>
        <w:spacing w:line="580" w:lineRule="exact"/>
        <w:ind w:firstLine="481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黑体" w:cs="Times New Roman"/>
          <w:b/>
          <w:bCs/>
          <w:sz w:val="24"/>
          <w:szCs w:val="24"/>
        </w:rPr>
        <w:t>【检查】 水分</w:t>
      </w:r>
      <w:r>
        <w:rPr>
          <w:rFonts w:ascii="黑体" w:hAnsi="黑体" w:eastAsia="黑体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不得过15.0% </w:t>
      </w:r>
      <w:r>
        <w:rPr>
          <w:rFonts w:hint="eastAsia" w:ascii="Times New Roman" w:hAnsi="Times New Roman" w:cs="Times New Roman"/>
          <w:sz w:val="24"/>
          <w:szCs w:val="24"/>
        </w:rPr>
        <w:t>。</w:t>
      </w:r>
      <w:r>
        <w:rPr>
          <w:rFonts w:ascii="Times New Roman" w:hAnsi="Times New Roman" w:cs="Times New Roman"/>
          <w:sz w:val="24"/>
          <w:szCs w:val="24"/>
        </w:rPr>
        <w:t>（</w:t>
      </w:r>
      <w:r>
        <w:rPr>
          <w:rFonts w:hint="eastAsia" w:ascii="Times New Roman" w:hAnsi="Times New Roman" w:cs="Times New Roman"/>
          <w:sz w:val="24"/>
          <w:szCs w:val="24"/>
        </w:rPr>
        <w:t>中国药典2020年版通则0832第二法）</w:t>
      </w:r>
    </w:p>
    <w:p>
      <w:pPr>
        <w:spacing w:line="580" w:lineRule="exact"/>
        <w:ind w:firstLine="481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黑体" w:cs="Times New Roman"/>
          <w:b/>
          <w:bCs/>
          <w:sz w:val="24"/>
          <w:szCs w:val="24"/>
        </w:rPr>
        <w:t xml:space="preserve">总灰分 </w:t>
      </w:r>
      <w:r>
        <w:rPr>
          <w:rFonts w:ascii="Times New Roman" w:hAnsi="Times New Roman" w:cs="Times New Roman"/>
          <w:sz w:val="24"/>
          <w:szCs w:val="24"/>
        </w:rPr>
        <w:t xml:space="preserve"> 不得过16.0%</w:t>
      </w:r>
      <w:r>
        <w:rPr>
          <w:rFonts w:hint="eastAsia" w:ascii="Times New Roman" w:hAnsi="Times New Roman" w:cs="Times New Roman"/>
          <w:sz w:val="24"/>
          <w:szCs w:val="24"/>
        </w:rPr>
        <w:t>。</w:t>
      </w:r>
      <w:r>
        <w:rPr>
          <w:rFonts w:ascii="Times New Roman" w:hAnsi="Times New Roman" w:cs="Times New Roman"/>
          <w:sz w:val="24"/>
          <w:szCs w:val="24"/>
        </w:rPr>
        <w:t>（</w:t>
      </w:r>
      <w:r>
        <w:rPr>
          <w:rFonts w:hint="eastAsia" w:ascii="Times New Roman" w:hAnsi="Times New Roman" w:cs="Times New Roman"/>
          <w:bCs/>
          <w:sz w:val="24"/>
          <w:szCs w:val="24"/>
        </w:rPr>
        <w:t>中国药典</w:t>
      </w:r>
      <w:r>
        <w:rPr>
          <w:rFonts w:ascii="Times New Roman" w:hAnsi="Times New Roman" w:cs="Times New Roman"/>
          <w:bCs/>
          <w:sz w:val="24"/>
          <w:szCs w:val="24"/>
        </w:rPr>
        <w:t>2020</w:t>
      </w:r>
      <w:r>
        <w:rPr>
          <w:rFonts w:hint="eastAsia" w:ascii="Times New Roman" w:hAnsi="Times New Roman" w:cs="Times New Roman"/>
          <w:bCs/>
          <w:sz w:val="24"/>
          <w:szCs w:val="24"/>
        </w:rPr>
        <w:t>年版通则</w:t>
      </w:r>
      <w:r>
        <w:rPr>
          <w:rFonts w:ascii="Times New Roman" w:hAnsi="Times New Roman" w:cs="Times New Roman"/>
          <w:bCs/>
          <w:sz w:val="24"/>
          <w:szCs w:val="24"/>
        </w:rPr>
        <w:t>2302</w:t>
      </w:r>
      <w:r>
        <w:rPr>
          <w:rFonts w:ascii="Times New Roman" w:hAnsi="Times New Roman" w:cs="Times New Roman"/>
          <w:sz w:val="24"/>
          <w:szCs w:val="24"/>
        </w:rPr>
        <w:t>）</w:t>
      </w:r>
    </w:p>
    <w:p>
      <w:pPr>
        <w:spacing w:line="580" w:lineRule="exact"/>
        <w:ind w:firstLine="481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黑体" w:cs="Times New Roman"/>
          <w:b/>
          <w:bCs/>
          <w:sz w:val="24"/>
          <w:szCs w:val="24"/>
        </w:rPr>
        <w:t xml:space="preserve">酸不溶灰分 </w:t>
      </w:r>
      <w:r>
        <w:rPr>
          <w:rFonts w:ascii="Times New Roman" w:hAnsi="Times New Roman" w:cs="Times New Roman"/>
          <w:sz w:val="24"/>
          <w:szCs w:val="24"/>
        </w:rPr>
        <w:t xml:space="preserve"> 不得过1.5%</w:t>
      </w:r>
      <w:r>
        <w:rPr>
          <w:rFonts w:hint="eastAsia" w:ascii="Times New Roman" w:hAnsi="Times New Roman" w:cs="Times New Roman"/>
          <w:sz w:val="24"/>
          <w:szCs w:val="24"/>
        </w:rPr>
        <w:t>。</w:t>
      </w:r>
      <w:r>
        <w:rPr>
          <w:rFonts w:ascii="Times New Roman" w:hAnsi="Times New Roman" w:cs="Times New Roman"/>
          <w:sz w:val="24"/>
          <w:szCs w:val="24"/>
        </w:rPr>
        <w:t>（</w:t>
      </w:r>
      <w:r>
        <w:rPr>
          <w:rFonts w:hint="eastAsia" w:ascii="Times New Roman" w:hAnsi="Times New Roman" w:cs="Times New Roman"/>
          <w:bCs/>
          <w:sz w:val="24"/>
          <w:szCs w:val="24"/>
        </w:rPr>
        <w:t>中国药典</w:t>
      </w:r>
      <w:r>
        <w:rPr>
          <w:rFonts w:ascii="Times New Roman" w:hAnsi="Times New Roman" w:cs="Times New Roman"/>
          <w:bCs/>
          <w:sz w:val="24"/>
          <w:szCs w:val="24"/>
        </w:rPr>
        <w:t>2020</w:t>
      </w:r>
      <w:r>
        <w:rPr>
          <w:rFonts w:hint="eastAsia" w:ascii="Times New Roman" w:hAnsi="Times New Roman" w:cs="Times New Roman"/>
          <w:bCs/>
          <w:sz w:val="24"/>
          <w:szCs w:val="24"/>
        </w:rPr>
        <w:t>年版通则</w:t>
      </w:r>
      <w:r>
        <w:rPr>
          <w:rFonts w:ascii="Times New Roman" w:hAnsi="Times New Roman" w:cs="Times New Roman"/>
          <w:bCs/>
          <w:sz w:val="24"/>
          <w:szCs w:val="24"/>
        </w:rPr>
        <w:t>2302</w:t>
      </w:r>
      <w:r>
        <w:rPr>
          <w:rFonts w:ascii="Times New Roman" w:hAnsi="Times New Roman" w:cs="Times New Roman"/>
          <w:sz w:val="24"/>
          <w:szCs w:val="24"/>
        </w:rPr>
        <w:t>）</w:t>
      </w:r>
    </w:p>
    <w:p>
      <w:pPr>
        <w:spacing w:line="580" w:lineRule="exact"/>
        <w:ind w:firstLine="481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黑体" w:cs="Times New Roman"/>
          <w:b/>
          <w:bCs/>
          <w:sz w:val="24"/>
          <w:szCs w:val="24"/>
        </w:rPr>
        <w:t>【浸出物】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照醇溶性浸出物测定法（中国药典2015年版四部附录2201 </w:t>
      </w:r>
      <w:r>
        <w:rPr>
          <w:rFonts w:hint="eastAsia" w:ascii="Times New Roman" w:hAnsi="Times New Roman" w:cs="Times New Roman"/>
          <w:sz w:val="24"/>
          <w:szCs w:val="24"/>
        </w:rPr>
        <w:t>）</w:t>
      </w:r>
      <w:r>
        <w:rPr>
          <w:rFonts w:ascii="Times New Roman" w:hAnsi="Times New Roman" w:cs="Times New Roman"/>
          <w:sz w:val="24"/>
          <w:szCs w:val="24"/>
        </w:rPr>
        <w:t>浸出物测定法）项下的热浸法测定，用乙醇作溶剂，不得少于8.0%。</w:t>
      </w:r>
    </w:p>
    <w:p>
      <w:pPr>
        <w:spacing w:line="580" w:lineRule="exact"/>
        <w:ind w:firstLine="481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黑体" w:cs="Times New Roman"/>
          <w:b/>
          <w:bCs/>
          <w:sz w:val="24"/>
          <w:szCs w:val="24"/>
        </w:rPr>
        <w:t>【性味与归经】</w:t>
      </w:r>
      <w:r>
        <w:rPr>
          <w:rFonts w:hint="eastAsia" w:ascii="Times New Roman" w:hAnsi="Times New Roman" w:eastAsia="黑体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微酸、微辛，平。归肝、肾、胃经。</w:t>
      </w:r>
    </w:p>
    <w:p>
      <w:pPr>
        <w:spacing w:line="580" w:lineRule="exact"/>
        <w:ind w:firstLine="481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黑体" w:cs="Times New Roman"/>
          <w:b/>
          <w:bCs/>
          <w:sz w:val="24"/>
          <w:szCs w:val="24"/>
        </w:rPr>
        <w:t>【功能与主治】</w:t>
      </w:r>
      <w:r>
        <w:rPr>
          <w:rFonts w:ascii="Times New Roman" w:hAnsi="Times New Roman" w:eastAsia="黑体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续筋接骨，祛风</w:t>
      </w:r>
      <w:r>
        <w:rPr>
          <w:rFonts w:hint="eastAsia" w:ascii="Times New Roman" w:hAnsi="Times New Roman" w:cs="Times New Roman"/>
          <w:sz w:val="24"/>
          <w:szCs w:val="24"/>
        </w:rPr>
        <w:t>除</w:t>
      </w:r>
      <w:r>
        <w:rPr>
          <w:rFonts w:ascii="Times New Roman" w:hAnsi="Times New Roman" w:cs="Times New Roman"/>
          <w:sz w:val="24"/>
          <w:szCs w:val="24"/>
        </w:rPr>
        <w:t>湿。用于跌打损伤，骨折，风湿骨痛，肋间神经痛。</w:t>
      </w:r>
    </w:p>
    <w:p>
      <w:pPr>
        <w:spacing w:line="580" w:lineRule="exact"/>
        <w:ind w:firstLine="481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黑体" w:cs="Times New Roman"/>
          <w:b/>
          <w:bCs/>
          <w:sz w:val="24"/>
          <w:szCs w:val="24"/>
        </w:rPr>
        <w:t>【用法与用量】</w:t>
      </w:r>
      <w:r>
        <w:rPr>
          <w:rFonts w:ascii="Times New Roman" w:hAnsi="Times New Roman" w:cs="Times New Roman"/>
          <w:sz w:val="24"/>
          <w:szCs w:val="24"/>
        </w:rPr>
        <w:t xml:space="preserve">  9</w:t>
      </w:r>
      <w:r>
        <w:rPr>
          <w:rFonts w:hint="eastAsia" w:ascii="Times New Roman" w:hAnsi="Times New Roman" w:cs="Times New Roman"/>
          <w:sz w:val="24"/>
          <w:szCs w:val="24"/>
        </w:rPr>
        <w:t>～</w:t>
      </w:r>
      <w:r>
        <w:rPr>
          <w:rFonts w:ascii="Times New Roman" w:hAnsi="Times New Roman" w:cs="Times New Roman"/>
          <w:sz w:val="24"/>
          <w:szCs w:val="24"/>
        </w:rPr>
        <w:t>15g。外用适量。</w:t>
      </w:r>
    </w:p>
    <w:p>
      <w:pPr>
        <w:spacing w:line="580" w:lineRule="exact"/>
        <w:ind w:firstLine="481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黑体" w:cs="Times New Roman"/>
          <w:b/>
          <w:bCs/>
          <w:sz w:val="24"/>
          <w:szCs w:val="24"/>
        </w:rPr>
        <w:t>【注意】</w:t>
      </w:r>
      <w:r>
        <w:rPr>
          <w:rFonts w:ascii="Times New Roman" w:hAnsi="Times New Roman" w:eastAsia="黑体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孕妇忌服。</w:t>
      </w:r>
    </w:p>
    <w:p>
      <w:pPr>
        <w:spacing w:line="580" w:lineRule="exact"/>
        <w:ind w:firstLine="481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黑体" w:cs="Times New Roman"/>
          <w:b/>
          <w:bCs/>
          <w:sz w:val="24"/>
          <w:szCs w:val="24"/>
        </w:rPr>
        <w:t>【贮藏】</w:t>
      </w:r>
      <w:r>
        <w:rPr>
          <w:rFonts w:ascii="Times New Roman" w:hAnsi="Times New Roman" w:eastAsia="黑体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置干燥处。</w:t>
      </w:r>
    </w:p>
    <w:p>
      <w:pPr>
        <w:spacing w:line="580" w:lineRule="exact"/>
        <w:ind w:firstLine="480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eastAsia="黑体" w:cs="Times New Roman"/>
          <w:sz w:val="24"/>
          <w:szCs w:val="24"/>
        </w:rPr>
        <w:t>【标准来源】</w:t>
      </w:r>
      <w:r>
        <w:rPr>
          <w:rFonts w:hint="eastAsia" w:ascii="黑体" w:hAnsi="黑体" w:eastAsia="黑体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《广西壮族自治区瑶药材质量标准》第一卷。</w:t>
      </w:r>
    </w:p>
    <w:p>
      <w:pPr>
        <w:rPr>
          <w:rFonts w:ascii="Times New Roman" w:hAnsi="Times New Roman" w:cs="Times New Roman"/>
          <w:b/>
          <w:sz w:val="44"/>
          <w:szCs w:val="44"/>
        </w:rPr>
      </w:pPr>
    </w:p>
    <w:sectPr>
      <w:pgSz w:w="11906" w:h="16838"/>
      <w:pgMar w:top="1440" w:right="1274" w:bottom="1440" w:left="1418" w:header="851" w:footer="992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NhMThhZTY5MDJlNTIyNjlmZDFmYjQyYjhhMGM1ZTQifQ=="/>
  </w:docVars>
  <w:rsids>
    <w:rsidRoot w:val="00D525F2"/>
    <w:rsid w:val="000013DF"/>
    <w:rsid w:val="0000382E"/>
    <w:rsid w:val="0000457A"/>
    <w:rsid w:val="000202A5"/>
    <w:rsid w:val="000437ED"/>
    <w:rsid w:val="00046011"/>
    <w:rsid w:val="00060B05"/>
    <w:rsid w:val="00062675"/>
    <w:rsid w:val="00086501"/>
    <w:rsid w:val="00086BA3"/>
    <w:rsid w:val="0009266E"/>
    <w:rsid w:val="000A08D5"/>
    <w:rsid w:val="000A2184"/>
    <w:rsid w:val="000A433D"/>
    <w:rsid w:val="000A67AA"/>
    <w:rsid w:val="000A6818"/>
    <w:rsid w:val="000B12F0"/>
    <w:rsid w:val="000B3FF6"/>
    <w:rsid w:val="000C38F9"/>
    <w:rsid w:val="0010037A"/>
    <w:rsid w:val="001143FB"/>
    <w:rsid w:val="00117DAB"/>
    <w:rsid w:val="00140829"/>
    <w:rsid w:val="001445BD"/>
    <w:rsid w:val="00147856"/>
    <w:rsid w:val="00156B52"/>
    <w:rsid w:val="001616C7"/>
    <w:rsid w:val="0017303B"/>
    <w:rsid w:val="0017645C"/>
    <w:rsid w:val="001839A4"/>
    <w:rsid w:val="001A2D2F"/>
    <w:rsid w:val="001B2B7C"/>
    <w:rsid w:val="001C09AF"/>
    <w:rsid w:val="001C2250"/>
    <w:rsid w:val="001D15F1"/>
    <w:rsid w:val="001F6454"/>
    <w:rsid w:val="001F7A24"/>
    <w:rsid w:val="0020148B"/>
    <w:rsid w:val="0020410F"/>
    <w:rsid w:val="0020522A"/>
    <w:rsid w:val="0020596F"/>
    <w:rsid w:val="00207F75"/>
    <w:rsid w:val="00211F89"/>
    <w:rsid w:val="002137D3"/>
    <w:rsid w:val="00214496"/>
    <w:rsid w:val="00215E51"/>
    <w:rsid w:val="002227B8"/>
    <w:rsid w:val="00223074"/>
    <w:rsid w:val="002245C2"/>
    <w:rsid w:val="00227091"/>
    <w:rsid w:val="0023188B"/>
    <w:rsid w:val="002570DE"/>
    <w:rsid w:val="00263F36"/>
    <w:rsid w:val="002749CE"/>
    <w:rsid w:val="00277D46"/>
    <w:rsid w:val="002929F0"/>
    <w:rsid w:val="002A3362"/>
    <w:rsid w:val="002B3B2D"/>
    <w:rsid w:val="002B7900"/>
    <w:rsid w:val="002C51F3"/>
    <w:rsid w:val="002C6479"/>
    <w:rsid w:val="002F1143"/>
    <w:rsid w:val="002F410E"/>
    <w:rsid w:val="003137E4"/>
    <w:rsid w:val="00314C92"/>
    <w:rsid w:val="00336BB4"/>
    <w:rsid w:val="00336D5A"/>
    <w:rsid w:val="00362D18"/>
    <w:rsid w:val="0036562A"/>
    <w:rsid w:val="003672F7"/>
    <w:rsid w:val="003727A0"/>
    <w:rsid w:val="00374C57"/>
    <w:rsid w:val="00374E22"/>
    <w:rsid w:val="00385F07"/>
    <w:rsid w:val="003B3642"/>
    <w:rsid w:val="003B5AAD"/>
    <w:rsid w:val="003C559D"/>
    <w:rsid w:val="003C6E6F"/>
    <w:rsid w:val="003D6086"/>
    <w:rsid w:val="003E0DD8"/>
    <w:rsid w:val="003E29C8"/>
    <w:rsid w:val="003F128C"/>
    <w:rsid w:val="003F1906"/>
    <w:rsid w:val="003F3012"/>
    <w:rsid w:val="0040102B"/>
    <w:rsid w:val="00401D20"/>
    <w:rsid w:val="00406B0E"/>
    <w:rsid w:val="0042034C"/>
    <w:rsid w:val="004247E5"/>
    <w:rsid w:val="0042673F"/>
    <w:rsid w:val="00433DD6"/>
    <w:rsid w:val="00437A7F"/>
    <w:rsid w:val="00437D37"/>
    <w:rsid w:val="00447FC0"/>
    <w:rsid w:val="00452639"/>
    <w:rsid w:val="00453A47"/>
    <w:rsid w:val="00453BE2"/>
    <w:rsid w:val="00454C57"/>
    <w:rsid w:val="004628F5"/>
    <w:rsid w:val="00465778"/>
    <w:rsid w:val="00465BDF"/>
    <w:rsid w:val="00471331"/>
    <w:rsid w:val="004800F5"/>
    <w:rsid w:val="00485538"/>
    <w:rsid w:val="00486E6A"/>
    <w:rsid w:val="004A406F"/>
    <w:rsid w:val="004A66F4"/>
    <w:rsid w:val="004A6DD8"/>
    <w:rsid w:val="004B0379"/>
    <w:rsid w:val="004B53BC"/>
    <w:rsid w:val="004B55D8"/>
    <w:rsid w:val="004B5CA5"/>
    <w:rsid w:val="004B612F"/>
    <w:rsid w:val="004C708C"/>
    <w:rsid w:val="004D684C"/>
    <w:rsid w:val="004E7D95"/>
    <w:rsid w:val="004F03EE"/>
    <w:rsid w:val="004F103B"/>
    <w:rsid w:val="0050556F"/>
    <w:rsid w:val="00505A00"/>
    <w:rsid w:val="00506CFD"/>
    <w:rsid w:val="0051385D"/>
    <w:rsid w:val="0051473F"/>
    <w:rsid w:val="005202B2"/>
    <w:rsid w:val="0052717F"/>
    <w:rsid w:val="00543FB5"/>
    <w:rsid w:val="00547AEF"/>
    <w:rsid w:val="00562A29"/>
    <w:rsid w:val="005643FC"/>
    <w:rsid w:val="00564B1B"/>
    <w:rsid w:val="005732BC"/>
    <w:rsid w:val="00573C4F"/>
    <w:rsid w:val="005741EC"/>
    <w:rsid w:val="00575735"/>
    <w:rsid w:val="005822DE"/>
    <w:rsid w:val="00590BAA"/>
    <w:rsid w:val="00593675"/>
    <w:rsid w:val="005B77EB"/>
    <w:rsid w:val="005C0742"/>
    <w:rsid w:val="005C0B1B"/>
    <w:rsid w:val="005C57E9"/>
    <w:rsid w:val="005D216F"/>
    <w:rsid w:val="005D257E"/>
    <w:rsid w:val="005E1BE3"/>
    <w:rsid w:val="005F5561"/>
    <w:rsid w:val="00601297"/>
    <w:rsid w:val="00615E28"/>
    <w:rsid w:val="00620F84"/>
    <w:rsid w:val="00623537"/>
    <w:rsid w:val="00627D04"/>
    <w:rsid w:val="006333B7"/>
    <w:rsid w:val="00633C31"/>
    <w:rsid w:val="00643725"/>
    <w:rsid w:val="00643EA4"/>
    <w:rsid w:val="00645185"/>
    <w:rsid w:val="006478DD"/>
    <w:rsid w:val="006513EC"/>
    <w:rsid w:val="00653891"/>
    <w:rsid w:val="00656E6F"/>
    <w:rsid w:val="00670A9C"/>
    <w:rsid w:val="00670FB0"/>
    <w:rsid w:val="00674439"/>
    <w:rsid w:val="00683BE6"/>
    <w:rsid w:val="00694D5B"/>
    <w:rsid w:val="006A464C"/>
    <w:rsid w:val="006B2BEF"/>
    <w:rsid w:val="006B543C"/>
    <w:rsid w:val="006B5A07"/>
    <w:rsid w:val="006C189A"/>
    <w:rsid w:val="006C3E4F"/>
    <w:rsid w:val="006D2C12"/>
    <w:rsid w:val="006D4E6A"/>
    <w:rsid w:val="006E5BCE"/>
    <w:rsid w:val="006E6B76"/>
    <w:rsid w:val="006F10E5"/>
    <w:rsid w:val="006F1F6E"/>
    <w:rsid w:val="006F3A83"/>
    <w:rsid w:val="006F7577"/>
    <w:rsid w:val="00725BD7"/>
    <w:rsid w:val="00730164"/>
    <w:rsid w:val="00731CAF"/>
    <w:rsid w:val="00745E38"/>
    <w:rsid w:val="00750726"/>
    <w:rsid w:val="0075692E"/>
    <w:rsid w:val="007748E6"/>
    <w:rsid w:val="00790278"/>
    <w:rsid w:val="00790541"/>
    <w:rsid w:val="00791147"/>
    <w:rsid w:val="00796E61"/>
    <w:rsid w:val="007A1491"/>
    <w:rsid w:val="007C5746"/>
    <w:rsid w:val="007D02E3"/>
    <w:rsid w:val="007D34A9"/>
    <w:rsid w:val="007D35DB"/>
    <w:rsid w:val="007F166A"/>
    <w:rsid w:val="007F2E7A"/>
    <w:rsid w:val="008038BA"/>
    <w:rsid w:val="008109D3"/>
    <w:rsid w:val="0081154C"/>
    <w:rsid w:val="00822281"/>
    <w:rsid w:val="00822596"/>
    <w:rsid w:val="00826F92"/>
    <w:rsid w:val="008526D6"/>
    <w:rsid w:val="00852798"/>
    <w:rsid w:val="00852B43"/>
    <w:rsid w:val="00852FB3"/>
    <w:rsid w:val="00853826"/>
    <w:rsid w:val="008548DF"/>
    <w:rsid w:val="00867E02"/>
    <w:rsid w:val="008705EC"/>
    <w:rsid w:val="00874AF8"/>
    <w:rsid w:val="00881C3F"/>
    <w:rsid w:val="00882390"/>
    <w:rsid w:val="00882AAC"/>
    <w:rsid w:val="0088725C"/>
    <w:rsid w:val="00890005"/>
    <w:rsid w:val="0089468E"/>
    <w:rsid w:val="008A0A72"/>
    <w:rsid w:val="008B3ED5"/>
    <w:rsid w:val="008D176A"/>
    <w:rsid w:val="008D6AEE"/>
    <w:rsid w:val="008E7B4A"/>
    <w:rsid w:val="008F2F26"/>
    <w:rsid w:val="00931C42"/>
    <w:rsid w:val="00941480"/>
    <w:rsid w:val="009419A2"/>
    <w:rsid w:val="00950F28"/>
    <w:rsid w:val="00954C12"/>
    <w:rsid w:val="00956C59"/>
    <w:rsid w:val="009573F6"/>
    <w:rsid w:val="00965DDA"/>
    <w:rsid w:val="00981B87"/>
    <w:rsid w:val="00983F95"/>
    <w:rsid w:val="009845F7"/>
    <w:rsid w:val="0099667A"/>
    <w:rsid w:val="00996F6A"/>
    <w:rsid w:val="009B3204"/>
    <w:rsid w:val="009B5B8D"/>
    <w:rsid w:val="009C3D17"/>
    <w:rsid w:val="009C72E1"/>
    <w:rsid w:val="009D559D"/>
    <w:rsid w:val="009E0BA5"/>
    <w:rsid w:val="00A109CB"/>
    <w:rsid w:val="00A10DA3"/>
    <w:rsid w:val="00A13CC5"/>
    <w:rsid w:val="00A17CDC"/>
    <w:rsid w:val="00A226E0"/>
    <w:rsid w:val="00A44687"/>
    <w:rsid w:val="00A522C1"/>
    <w:rsid w:val="00A53BF0"/>
    <w:rsid w:val="00A57B53"/>
    <w:rsid w:val="00A60510"/>
    <w:rsid w:val="00A62840"/>
    <w:rsid w:val="00A94994"/>
    <w:rsid w:val="00A94EDE"/>
    <w:rsid w:val="00A95B05"/>
    <w:rsid w:val="00AA2E2D"/>
    <w:rsid w:val="00AA56BF"/>
    <w:rsid w:val="00AB04A0"/>
    <w:rsid w:val="00AB2C79"/>
    <w:rsid w:val="00AB3F2E"/>
    <w:rsid w:val="00AB67ED"/>
    <w:rsid w:val="00AC17B5"/>
    <w:rsid w:val="00AC4387"/>
    <w:rsid w:val="00AE1C87"/>
    <w:rsid w:val="00AE7607"/>
    <w:rsid w:val="00B0251A"/>
    <w:rsid w:val="00B03C87"/>
    <w:rsid w:val="00B05805"/>
    <w:rsid w:val="00B16E12"/>
    <w:rsid w:val="00B2230B"/>
    <w:rsid w:val="00B23E77"/>
    <w:rsid w:val="00B41F1C"/>
    <w:rsid w:val="00B46BB0"/>
    <w:rsid w:val="00B53254"/>
    <w:rsid w:val="00B63B7B"/>
    <w:rsid w:val="00B6410B"/>
    <w:rsid w:val="00B673B2"/>
    <w:rsid w:val="00B702A3"/>
    <w:rsid w:val="00B8553B"/>
    <w:rsid w:val="00B86AB2"/>
    <w:rsid w:val="00B94497"/>
    <w:rsid w:val="00B95804"/>
    <w:rsid w:val="00B96658"/>
    <w:rsid w:val="00BA4804"/>
    <w:rsid w:val="00BB5435"/>
    <w:rsid w:val="00BE0BA6"/>
    <w:rsid w:val="00BE5358"/>
    <w:rsid w:val="00BE718E"/>
    <w:rsid w:val="00BE7222"/>
    <w:rsid w:val="00BF2BF4"/>
    <w:rsid w:val="00C0108E"/>
    <w:rsid w:val="00C038AA"/>
    <w:rsid w:val="00C04BFA"/>
    <w:rsid w:val="00C061DE"/>
    <w:rsid w:val="00C11D6E"/>
    <w:rsid w:val="00C1559F"/>
    <w:rsid w:val="00C17F63"/>
    <w:rsid w:val="00C21C53"/>
    <w:rsid w:val="00C2556E"/>
    <w:rsid w:val="00C25610"/>
    <w:rsid w:val="00C43E8A"/>
    <w:rsid w:val="00C7545E"/>
    <w:rsid w:val="00C7651E"/>
    <w:rsid w:val="00C82FEF"/>
    <w:rsid w:val="00C83CFB"/>
    <w:rsid w:val="00C86518"/>
    <w:rsid w:val="00C96BFF"/>
    <w:rsid w:val="00CB6A08"/>
    <w:rsid w:val="00CB7F7E"/>
    <w:rsid w:val="00CC0158"/>
    <w:rsid w:val="00CE1391"/>
    <w:rsid w:val="00CE1917"/>
    <w:rsid w:val="00CF1BBD"/>
    <w:rsid w:val="00CF22FF"/>
    <w:rsid w:val="00D02F06"/>
    <w:rsid w:val="00D10146"/>
    <w:rsid w:val="00D10693"/>
    <w:rsid w:val="00D20799"/>
    <w:rsid w:val="00D20AB7"/>
    <w:rsid w:val="00D27631"/>
    <w:rsid w:val="00D3333E"/>
    <w:rsid w:val="00D37C5F"/>
    <w:rsid w:val="00D441E5"/>
    <w:rsid w:val="00D5013C"/>
    <w:rsid w:val="00D51302"/>
    <w:rsid w:val="00D525F2"/>
    <w:rsid w:val="00D534B9"/>
    <w:rsid w:val="00D60D43"/>
    <w:rsid w:val="00D621A0"/>
    <w:rsid w:val="00D65CD6"/>
    <w:rsid w:val="00D67756"/>
    <w:rsid w:val="00D75C8D"/>
    <w:rsid w:val="00D77FA9"/>
    <w:rsid w:val="00D8484D"/>
    <w:rsid w:val="00D86256"/>
    <w:rsid w:val="00D921D5"/>
    <w:rsid w:val="00D97D74"/>
    <w:rsid w:val="00DA1482"/>
    <w:rsid w:val="00DA3535"/>
    <w:rsid w:val="00DA486A"/>
    <w:rsid w:val="00DA7F0A"/>
    <w:rsid w:val="00DB21B4"/>
    <w:rsid w:val="00DB3F65"/>
    <w:rsid w:val="00DB5D54"/>
    <w:rsid w:val="00DC59CC"/>
    <w:rsid w:val="00DD64DE"/>
    <w:rsid w:val="00DE201E"/>
    <w:rsid w:val="00DE3886"/>
    <w:rsid w:val="00DE4E2F"/>
    <w:rsid w:val="00DE76A0"/>
    <w:rsid w:val="00E037D3"/>
    <w:rsid w:val="00E05C35"/>
    <w:rsid w:val="00E07144"/>
    <w:rsid w:val="00E13BD8"/>
    <w:rsid w:val="00E25E99"/>
    <w:rsid w:val="00E30924"/>
    <w:rsid w:val="00E45F65"/>
    <w:rsid w:val="00E477F1"/>
    <w:rsid w:val="00E521A8"/>
    <w:rsid w:val="00E54D57"/>
    <w:rsid w:val="00E55B38"/>
    <w:rsid w:val="00E637BA"/>
    <w:rsid w:val="00E752FD"/>
    <w:rsid w:val="00E903E8"/>
    <w:rsid w:val="00E92043"/>
    <w:rsid w:val="00E940EE"/>
    <w:rsid w:val="00EA2404"/>
    <w:rsid w:val="00EA2E82"/>
    <w:rsid w:val="00EB0E03"/>
    <w:rsid w:val="00EB3DF9"/>
    <w:rsid w:val="00EB5327"/>
    <w:rsid w:val="00EC0BAC"/>
    <w:rsid w:val="00ED18CB"/>
    <w:rsid w:val="00EE020A"/>
    <w:rsid w:val="00EF3BAA"/>
    <w:rsid w:val="00F044D7"/>
    <w:rsid w:val="00F06827"/>
    <w:rsid w:val="00F207F7"/>
    <w:rsid w:val="00F250C1"/>
    <w:rsid w:val="00F27843"/>
    <w:rsid w:val="00F32A1C"/>
    <w:rsid w:val="00F333FD"/>
    <w:rsid w:val="00F33731"/>
    <w:rsid w:val="00F37336"/>
    <w:rsid w:val="00F4135B"/>
    <w:rsid w:val="00F47238"/>
    <w:rsid w:val="00F47962"/>
    <w:rsid w:val="00F47F53"/>
    <w:rsid w:val="00F515D2"/>
    <w:rsid w:val="00F53122"/>
    <w:rsid w:val="00F62B86"/>
    <w:rsid w:val="00F672D1"/>
    <w:rsid w:val="00F7611D"/>
    <w:rsid w:val="00F84C8E"/>
    <w:rsid w:val="00F87FA0"/>
    <w:rsid w:val="00F9009F"/>
    <w:rsid w:val="00F90DDB"/>
    <w:rsid w:val="00F96315"/>
    <w:rsid w:val="00FA4EA8"/>
    <w:rsid w:val="00FA58ED"/>
    <w:rsid w:val="00FA651D"/>
    <w:rsid w:val="00FA6961"/>
    <w:rsid w:val="00FB044A"/>
    <w:rsid w:val="00FB129C"/>
    <w:rsid w:val="00FC5236"/>
    <w:rsid w:val="00FD137C"/>
    <w:rsid w:val="00FD725E"/>
    <w:rsid w:val="00FE65FE"/>
    <w:rsid w:val="00FF4130"/>
    <w:rsid w:val="00FF46FB"/>
    <w:rsid w:val="078A0DF5"/>
    <w:rsid w:val="07ED0A02"/>
    <w:rsid w:val="14AE3227"/>
    <w:rsid w:val="1C1F7C9D"/>
    <w:rsid w:val="1F015539"/>
    <w:rsid w:val="246074F2"/>
    <w:rsid w:val="286B45C5"/>
    <w:rsid w:val="2BE60C0C"/>
    <w:rsid w:val="3822137B"/>
    <w:rsid w:val="3A9D367A"/>
    <w:rsid w:val="3B7D5BAB"/>
    <w:rsid w:val="45C864B7"/>
    <w:rsid w:val="46752E4C"/>
    <w:rsid w:val="47D267DF"/>
    <w:rsid w:val="4B9E42BB"/>
    <w:rsid w:val="509E2887"/>
    <w:rsid w:val="5551488E"/>
    <w:rsid w:val="5F933403"/>
    <w:rsid w:val="62784DC2"/>
    <w:rsid w:val="728F1466"/>
    <w:rsid w:val="79B43AF6"/>
    <w:rsid w:val="7D290FE2"/>
    <w:rsid w:val="7E732AA7"/>
    <w:rsid w:val="AFFFF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eastAsia="宋体" w:cs="Courier New"/>
      <w:szCs w:val="21"/>
    </w:rPr>
  </w:style>
  <w:style w:type="paragraph" w:styleId="3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Emphasis"/>
    <w:basedOn w:val="8"/>
    <w:qFormat/>
    <w:uiPriority w:val="0"/>
    <w:rPr>
      <w:i/>
    </w:rPr>
  </w:style>
  <w:style w:type="character" w:customStyle="1" w:styleId="10">
    <w:name w:val="页眉 Char"/>
    <w:basedOn w:val="8"/>
    <w:link w:val="5"/>
    <w:qFormat/>
    <w:uiPriority w:val="99"/>
    <w:rPr>
      <w:sz w:val="18"/>
      <w:szCs w:val="18"/>
    </w:rPr>
  </w:style>
  <w:style w:type="character" w:customStyle="1" w:styleId="11">
    <w:name w:val="页脚 Char"/>
    <w:basedOn w:val="8"/>
    <w:link w:val="4"/>
    <w:qFormat/>
    <w:uiPriority w:val="99"/>
    <w:rPr>
      <w:sz w:val="18"/>
      <w:szCs w:val="18"/>
    </w:rPr>
  </w:style>
  <w:style w:type="character" w:customStyle="1" w:styleId="12">
    <w:name w:val="批注框文本 Char"/>
    <w:basedOn w:val="8"/>
    <w:link w:val="3"/>
    <w:semiHidden/>
    <w:qFormat/>
    <w:uiPriority w:val="99"/>
    <w:rPr>
      <w:sz w:val="18"/>
      <w:szCs w:val="18"/>
    </w:rPr>
  </w:style>
  <w:style w:type="character" w:customStyle="1" w:styleId="13">
    <w:name w:val="书-图注 字符"/>
    <w:basedOn w:val="8"/>
    <w:link w:val="14"/>
    <w:qFormat/>
    <w:locked/>
    <w:uiPriority w:val="99"/>
    <w:rPr>
      <w:rFonts w:ascii="楷体" w:hAnsi="楷体" w:eastAsia="楷体" w:cs="Times New Roman"/>
      <w:sz w:val="24"/>
    </w:rPr>
  </w:style>
  <w:style w:type="paragraph" w:customStyle="1" w:styleId="14">
    <w:name w:val="书-图注"/>
    <w:basedOn w:val="1"/>
    <w:link w:val="13"/>
    <w:qFormat/>
    <w:uiPriority w:val="99"/>
    <w:pPr>
      <w:spacing w:beforeLines="50"/>
      <w:ind w:left="560" w:leftChars="200" w:right="560" w:rightChars="200"/>
    </w:pPr>
    <w:rPr>
      <w:rFonts w:ascii="楷体" w:hAnsi="楷体" w:eastAsia="楷体" w:cs="Times New Roman"/>
      <w:sz w:val="24"/>
    </w:rPr>
  </w:style>
  <w:style w:type="character" w:customStyle="1" w:styleId="15">
    <w:name w:val="font01"/>
    <w:basedOn w:val="8"/>
    <w:qFormat/>
    <w:uiPriority w:val="0"/>
    <w:rPr>
      <w:rFonts w:hint="eastAsia" w:ascii="宋体" w:hAnsi="宋体" w:eastAsia="宋体"/>
      <w:color w:val="000000"/>
      <w:sz w:val="24"/>
      <w:szCs w:val="24"/>
      <w:u w:val="none"/>
    </w:rPr>
  </w:style>
  <w:style w:type="character" w:customStyle="1" w:styleId="16">
    <w:name w:val="font11"/>
    <w:basedOn w:val="8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17">
    <w:name w:val="abstract-text"/>
    <w:basedOn w:val="8"/>
    <w:qFormat/>
    <w:uiPriority w:val="0"/>
  </w:style>
  <w:style w:type="paragraph" w:styleId="18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872</Words>
  <Characters>1020</Characters>
  <Lines>7</Lines>
  <Paragraphs>2</Paragraphs>
  <TotalTime>40</TotalTime>
  <ScaleCrop>false</ScaleCrop>
  <LinksUpToDate>false</LinksUpToDate>
  <CharactersWithSpaces>1061</CharactersWithSpaces>
  <Application>WPS Office_11.1.0.11698_F1E327BC-269C-435d-A152-05C5408002CA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2023-01-03T10:03:00Z</dcterms:created>
  <dc:creator>李丽莉</dc:creator>
  <cp:lastModifiedBy>gxxc</cp:lastModifiedBy>
  <cp:lastPrinted>2023-01-03T10:24:00Z</cp:lastPrinted>
  <dcterms:modified xsi:type="dcterms:W3CDTF">2023-10-24T10:33:50Z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2052-11.1.0.11698</vt:lpwstr>
  </property>
  <property fmtid="{D5CDD505-2E9C-101B-9397-08002B2CF9AE}" pid="3" name="ICV">
    <vt:lpwstr>85DF7AAD9B7D42E2A262561490734ADE_13</vt:lpwstr>
  </property>
</Properties>
</file>