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b/>
          <w:sz w:val="44"/>
          <w:szCs w:val="44"/>
        </w:rPr>
      </w:pPr>
      <w:bookmarkStart w:id="0" w:name="_GoBack"/>
      <w:bookmarkEnd w:id="0"/>
      <w:r>
        <w:rPr>
          <w:rFonts w:ascii="Times New Roman" w:hAnsi="Times New Roman" w:eastAsia="黑体" w:cs="Times New Roman"/>
          <w:b/>
          <w:sz w:val="44"/>
          <w:szCs w:val="44"/>
        </w:rPr>
        <w:t>眼镜蛇</w:t>
      </w:r>
    </w:p>
    <w:p>
      <w:pPr>
        <w:jc w:val="center"/>
        <w:rPr>
          <w:rFonts w:ascii="黑体" w:hAnsi="黑体" w:eastAsia="黑体" w:cs="Times New Roman"/>
          <w:sz w:val="24"/>
          <w:szCs w:val="24"/>
        </w:rPr>
      </w:pPr>
      <w:r>
        <w:rPr>
          <w:rFonts w:ascii="黑体" w:hAnsi="黑体" w:eastAsia="黑体" w:cs="Times New Roman"/>
          <w:sz w:val="24"/>
          <w:szCs w:val="24"/>
        </w:rPr>
        <w:t>Yanjingshe</w:t>
      </w:r>
    </w:p>
    <w:p>
      <w:pPr>
        <w:jc w:val="center"/>
        <w:rPr>
          <w:rFonts w:ascii="Times New Roman" w:hAnsi="Times New Roman" w:eastAsia="黑体" w:cs="Times New Roman"/>
          <w:b/>
          <w:sz w:val="28"/>
        </w:rPr>
      </w:pPr>
      <w:r>
        <w:rPr>
          <w:rFonts w:ascii="Times New Roman" w:hAnsi="Times New Roman" w:eastAsia="黑体" w:cs="Times New Roman"/>
          <w:b/>
          <w:sz w:val="28"/>
        </w:rPr>
        <w:t>NAJA NAJA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【来源】</w:t>
      </w:r>
      <w:r>
        <w:rPr>
          <w:rFonts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本品为眼镜蛇科动物眼镜蛇</w:t>
      </w:r>
      <w:r>
        <w:rPr>
          <w:rFonts w:ascii="Times New Roman" w:hAnsi="Times New Roman" w:cs="Times New Roman"/>
          <w:i/>
          <w:sz w:val="24"/>
          <w:szCs w:val="24"/>
        </w:rPr>
        <w:t>Naja atra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（Linaeus）</w:t>
      </w:r>
      <w:r>
        <w:rPr>
          <w:rFonts w:ascii="Times New Roman" w:hAnsi="Times New Roman" w:cs="Times New Roman"/>
          <w:sz w:val="24"/>
          <w:szCs w:val="24"/>
        </w:rPr>
        <w:t>除去内脏的全体。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【炮制】 眼镜蛇</w:t>
      </w:r>
      <w:r>
        <w:rPr>
          <w:rFonts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去头及鳞片，洗净，切片或寸段，或酒润，切片或寸段，干燥。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 xml:space="preserve">鲜眼镜蛇  </w:t>
      </w:r>
      <w:r>
        <w:rPr>
          <w:rFonts w:ascii="Times New Roman" w:hAnsi="Times New Roman" w:cs="Times New Roman"/>
          <w:sz w:val="24"/>
          <w:szCs w:val="24"/>
        </w:rPr>
        <w:t>取活蛇杀死，去头、内脏及鳞片，洗净，切</w:t>
      </w:r>
      <w:r>
        <w:rPr>
          <w:rFonts w:hint="eastAsia" w:ascii="Times New Roman" w:hAnsi="Times New Roman" w:cs="Times New Roman"/>
          <w:sz w:val="24"/>
          <w:szCs w:val="24"/>
        </w:rPr>
        <w:t>长段</w: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 xml:space="preserve">眼镜蛇粉  </w:t>
      </w:r>
      <w:r>
        <w:rPr>
          <w:rFonts w:ascii="Times New Roman" w:hAnsi="Times New Roman" w:cs="Times New Roman"/>
          <w:sz w:val="24"/>
          <w:szCs w:val="24"/>
        </w:rPr>
        <w:t>去头及鳞片，洗净，干燥，粉碎成细粉。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【性状】</w:t>
      </w:r>
      <w:r>
        <w:rPr>
          <w:rFonts w:ascii="Times New Roman" w:hAnsi="Times New Roman" w:eastAsia="黑体" w:cs="Times New Roman"/>
          <w:sz w:val="24"/>
          <w:szCs w:val="24"/>
        </w:rPr>
        <w:t xml:space="preserve">  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眼镜蛇 </w:t>
      </w:r>
      <w:r>
        <w:rPr>
          <w:rFonts w:ascii="Times New Roman" w:hAnsi="Times New Roman" w:cs="Times New Roman"/>
          <w:sz w:val="24"/>
          <w:szCs w:val="24"/>
        </w:rPr>
        <w:t>本品呈不规则的片或段状。切片者呈不规则条状或卷曲，表面浅褐色至黑褐色，切面黄白色至棕褐色，中部具白色脊骨。切段者背部浅褐色至黑褐色，有的具黄白色</w:t>
      </w:r>
      <w:r>
        <w:rPr>
          <w:rFonts w:hint="eastAsia" w:ascii="Times New Roman" w:hAnsi="Times New Roman" w:cs="Times New Roman"/>
          <w:sz w:val="24"/>
          <w:szCs w:val="24"/>
        </w:rPr>
        <w:t>不规则花纹</w:t>
      </w:r>
      <w:r>
        <w:rPr>
          <w:rFonts w:ascii="Times New Roman" w:hAnsi="Times New Roman" w:cs="Times New Roman"/>
          <w:sz w:val="24"/>
          <w:szCs w:val="24"/>
        </w:rPr>
        <w:t>；腹部剖开边缘向内卷曲；切面扁筒状，黄白色或棕褐色，中部具白色脊骨。气腥，或微有酒香气，味微咸。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 xml:space="preserve">鲜眼镜蛇  </w:t>
      </w:r>
      <w:r>
        <w:rPr>
          <w:rFonts w:ascii="Times New Roman" w:hAnsi="Times New Roman" w:cs="Times New Roman"/>
          <w:sz w:val="24"/>
          <w:szCs w:val="24"/>
        </w:rPr>
        <w:t>本品呈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长段状</w:t>
      </w:r>
      <w:r>
        <w:rPr>
          <w:rFonts w:ascii="Times New Roman" w:hAnsi="Times New Roman" w:cs="Times New Roman"/>
          <w:sz w:val="24"/>
          <w:szCs w:val="24"/>
        </w:rPr>
        <w:t>，长5～10cm。表面浅褐色至黑褐色，有的具类白色</w:t>
      </w:r>
      <w:r>
        <w:rPr>
          <w:rFonts w:hint="eastAsia" w:ascii="Times New Roman" w:hAnsi="Times New Roman" w:cs="Times New Roman"/>
          <w:sz w:val="24"/>
          <w:szCs w:val="24"/>
        </w:rPr>
        <w:t>不规则花</w:t>
      </w:r>
      <w:r>
        <w:rPr>
          <w:rFonts w:ascii="Times New Roman" w:hAnsi="Times New Roman" w:cs="Times New Roman"/>
          <w:sz w:val="24"/>
          <w:szCs w:val="24"/>
        </w:rPr>
        <w:t>纹，偶见单圈或双圈眼镜状斑纹，斑纹有时不完整，腹部剖开边缘向内卷曲。尾条长圆锥形，尾下鳞双列。切面和腹腔肉色。气微腥，味淡。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眼镜蛇粉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本品为淡黄色至浅黄棕色的粉末；气腥，味微咸。</w:t>
      </w:r>
    </w:p>
    <w:p>
      <w:pPr>
        <w:spacing w:line="580" w:lineRule="exact"/>
        <w:ind w:firstLine="481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【</w:t>
      </w:r>
      <w:r>
        <w:rPr>
          <w:rFonts w:ascii="Times New Roman" w:hAnsi="Times New Roman" w:eastAsia="黑体" w:cs="Times New Roman"/>
          <w:b/>
          <w:sz w:val="24"/>
          <w:szCs w:val="24"/>
        </w:rPr>
        <w:t>鉴别</w:t>
      </w:r>
      <w:r>
        <w:rPr>
          <w:rFonts w:ascii="Times New Roman" w:hAnsi="Times New Roman" w:cs="Times New Roman"/>
          <w:b/>
          <w:sz w:val="24"/>
          <w:szCs w:val="24"/>
        </w:rPr>
        <w:t>】</w:t>
      </w:r>
      <w:r>
        <w:rPr>
          <w:rFonts w:ascii="Times New Roman" w:hAnsi="Times New Roman" w:cs="Times New Roman"/>
          <w:sz w:val="24"/>
          <w:szCs w:val="24"/>
        </w:rPr>
        <w:t xml:space="preserve"> （</w:t>
      </w: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t>本品粉末黄白色或浅黄褐色。横纹肌纤维碎块淡黄色或无色，细密横纹平直或微波状。骨碎片不规则块状，类白色，骨小管孔窝较细密，偶见骨陷窝裂缝状或类圆形。表皮类白色，可见棕色或棕黑色色素颗粒，常连成网状、分枝状或聚集成团。</w:t>
      </w:r>
    </w:p>
    <w:p>
      <w:pPr>
        <w:pStyle w:val="13"/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（</w:t>
      </w:r>
      <w:r>
        <w:rPr>
          <w:rFonts w:hint="eastAsia" w:ascii="Times New Roman" w:hAnsi="Times New Roman" w:eastAsia="黑体" w:cs="Times New Roman"/>
        </w:rPr>
        <w:t>2</w:t>
      </w:r>
      <w:r>
        <w:rPr>
          <w:rFonts w:ascii="Times New Roman" w:hAnsi="Times New Roman" w:eastAsia="黑体" w:cs="Times New Roman"/>
        </w:rPr>
        <w:t>）</w:t>
      </w:r>
      <w:r>
        <w:rPr>
          <w:rFonts w:ascii="Times New Roman" w:hAnsi="Times New Roman" w:eastAsia="黑体" w:cs="Times New Roman"/>
          <w:b/>
          <w:color w:val="auto"/>
          <w:kern w:val="2"/>
        </w:rPr>
        <w:t>聚合酶链式反应</w:t>
      </w:r>
      <w:r>
        <w:rPr>
          <w:rFonts w:hint="eastAsia" w:ascii="Times New Roman" w:hAnsi="Times New Roman" w:eastAsia="黑体" w:cs="Times New Roman"/>
          <w:b/>
          <w:color w:val="auto"/>
          <w:kern w:val="2"/>
        </w:rPr>
        <w:t xml:space="preserve"> </w:t>
      </w:r>
      <w:r>
        <w:rPr>
          <w:rFonts w:ascii="Times New Roman" w:hAnsi="Times New Roman" w:eastAsia="黑体" w:cs="Times New Roman"/>
          <w:b/>
          <w:color w:val="auto"/>
          <w:kern w:val="2"/>
        </w:rPr>
        <w:t>眼镜蛇粉</w:t>
      </w:r>
    </w:p>
    <w:p>
      <w:pPr>
        <w:pStyle w:val="13"/>
        <w:spacing w:line="360" w:lineRule="auto"/>
        <w:ind w:firstLine="481" w:firstLineChars="200"/>
        <w:rPr>
          <w:rFonts w:ascii="Times New Roman" w:hAnsi="Times New Roman" w:cs="Times New Roman" w:eastAsiaTheme="minorEastAsia"/>
          <w:color w:val="auto"/>
          <w:shd w:val="clear" w:color="auto" w:fill="FFFFFF"/>
          <w:lang w:bidi="ar"/>
        </w:rPr>
      </w:pPr>
      <w:r>
        <w:rPr>
          <w:rFonts w:ascii="Times New Roman" w:hAnsi="Times New Roman" w:eastAsia="黑体" w:cs="Times New Roman"/>
          <w:b/>
          <w:color w:val="auto"/>
          <w:kern w:val="2"/>
        </w:rPr>
        <w:t>模板DNA提取</w:t>
      </w:r>
      <w:r>
        <w:rPr>
          <w:rFonts w:ascii="Times New Roman" w:hAnsi="Times New Roman" w:cs="Times New Roman" w:eastAsiaTheme="minorEastAsia"/>
          <w:color w:val="auto"/>
        </w:rPr>
        <w:t xml:space="preserve">  取</w:t>
      </w:r>
      <w:r>
        <w:rPr>
          <w:rFonts w:hint="eastAsia" w:ascii="Times New Roman" w:hAnsi="Times New Roman" w:cs="Times New Roman" w:eastAsiaTheme="minorEastAsia"/>
          <w:color w:val="auto"/>
        </w:rPr>
        <w:t>本品</w:t>
      </w:r>
      <w:r>
        <w:rPr>
          <w:rFonts w:ascii="Times New Roman" w:hAnsi="Times New Roman" w:cs="Times New Roman" w:eastAsiaTheme="minorEastAsia"/>
          <w:color w:val="auto"/>
        </w:rPr>
        <w:t>约30mg</w:t>
      </w:r>
      <w:r>
        <w:rPr>
          <w:rFonts w:hint="eastAsia" w:ascii="Times New Roman" w:hAnsi="Times New Roman" w:cs="Times New Roman" w:eastAsiaTheme="minorEastAsia"/>
          <w:color w:val="auto"/>
        </w:rPr>
        <w:t>，</w:t>
      </w:r>
      <w:r>
        <w:rPr>
          <w:rFonts w:ascii="Times New Roman" w:hAnsi="Times New Roman" w:cs="Times New Roman" w:eastAsiaTheme="minorEastAsia"/>
          <w:color w:val="auto"/>
        </w:rPr>
        <w:t>置1.5 m</w:t>
      </w:r>
      <w:r>
        <w:rPr>
          <w:rFonts w:hint="eastAsia" w:ascii="Times New Roman" w:hAnsi="Times New Roman" w:cs="Times New Roman" w:eastAsiaTheme="minorEastAsia"/>
          <w:color w:val="auto"/>
        </w:rPr>
        <w:t>l</w:t>
      </w:r>
      <w:r>
        <w:rPr>
          <w:rFonts w:ascii="Times New Roman" w:hAnsi="Times New Roman" w:cs="Times New Roman" w:eastAsiaTheme="minorEastAsia"/>
          <w:color w:val="auto"/>
        </w:rPr>
        <w:t>离心管中</w:t>
      </w:r>
      <w:r>
        <w:rPr>
          <w:rFonts w:hint="eastAsia" w:ascii="Times New Roman" w:hAnsi="Times New Roman" w:cs="Times New Roman" w:eastAsiaTheme="minorEastAsia"/>
          <w:color w:val="auto"/>
        </w:rPr>
        <w:t>，</w:t>
      </w:r>
      <w:r>
        <w:rPr>
          <w:rFonts w:ascii="Times New Roman" w:hAnsi="Times New Roman" w:cs="Times New Roman" w:eastAsiaTheme="minorEastAsia"/>
          <w:color w:val="auto"/>
          <w:shd w:val="clear" w:color="auto" w:fill="FFFFFF"/>
          <w:lang w:bidi="ar"/>
        </w:rPr>
        <w:t>加200μl缓冲液GA，振荡至彻底悬浮，加入20μl蛋白酶K溶液，在56</w:t>
      </w:r>
      <w:r>
        <w:rPr>
          <w:rFonts w:hint="eastAsia" w:ascii="宋体" w:hAnsi="宋体" w:eastAsia="宋体" w:cs="宋体"/>
          <w:color w:val="auto"/>
          <w:shd w:val="clear" w:color="auto" w:fill="FFFFFF"/>
          <w:lang w:bidi="ar"/>
        </w:rPr>
        <w:t>℃</w:t>
      </w:r>
      <w:r>
        <w:rPr>
          <w:rFonts w:ascii="Times New Roman" w:hAnsi="Times New Roman" w:cs="Times New Roman" w:eastAsiaTheme="minorEastAsia"/>
          <w:color w:val="auto"/>
          <w:shd w:val="clear" w:color="auto" w:fill="FFFFFF"/>
          <w:lang w:bidi="ar"/>
        </w:rPr>
        <w:t>放置直至组织溶解（约3</w:t>
      </w:r>
      <w:r>
        <w:rPr>
          <w:rFonts w:hint="eastAsia" w:ascii="Times New Roman" w:hAnsi="Times New Roman" w:cs="Times New Roman" w:eastAsiaTheme="minorEastAsia"/>
          <w:color w:val="auto"/>
          <w:shd w:val="clear" w:color="auto" w:fill="FFFFFF"/>
          <w:lang w:bidi="ar"/>
        </w:rPr>
        <w:t>小时</w:t>
      </w:r>
      <w:r>
        <w:rPr>
          <w:rFonts w:ascii="Times New Roman" w:hAnsi="Times New Roman" w:cs="Times New Roman" w:eastAsiaTheme="minorEastAsia"/>
          <w:color w:val="auto"/>
          <w:shd w:val="clear" w:color="auto" w:fill="FFFFFF"/>
          <w:lang w:bidi="ar"/>
        </w:rPr>
        <w:t>）；简短离心以去除管盖内壁的水珠，加入200μl缓冲液GB，充分颠倒均匀，70</w:t>
      </w:r>
      <w:r>
        <w:rPr>
          <w:rFonts w:hint="eastAsia" w:ascii="宋体" w:hAnsi="宋体" w:eastAsia="宋体" w:cs="宋体"/>
          <w:color w:val="auto"/>
          <w:shd w:val="clear" w:color="auto" w:fill="FFFFFF"/>
          <w:lang w:bidi="ar"/>
        </w:rPr>
        <w:t>℃</w:t>
      </w:r>
      <w:r>
        <w:rPr>
          <w:rFonts w:ascii="Times New Roman" w:hAnsi="Times New Roman" w:cs="Times New Roman" w:eastAsiaTheme="minorEastAsia"/>
          <w:color w:val="auto"/>
          <w:shd w:val="clear" w:color="auto" w:fill="FFFFFF"/>
          <w:lang w:bidi="ar"/>
        </w:rPr>
        <w:t>放置10</w:t>
      </w:r>
      <w:r>
        <w:rPr>
          <w:rFonts w:hint="eastAsia" w:ascii="Times New Roman" w:hAnsi="Times New Roman" w:cs="Times New Roman" w:eastAsiaTheme="minorEastAsia"/>
          <w:color w:val="auto"/>
          <w:shd w:val="clear" w:color="auto" w:fill="FFFFFF"/>
          <w:lang w:bidi="ar"/>
        </w:rPr>
        <w:t>分钟</w:t>
      </w:r>
      <w:r>
        <w:rPr>
          <w:rFonts w:ascii="Times New Roman" w:hAnsi="Times New Roman" w:cs="Times New Roman" w:eastAsiaTheme="minorEastAsia"/>
          <w:color w:val="auto"/>
          <w:shd w:val="clear" w:color="auto" w:fill="FFFFFF"/>
          <w:lang w:bidi="ar"/>
        </w:rPr>
        <w:t>，溶液应变清亮，简短离心以去除管盖内壁的水珠；加入200μl无水乙醇，充分振荡均匀15</w:t>
      </w:r>
      <w:r>
        <w:rPr>
          <w:rFonts w:hint="eastAsia" w:ascii="Times New Roman" w:hAnsi="Times New Roman" w:cs="Times New Roman" w:eastAsiaTheme="minorEastAsia"/>
          <w:color w:val="auto"/>
          <w:shd w:val="clear" w:color="auto" w:fill="FFFFFF"/>
          <w:lang w:bidi="ar"/>
        </w:rPr>
        <w:t>秒</w:t>
      </w:r>
      <w:r>
        <w:rPr>
          <w:rFonts w:ascii="Times New Roman" w:hAnsi="Times New Roman" w:cs="Times New Roman" w:eastAsiaTheme="minorEastAsia"/>
          <w:color w:val="auto"/>
          <w:shd w:val="clear" w:color="auto" w:fill="FFFFFF"/>
          <w:lang w:bidi="ar"/>
        </w:rPr>
        <w:t>，此时可能会出现絮状沉淀，简短离心以去除管盖内壁的水珠；将上一步所得溶液和絮状沉淀都加入一个吸附柱CB3中(吸附柱放入收集管中），离心（转速为每分钟12000转）30</w:t>
      </w:r>
      <w:r>
        <w:rPr>
          <w:rFonts w:hint="eastAsia" w:ascii="Times New Roman" w:hAnsi="Times New Roman" w:cs="Times New Roman" w:eastAsiaTheme="minorEastAsia"/>
          <w:color w:val="auto"/>
          <w:shd w:val="clear" w:color="auto" w:fill="FFFFFF"/>
          <w:lang w:bidi="ar"/>
        </w:rPr>
        <w:t>秒</w:t>
      </w:r>
      <w:r>
        <w:rPr>
          <w:rFonts w:ascii="Times New Roman" w:hAnsi="Times New Roman" w:cs="Times New Roman" w:eastAsiaTheme="minorEastAsia"/>
          <w:color w:val="auto"/>
          <w:shd w:val="clear" w:color="auto" w:fill="FFFFFF"/>
          <w:lang w:bidi="ar"/>
        </w:rPr>
        <w:t>，倒掉废液，将吸附柱CB3放回收集管中；向吸附柱CB3中加入500μl缓冲液GD(使用前请先检查是否已加入无水乙醇)，离心（转速为每分钟12000转）30</w:t>
      </w:r>
      <w:r>
        <w:rPr>
          <w:rFonts w:hint="eastAsia" w:ascii="Times New Roman" w:hAnsi="Times New Roman" w:cs="Times New Roman" w:eastAsiaTheme="minorEastAsia"/>
          <w:color w:val="auto"/>
          <w:shd w:val="clear" w:color="auto" w:fill="FFFFFF"/>
          <w:lang w:bidi="ar"/>
        </w:rPr>
        <w:t>秒</w:t>
      </w:r>
      <w:r>
        <w:rPr>
          <w:rFonts w:ascii="Times New Roman" w:hAnsi="Times New Roman" w:cs="Times New Roman" w:eastAsiaTheme="minorEastAsia"/>
          <w:color w:val="auto"/>
          <w:shd w:val="clear" w:color="auto" w:fill="FFFFFF"/>
          <w:lang w:bidi="ar"/>
        </w:rPr>
        <w:t>，倒掉废液；将吸附柱CB3放入收集管中，向吸附柱CB3中加入600μl漂洗液PW(使用前请先检查是否已加入无水乙醇)，离心（转速为每分钟12000转）30</w:t>
      </w:r>
      <w:r>
        <w:rPr>
          <w:rFonts w:hint="eastAsia" w:ascii="Times New Roman" w:hAnsi="Times New Roman" w:cs="Times New Roman" w:eastAsiaTheme="minorEastAsia"/>
          <w:color w:val="auto"/>
          <w:shd w:val="clear" w:color="auto" w:fill="FFFFFF"/>
          <w:lang w:bidi="ar"/>
        </w:rPr>
        <w:t>秒</w:t>
      </w:r>
      <w:r>
        <w:rPr>
          <w:rFonts w:ascii="Times New Roman" w:hAnsi="Times New Roman" w:cs="Times New Roman" w:eastAsiaTheme="minorEastAsia"/>
          <w:color w:val="auto"/>
          <w:shd w:val="clear" w:color="auto" w:fill="FFFFFF"/>
          <w:lang w:bidi="ar"/>
        </w:rPr>
        <w:t xml:space="preserve">，倒掉废液将吸附柱CB3放入收集管中；重复上一步操作；将吸附柱CB3放回收集管中，离心（转速为每分钟12000转）2 </w:t>
      </w:r>
      <w:r>
        <w:rPr>
          <w:rFonts w:hint="eastAsia" w:ascii="Times New Roman" w:hAnsi="Times New Roman" w:cs="Times New Roman" w:eastAsiaTheme="minorEastAsia"/>
          <w:color w:val="auto"/>
          <w:shd w:val="clear" w:color="auto" w:fill="FFFFFF"/>
          <w:lang w:bidi="ar"/>
        </w:rPr>
        <w:t>分钟</w:t>
      </w:r>
      <w:r>
        <w:rPr>
          <w:rFonts w:ascii="Times New Roman" w:hAnsi="Times New Roman" w:cs="Times New Roman" w:eastAsiaTheme="minorEastAsia"/>
          <w:color w:val="auto"/>
          <w:shd w:val="clear" w:color="auto" w:fill="FFFFFF"/>
          <w:lang w:bidi="ar"/>
        </w:rPr>
        <w:t xml:space="preserve">，倒掉废液；将吸附柱CB3置于室温放置数分钟，以彻底晾干吸附材料中残余的漂洗液；将吸附柱CB3转入一个干净的离心管中，向吸附柱的中间部位悬空滴加100μl洗脱缓冲液TE，室温放置2～5 </w:t>
      </w:r>
      <w:r>
        <w:rPr>
          <w:rFonts w:hint="eastAsia" w:ascii="Times New Roman" w:hAnsi="Times New Roman" w:cs="Times New Roman" w:eastAsiaTheme="minorEastAsia"/>
          <w:color w:val="auto"/>
          <w:shd w:val="clear" w:color="auto" w:fill="FFFFFF"/>
          <w:lang w:bidi="ar"/>
        </w:rPr>
        <w:t>分钟</w:t>
      </w:r>
      <w:r>
        <w:rPr>
          <w:rFonts w:ascii="Times New Roman" w:hAnsi="Times New Roman" w:cs="Times New Roman" w:eastAsiaTheme="minorEastAsia"/>
          <w:color w:val="auto"/>
          <w:shd w:val="clear" w:color="auto" w:fill="FFFFFF"/>
          <w:lang w:bidi="ar"/>
        </w:rPr>
        <w:t>，离心（转速为每分钟12000转）2</w:t>
      </w:r>
      <w:r>
        <w:rPr>
          <w:rFonts w:hint="eastAsia" w:ascii="Times New Roman" w:hAnsi="Times New Roman" w:cs="Times New Roman" w:eastAsiaTheme="minorEastAsia"/>
          <w:color w:val="auto"/>
          <w:shd w:val="clear" w:color="auto" w:fill="FFFFFF"/>
          <w:lang w:bidi="ar"/>
        </w:rPr>
        <w:t>分钟</w:t>
      </w:r>
      <w:r>
        <w:rPr>
          <w:rFonts w:ascii="Times New Roman" w:hAnsi="Times New Roman" w:cs="Times New Roman" w:eastAsiaTheme="minorEastAsia"/>
          <w:color w:val="auto"/>
          <w:shd w:val="clear" w:color="auto" w:fill="FFFFFF"/>
          <w:lang w:bidi="ar"/>
        </w:rPr>
        <w:t>，将溶液收集到离心管，混匀，作为供试品溶液，置-20</w:t>
      </w:r>
      <w:r>
        <w:rPr>
          <w:rFonts w:hint="eastAsia" w:ascii="宋体" w:hAnsi="宋体" w:eastAsia="宋体" w:cs="宋体"/>
          <w:color w:val="auto"/>
          <w:shd w:val="clear" w:color="auto" w:fill="FFFFFF"/>
          <w:lang w:bidi="ar"/>
        </w:rPr>
        <w:t>℃</w:t>
      </w:r>
      <w:r>
        <w:rPr>
          <w:rFonts w:ascii="Times New Roman" w:hAnsi="Times New Roman" w:cs="Times New Roman" w:eastAsiaTheme="minorEastAsia"/>
          <w:color w:val="auto"/>
          <w:shd w:val="clear" w:color="auto" w:fill="FFFFFF"/>
          <w:lang w:bidi="ar"/>
        </w:rPr>
        <w:t xml:space="preserve">保存备用。    </w:t>
      </w:r>
    </w:p>
    <w:p>
      <w:pPr>
        <w:pStyle w:val="13"/>
        <w:spacing w:line="360" w:lineRule="auto"/>
        <w:ind w:firstLine="480" w:firstLineChars="200"/>
        <w:rPr>
          <w:rFonts w:ascii="Times New Roman" w:hAnsi="Times New Roman" w:cs="Times New Roman" w:eastAsiaTheme="minorEastAsia"/>
          <w:color w:val="auto"/>
          <w:shd w:val="clear" w:color="auto" w:fill="FFFFFF"/>
          <w:lang w:bidi="ar"/>
        </w:rPr>
      </w:pPr>
      <w:r>
        <w:rPr>
          <w:rFonts w:ascii="Times New Roman" w:hAnsi="Times New Roman" w:cs="Times New Roman" w:eastAsiaTheme="minorEastAsia"/>
          <w:color w:val="auto"/>
          <w:shd w:val="clear" w:color="auto" w:fill="FFFFFF"/>
          <w:lang w:bidi="ar"/>
        </w:rPr>
        <w:t>另取眼镜蛇对照药材30mg，同法制成对照药材模板DNA溶液（或按各血液/细胞/组织基因组DNA提取试剂盒方法提取）。</w:t>
      </w:r>
    </w:p>
    <w:p>
      <w:pPr>
        <w:pStyle w:val="13"/>
        <w:spacing w:line="360" w:lineRule="auto"/>
        <w:ind w:firstLine="481" w:firstLineChars="200"/>
        <w:rPr>
          <w:rFonts w:ascii="Times New Roman" w:hAnsi="Times New Roman" w:cs="Times New Roman" w:eastAsiaTheme="minorEastAsia"/>
          <w:color w:val="auto"/>
          <w:shd w:val="clear" w:color="auto" w:fill="FFFFFF"/>
        </w:rPr>
      </w:pPr>
      <w:r>
        <w:rPr>
          <w:rFonts w:ascii="Times New Roman" w:hAnsi="Times New Roman" w:eastAsia="黑体" w:cs="Times New Roman"/>
          <w:b/>
          <w:color w:val="auto"/>
          <w:kern w:val="2"/>
        </w:rPr>
        <w:t>PCR反应</w:t>
      </w:r>
      <w:r>
        <w:rPr>
          <w:rFonts w:ascii="Times New Roman" w:hAnsi="Times New Roman" w:cs="Times New Roman" w:eastAsiaTheme="minorEastAsia"/>
          <w:color w:val="auto"/>
        </w:rPr>
        <w:t xml:space="preserve">  鉴别引物1</w:t>
      </w:r>
      <w:r>
        <w:rPr>
          <w:rFonts w:ascii="Times New Roman" w:hAnsi="Times New Roman" w:cs="Times New Roman" w:eastAsiaTheme="minorEastAsia"/>
          <w:color w:val="auto"/>
          <w:shd w:val="clear" w:color="auto" w:fill="FFFFFF"/>
        </w:rPr>
        <w:t>： 5´AAGAAGTTTGACTACCAGGGAGAG´和</w:t>
      </w:r>
    </w:p>
    <w:p>
      <w:pPr>
        <w:pStyle w:val="13"/>
        <w:spacing w:line="360" w:lineRule="auto"/>
        <w:ind w:firstLine="480" w:firstLineChars="200"/>
        <w:rPr>
          <w:rFonts w:ascii="Times New Roman" w:hAnsi="Times New Roman" w:cs="Times New Roman" w:eastAsiaTheme="minorEastAsia"/>
          <w:color w:val="auto"/>
        </w:rPr>
      </w:pPr>
      <w:r>
        <w:rPr>
          <w:rFonts w:ascii="Times New Roman" w:hAnsi="Times New Roman" w:cs="Times New Roman" w:eastAsiaTheme="minorEastAsia"/>
          <w:color w:val="auto"/>
          <w:shd w:val="clear" w:color="auto" w:fill="FFFFFF"/>
        </w:rPr>
        <w:t>5´GTGCCGAGGGGGTTATTA3´</w:t>
      </w:r>
      <w:r>
        <w:rPr>
          <w:rFonts w:ascii="Times New Roman" w:hAnsi="Times New Roman" w:cs="Times New Roman" w:eastAsiaTheme="minorEastAsia"/>
          <w:color w:val="auto"/>
        </w:rPr>
        <w:t xml:space="preserve">。 </w:t>
      </w:r>
      <w:r>
        <w:rPr>
          <w:rFonts w:ascii="Times New Roman" w:hAnsi="Times New Roman" w:cs="Times New Roman" w:eastAsiaTheme="minorEastAsia"/>
          <w:bCs/>
          <w:color w:val="auto"/>
        </w:rPr>
        <w:t>PCR反应体系</w:t>
      </w:r>
      <w:r>
        <w:rPr>
          <w:rFonts w:ascii="Times New Roman" w:hAnsi="Times New Roman" w:cs="Times New Roman" w:eastAsiaTheme="minorEastAsia"/>
          <w:color w:val="auto"/>
        </w:rPr>
        <w:t>：反应总体积为20μ</w:t>
      </w:r>
      <w:r>
        <w:rPr>
          <w:rFonts w:hint="eastAsia" w:ascii="Times New Roman" w:hAnsi="Times New Roman" w:cs="Times New Roman" w:eastAsiaTheme="minorEastAsia"/>
          <w:color w:val="auto"/>
        </w:rPr>
        <w:t>l</w:t>
      </w:r>
      <w:r>
        <w:rPr>
          <w:rFonts w:ascii="Times New Roman" w:hAnsi="Times New Roman" w:cs="Times New Roman" w:eastAsiaTheme="minorEastAsia"/>
          <w:color w:val="auto"/>
        </w:rPr>
        <w:t>，反应体系包括2×DNA聚合酶Mix 预混液10μ</w:t>
      </w:r>
      <w:r>
        <w:rPr>
          <w:rFonts w:hint="eastAsia" w:ascii="Times New Roman" w:hAnsi="Times New Roman" w:cs="Times New Roman" w:eastAsiaTheme="minorEastAsia"/>
          <w:color w:val="auto"/>
        </w:rPr>
        <w:t>l</w:t>
      </w:r>
      <w:r>
        <w:rPr>
          <w:rFonts w:ascii="Times New Roman" w:hAnsi="Times New Roman" w:cs="Times New Roman" w:eastAsiaTheme="minorEastAsia"/>
          <w:color w:val="auto"/>
        </w:rPr>
        <w:t>，上下游引物（10μmol/L）各0.5μ</w:t>
      </w:r>
      <w:r>
        <w:rPr>
          <w:rFonts w:hint="eastAsia" w:ascii="Times New Roman" w:hAnsi="Times New Roman" w:cs="Times New Roman" w:eastAsiaTheme="minorEastAsia"/>
          <w:color w:val="auto"/>
        </w:rPr>
        <w:t>l</w:t>
      </w:r>
      <w:r>
        <w:rPr>
          <w:rFonts w:ascii="Times New Roman" w:hAnsi="Times New Roman" w:cs="Times New Roman" w:eastAsiaTheme="minorEastAsia"/>
          <w:color w:val="auto"/>
        </w:rPr>
        <w:t>，模板DNA1μ</w:t>
      </w:r>
      <w:r>
        <w:rPr>
          <w:rFonts w:hint="eastAsia" w:ascii="Times New Roman" w:hAnsi="Times New Roman" w:cs="Times New Roman" w:eastAsiaTheme="minorEastAsia"/>
          <w:color w:val="auto"/>
        </w:rPr>
        <w:t>l</w:t>
      </w:r>
      <w:r>
        <w:rPr>
          <w:rFonts w:ascii="Times New Roman" w:hAnsi="Times New Roman" w:cs="Times New Roman" w:eastAsiaTheme="minorEastAsia"/>
          <w:color w:val="auto"/>
        </w:rPr>
        <w:t>，无菌水8μ</w:t>
      </w:r>
      <w:r>
        <w:rPr>
          <w:rFonts w:hint="eastAsia" w:ascii="Times New Roman" w:hAnsi="Times New Roman" w:cs="Times New Roman" w:eastAsiaTheme="minorEastAsia"/>
          <w:color w:val="auto"/>
        </w:rPr>
        <w:t>l</w:t>
      </w:r>
      <w:r>
        <w:rPr>
          <w:rFonts w:ascii="Times New Roman" w:hAnsi="Times New Roman" w:cs="Times New Roman" w:eastAsiaTheme="minorEastAsia"/>
          <w:color w:val="auto"/>
        </w:rPr>
        <w:t>补足。另取等体积无菌水代替模板DNA，作为空白对照。</w:t>
      </w:r>
      <w:r>
        <w:rPr>
          <w:rFonts w:ascii="Times New Roman" w:hAnsi="Times New Roman" w:cs="Times New Roman" w:eastAsiaTheme="minorEastAsia"/>
          <w:bCs/>
          <w:color w:val="auto"/>
        </w:rPr>
        <w:t>反应条件：将离心管置PCR仪，PCR反应参数：</w:t>
      </w:r>
      <w:r>
        <w:rPr>
          <w:rFonts w:ascii="Times New Roman" w:hAnsi="Times New Roman" w:cs="Times New Roman" w:eastAsiaTheme="minorEastAsia"/>
          <w:color w:val="auto"/>
        </w:rPr>
        <w:t>95</w:t>
      </w:r>
      <w:r>
        <w:rPr>
          <w:rFonts w:hint="eastAsia" w:ascii="宋体" w:hAnsi="宋体" w:eastAsia="宋体" w:cs="宋体"/>
          <w:color w:val="auto"/>
        </w:rPr>
        <w:t>℃</w:t>
      </w:r>
      <w:r>
        <w:rPr>
          <w:rFonts w:ascii="Times New Roman" w:hAnsi="Times New Roman" w:cs="Times New Roman" w:eastAsiaTheme="minorEastAsia"/>
          <w:color w:val="auto"/>
        </w:rPr>
        <w:t>预变性10分钟；循环反应35次（95</w:t>
      </w:r>
      <w:r>
        <w:rPr>
          <w:rFonts w:hint="eastAsia" w:ascii="宋体" w:hAnsi="宋体" w:eastAsia="宋体" w:cs="宋体"/>
          <w:color w:val="auto"/>
        </w:rPr>
        <w:t>℃</w:t>
      </w:r>
      <w:r>
        <w:rPr>
          <w:rFonts w:ascii="Times New Roman" w:hAnsi="Times New Roman" w:cs="Times New Roman" w:eastAsiaTheme="minorEastAsia"/>
          <w:color w:val="auto"/>
        </w:rPr>
        <w:t>变性30秒，56</w:t>
      </w:r>
      <w:r>
        <w:rPr>
          <w:rFonts w:hint="eastAsia" w:ascii="宋体" w:hAnsi="宋体" w:eastAsia="宋体" w:cs="宋体"/>
          <w:color w:val="auto"/>
        </w:rPr>
        <w:t>℃</w:t>
      </w:r>
      <w:r>
        <w:rPr>
          <w:rFonts w:ascii="Times New Roman" w:hAnsi="Times New Roman" w:cs="Times New Roman" w:eastAsiaTheme="minorEastAsia"/>
          <w:color w:val="auto"/>
        </w:rPr>
        <w:t>退火30秒，72</w:t>
      </w:r>
      <w:r>
        <w:rPr>
          <w:rFonts w:hint="eastAsia" w:ascii="宋体" w:hAnsi="宋体" w:eastAsia="宋体" w:cs="宋体"/>
          <w:color w:val="auto"/>
        </w:rPr>
        <w:t>℃</w:t>
      </w:r>
      <w:r>
        <w:rPr>
          <w:rFonts w:ascii="Times New Roman" w:hAnsi="Times New Roman" w:cs="Times New Roman" w:eastAsiaTheme="minorEastAsia"/>
          <w:color w:val="auto"/>
        </w:rPr>
        <w:t>延伸30秒）；72</w:t>
      </w:r>
      <w:r>
        <w:rPr>
          <w:rFonts w:hint="eastAsia" w:ascii="宋体" w:hAnsi="宋体" w:eastAsia="宋体" w:cs="宋体"/>
          <w:color w:val="auto"/>
        </w:rPr>
        <w:t>℃</w:t>
      </w:r>
      <w:r>
        <w:rPr>
          <w:rFonts w:ascii="Times New Roman" w:hAnsi="Times New Roman" w:cs="Times New Roman" w:eastAsiaTheme="minorEastAsia"/>
          <w:color w:val="auto"/>
        </w:rPr>
        <w:t>延伸10分钟。</w:t>
      </w:r>
    </w:p>
    <w:p>
      <w:pPr>
        <w:pStyle w:val="13"/>
        <w:spacing w:line="360" w:lineRule="auto"/>
        <w:ind w:firstLine="480" w:firstLineChars="200"/>
        <w:rPr>
          <w:rFonts w:ascii="Times New Roman" w:hAnsi="Times New Roman" w:cs="Times New Roman" w:eastAsiaTheme="minorEastAsia"/>
          <w:color w:val="auto"/>
        </w:rPr>
      </w:pPr>
      <w:r>
        <w:rPr>
          <w:rFonts w:ascii="Times New Roman" w:hAnsi="Times New Roman" w:cs="Times New Roman" w:eastAsiaTheme="minorEastAsia"/>
          <w:color w:val="auto"/>
        </w:rPr>
        <w:t>鉴别引物2</w:t>
      </w:r>
      <w:r>
        <w:rPr>
          <w:rFonts w:ascii="Times New Roman" w:hAnsi="Times New Roman" w:cs="Times New Roman" w:eastAsiaTheme="minorEastAsia"/>
          <w:color w:val="auto"/>
          <w:shd w:val="clear" w:color="auto" w:fill="FFFFFF"/>
        </w:rPr>
        <w:t>： 5´TGAAACTATGAATACTCAGATGGAATT3´和5´GCCGTAAAAAACCCCTACC3´</w:t>
      </w:r>
      <w:r>
        <w:rPr>
          <w:rFonts w:ascii="Times New Roman" w:hAnsi="Times New Roman" w:cs="Times New Roman" w:eastAsiaTheme="minorEastAsia"/>
          <w:color w:val="auto"/>
        </w:rPr>
        <w:t>，退火温度为58</w:t>
      </w:r>
      <w:r>
        <w:rPr>
          <w:rFonts w:hint="eastAsia" w:ascii="宋体" w:hAnsi="宋体" w:eastAsia="宋体" w:cs="宋体"/>
          <w:color w:val="auto"/>
        </w:rPr>
        <w:t>℃</w:t>
      </w:r>
      <w:r>
        <w:rPr>
          <w:rFonts w:ascii="Times New Roman" w:hAnsi="Times New Roman" w:cs="Times New Roman" w:eastAsiaTheme="minorEastAsia"/>
          <w:color w:val="auto"/>
        </w:rPr>
        <w:t>，其余条件相同。</w:t>
      </w:r>
    </w:p>
    <w:p>
      <w:pPr>
        <w:pStyle w:val="13"/>
        <w:spacing w:line="360" w:lineRule="auto"/>
        <w:ind w:firstLine="481" w:firstLineChars="200"/>
        <w:rPr>
          <w:rFonts w:ascii="Times New Roman" w:hAnsi="Times New Roman" w:cs="Times New Roman" w:eastAsiaTheme="minorEastAsia"/>
          <w:color w:val="auto"/>
        </w:rPr>
      </w:pPr>
      <w:r>
        <w:rPr>
          <w:rFonts w:ascii="Times New Roman" w:hAnsi="Times New Roman" w:eastAsia="黑体" w:cs="Times New Roman"/>
          <w:b/>
          <w:color w:val="auto"/>
          <w:kern w:val="2"/>
        </w:rPr>
        <w:t>电泳检测</w:t>
      </w:r>
      <w:r>
        <w:rPr>
          <w:rFonts w:ascii="Times New Roman" w:hAnsi="Times New Roman" w:cs="Times New Roman" w:eastAsiaTheme="minorEastAsia"/>
          <w:color w:val="auto"/>
        </w:rPr>
        <w:t xml:space="preserve">  照琼脂糖凝胶电泳法（</w:t>
      </w:r>
      <w:r>
        <w:rPr>
          <w:rFonts w:hint="eastAsia" w:ascii="Times New Roman" w:hAnsi="Times New Roman" w:cs="Times New Roman" w:eastAsiaTheme="minorEastAsia"/>
          <w:color w:val="auto"/>
        </w:rPr>
        <w:t>中国药典2020年版</w:t>
      </w:r>
      <w:r>
        <w:rPr>
          <w:rFonts w:ascii="Times New Roman" w:hAnsi="Times New Roman" w:cs="Times New Roman" w:eastAsiaTheme="minorEastAsia"/>
          <w:color w:val="auto"/>
        </w:rPr>
        <w:t>通则0541），</w:t>
      </w:r>
      <w:r>
        <w:rPr>
          <w:rFonts w:hint="eastAsia" w:ascii="Times New Roman" w:hAnsi="Times New Roman" w:cs="Times New Roman" w:eastAsiaTheme="minorEastAsia"/>
          <w:color w:val="auto"/>
        </w:rPr>
        <w:t>胶浓度为</w:t>
      </w:r>
      <w:r>
        <w:rPr>
          <w:rFonts w:ascii="Times New Roman" w:hAnsi="Times New Roman" w:cs="Times New Roman" w:eastAsiaTheme="minorEastAsia"/>
          <w:color w:val="auto"/>
        </w:rPr>
        <w:t>2%，胶中加入核酸凝胶染色剂GelRed</w:t>
      </w:r>
      <w:r>
        <w:rPr>
          <w:rFonts w:hint="eastAsia" w:ascii="Times New Roman" w:hAnsi="Times New Roman" w:cs="Times New Roman" w:eastAsiaTheme="minorEastAsia"/>
          <w:color w:val="auto"/>
        </w:rPr>
        <w:t>，</w:t>
      </w:r>
      <w:r>
        <w:rPr>
          <w:rFonts w:ascii="Times New Roman" w:hAnsi="Times New Roman" w:cs="Times New Roman" w:eastAsiaTheme="minorEastAsia"/>
          <w:color w:val="auto"/>
        </w:rPr>
        <w:t>供试品与对照药材PCR反应液的上样量分别为2～5μl，DNA分子量标记上样量为2.5μl</w:t>
      </w:r>
      <w:r>
        <w:rPr>
          <w:rFonts w:ascii="Times New Roman" w:hAnsi="Times New Roman" w:cs="Times New Roman" w:eastAsiaTheme="minorEastAsia"/>
          <w:color w:val="auto"/>
          <w:shd w:val="clear" w:color="auto" w:fill="FFFFFF"/>
          <w:lang w:bidi="ar"/>
        </w:rPr>
        <w:t>（0.5μg/μl）</w:t>
      </w:r>
      <w:r>
        <w:rPr>
          <w:rFonts w:ascii="Times New Roman" w:hAnsi="Times New Roman" w:cs="Times New Roman" w:eastAsiaTheme="minorEastAsia"/>
          <w:color w:val="auto"/>
        </w:rPr>
        <w:t>，电泳结束后，</w:t>
      </w:r>
      <w:r>
        <w:rPr>
          <w:rFonts w:hint="eastAsia" w:ascii="Times New Roman" w:hAnsi="Times New Roman" w:cs="Times New Roman" w:eastAsiaTheme="minorEastAsia"/>
          <w:color w:val="auto"/>
        </w:rPr>
        <w:t>取凝胶片</w:t>
      </w:r>
      <w:r>
        <w:rPr>
          <w:rFonts w:ascii="Times New Roman" w:hAnsi="Times New Roman" w:cs="Times New Roman" w:eastAsiaTheme="minorEastAsia"/>
          <w:color w:val="auto"/>
        </w:rPr>
        <w:t>在凝胶成像仪上进行检视。</w:t>
      </w:r>
      <w:r>
        <w:rPr>
          <w:rFonts w:ascii="Times New Roman" w:hAnsi="Times New Roman" w:cs="Times New Roman" w:eastAsiaTheme="minorEastAsia"/>
          <w:bCs/>
          <w:color w:val="auto"/>
        </w:rPr>
        <w:t>供试品凝胶电泳图中，引物1在与对照药材凝胶电泳图谱相应的位置上，在</w:t>
      </w:r>
      <w:r>
        <w:rPr>
          <w:rFonts w:ascii="Times New Roman" w:hAnsi="Times New Roman" w:cs="Times New Roman" w:eastAsiaTheme="minorEastAsia"/>
          <w:color w:val="auto"/>
        </w:rPr>
        <w:t>约300bp处应有单一的DNA条带，空白对照无条带。引物2在200～300bp间不能检出条带。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黑体" w:hAnsi="黑体" w:eastAsia="黑体" w:cs="Times New Roman"/>
          <w:b/>
          <w:sz w:val="24"/>
          <w:szCs w:val="24"/>
        </w:rPr>
        <w:t>【检查】 水分</w:t>
      </w:r>
      <w:r>
        <w:rPr>
          <w:rFonts w:ascii="Times New Roman" w:hAnsi="Times New Roman" w:cs="Times New Roman"/>
          <w:sz w:val="24"/>
          <w:szCs w:val="24"/>
        </w:rPr>
        <w:t xml:space="preserve">  不得过15.0％</w:t>
      </w:r>
      <w:r>
        <w:rPr>
          <w:rFonts w:hint="eastAsia" w:ascii="Times New Roman" w:hAnsi="Times New Roman" w:cs="Times New Roman"/>
          <w:sz w:val="24"/>
          <w:szCs w:val="24"/>
        </w:rPr>
        <w:t>（中国药典2020年版</w:t>
      </w:r>
      <w:r>
        <w:rPr>
          <w:rFonts w:ascii="Times New Roman" w:hAnsi="Times New Roman" w:cs="Times New Roman"/>
          <w:sz w:val="24"/>
          <w:szCs w:val="24"/>
        </w:rPr>
        <w:t>通则0832第二法</w:t>
      </w:r>
      <w:r>
        <w:rPr>
          <w:rFonts w:hint="eastAsia" w:ascii="Times New Roman" w:hAnsi="Times New Roman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黑体" w:hAnsi="黑体" w:eastAsia="黑体" w:cs="Times New Roman"/>
          <w:b/>
          <w:sz w:val="24"/>
          <w:szCs w:val="24"/>
        </w:rPr>
        <w:t>总灰分</w:t>
      </w:r>
      <w:r>
        <w:rPr>
          <w:rFonts w:ascii="Times New Roman" w:hAnsi="Times New Roman" w:cs="Times New Roman"/>
          <w:sz w:val="24"/>
          <w:szCs w:val="24"/>
        </w:rPr>
        <w:t xml:space="preserve">  不得过</w:t>
      </w:r>
      <w:r>
        <w:rPr>
          <w:rFonts w:hint="eastAsia"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.0％</w:t>
      </w:r>
      <w:r>
        <w:rPr>
          <w:rFonts w:hint="eastAsia" w:ascii="Times New Roman" w:hAnsi="Times New Roman" w:cs="Times New Roman"/>
          <w:sz w:val="24"/>
          <w:szCs w:val="24"/>
        </w:rPr>
        <w:t>（中国药典2020年版</w:t>
      </w:r>
      <w:r>
        <w:rPr>
          <w:rFonts w:ascii="Times New Roman" w:hAnsi="Times New Roman" w:cs="Times New Roman"/>
          <w:sz w:val="24"/>
          <w:szCs w:val="24"/>
        </w:rPr>
        <w:t>通则2302</w:t>
      </w:r>
      <w:r>
        <w:rPr>
          <w:rFonts w:hint="eastAsia" w:ascii="Times New Roman" w:hAnsi="Times New Roman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鲜品  挥发性盐基氮</w:t>
      </w:r>
      <w:r>
        <w:rPr>
          <w:rFonts w:hint="eastAsia" w:ascii="Times New Roman" w:hAnsi="Times New Roman" w:cs="Times New Roman"/>
          <w:sz w:val="24"/>
          <w:szCs w:val="24"/>
        </w:rPr>
        <w:t xml:space="preserve">  取本品适量，搅拌捣碎，取10g，精密称定，照氮测定法（中国药典2020版通则0704第二法）测定。每100g鲜品挥发性盐基氮不得过15mg。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黑体" w:hAnsi="黑体" w:eastAsia="黑体" w:cs="Times New Roman"/>
          <w:b/>
          <w:sz w:val="24"/>
          <w:szCs w:val="24"/>
        </w:rPr>
        <w:t>【浸出物】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照醇溶性浸出物测定法</w:t>
      </w:r>
      <w:r>
        <w:rPr>
          <w:rFonts w:hint="eastAsia" w:ascii="Times New Roman" w:hAnsi="Times New Roman" w:cs="Times New Roman"/>
          <w:sz w:val="24"/>
          <w:szCs w:val="24"/>
        </w:rPr>
        <w:t>（中国药典2020年版</w:t>
      </w:r>
      <w:r>
        <w:rPr>
          <w:rFonts w:ascii="Times New Roman" w:hAnsi="Times New Roman" w:cs="Times New Roman"/>
          <w:sz w:val="24"/>
          <w:szCs w:val="24"/>
        </w:rPr>
        <w:t>通则2201</w:t>
      </w:r>
      <w:r>
        <w:rPr>
          <w:rFonts w:hint="eastAsia" w:ascii="Times New Roman" w:hAnsi="Times New Roman" w:cs="Times New Roman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项下的热浸法测定，用稀乙醇作溶剂，不得少于1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0％。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黑体" w:hAnsi="黑体" w:eastAsia="黑体" w:cs="Times New Roman"/>
          <w:b/>
          <w:sz w:val="24"/>
          <w:szCs w:val="24"/>
        </w:rPr>
        <w:t>【性味</w:t>
      </w:r>
      <w:r>
        <w:rPr>
          <w:rFonts w:hint="eastAsia" w:ascii="黑体" w:hAnsi="黑体" w:eastAsia="黑体" w:cs="Times New Roman"/>
          <w:b/>
          <w:sz w:val="24"/>
          <w:szCs w:val="24"/>
        </w:rPr>
        <w:t>与</w:t>
      </w:r>
      <w:r>
        <w:rPr>
          <w:rFonts w:ascii="黑体" w:hAnsi="黑体" w:eastAsia="黑体" w:cs="Times New Roman"/>
          <w:b/>
          <w:sz w:val="24"/>
          <w:szCs w:val="24"/>
        </w:rPr>
        <w:t>归经】</w:t>
      </w:r>
      <w:r>
        <w:rPr>
          <w:rFonts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甘、咸，温。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</w:rPr>
        <w:t>有毒。归肝、肾经。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黑体" w:hAnsi="黑体" w:eastAsia="黑体" w:cs="Times New Roman"/>
          <w:b/>
          <w:sz w:val="24"/>
          <w:szCs w:val="24"/>
        </w:rPr>
        <w:t>【功能与主治】</w:t>
      </w:r>
      <w:r>
        <w:rPr>
          <w:rFonts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通经络，祛风湿，强筋骨。用于风湿关节痛，脚气。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黑体" w:hAnsi="黑体" w:eastAsia="黑体" w:cs="Times New Roman"/>
          <w:b/>
          <w:sz w:val="24"/>
          <w:szCs w:val="24"/>
        </w:rPr>
        <w:t>【用法与用量】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cs="Times New Roman" w:asciiTheme="minorEastAsia" w:hAnsiTheme="minorEastAsia"/>
          <w:b/>
          <w:sz w:val="24"/>
          <w:szCs w:val="24"/>
        </w:rPr>
        <w:t>鲜品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20～50g。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 w:eastAsiaTheme="majorEastAsia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sz w:val="24"/>
          <w:szCs w:val="24"/>
        </w:rPr>
        <w:t>干</w:t>
      </w:r>
      <w:r>
        <w:rPr>
          <w:rFonts w:ascii="Times New Roman" w:hAnsi="Times New Roman" w:eastAsia="黑体" w:cs="Times New Roman"/>
          <w:b/>
          <w:sz w:val="24"/>
          <w:szCs w:val="24"/>
        </w:rPr>
        <w:t>品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3～9g</w:t>
      </w:r>
      <w:r>
        <w:rPr>
          <w:rFonts w:hint="eastAsia" w:ascii="Times New Roman" w:hAnsi="Times New Roman" w:eastAsia="黑体" w:cs="Times New Roman"/>
          <w:sz w:val="24"/>
          <w:szCs w:val="24"/>
        </w:rPr>
        <w:t>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黑体" w:hAnsi="黑体" w:eastAsia="黑体" w:cs="Times New Roman"/>
          <w:b/>
          <w:sz w:val="24"/>
          <w:szCs w:val="24"/>
        </w:rPr>
        <w:t>【注意】</w:t>
      </w:r>
      <w:r>
        <w:rPr>
          <w:rFonts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Theme="majorEastAsia"/>
          <w:sz w:val="24"/>
          <w:szCs w:val="24"/>
        </w:rPr>
        <w:t>血燥筋枯者及孕妇禁用。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黑体" w:hAnsi="黑体" w:eastAsia="黑体" w:cs="Times New Roman"/>
          <w:b/>
          <w:sz w:val="24"/>
          <w:szCs w:val="24"/>
        </w:rPr>
        <w:t>【贮藏】</w:t>
      </w:r>
      <w:r>
        <w:rPr>
          <w:rFonts w:hint="eastAsia"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b/>
          <w:sz w:val="24"/>
          <w:szCs w:val="24"/>
        </w:rPr>
        <w:t>鲜品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在</w:t>
      </w:r>
      <w:r>
        <w:rPr>
          <w:rFonts w:hint="eastAsia" w:ascii="Times New Roman" w:hAnsi="Times New Roman" w:cs="Times New Roman"/>
          <w:sz w:val="24"/>
          <w:szCs w:val="24"/>
        </w:rPr>
        <w:t>-18℃及以下保存</w:t>
      </w:r>
      <w:r>
        <w:rPr>
          <w:rFonts w:hint="eastAsia" w:ascii="Times New Roman" w:hAnsi="Times New Roman" w:eastAsia="黑体" w:cs="Times New Roman"/>
          <w:sz w:val="24"/>
          <w:szCs w:val="24"/>
        </w:rPr>
        <w:t>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 w:eastAsiaTheme="majorEastAsia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sz w:val="24"/>
          <w:szCs w:val="24"/>
        </w:rPr>
        <w:t>干</w:t>
      </w:r>
      <w:r>
        <w:rPr>
          <w:rFonts w:ascii="Times New Roman" w:hAnsi="Times New Roman" w:eastAsia="黑体" w:cs="Times New Roman"/>
          <w:b/>
          <w:sz w:val="24"/>
          <w:szCs w:val="24"/>
        </w:rPr>
        <w:t>品</w:t>
      </w:r>
      <w:r>
        <w:rPr>
          <w:rFonts w:hint="eastAsia" w:ascii="Times New Roman" w:hAnsi="Times New Roman" w:eastAsia="黑体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置干燥处，防霉，防蛀</w:t>
      </w:r>
      <w:r>
        <w:rPr>
          <w:rFonts w:hint="eastAsia" w:ascii="Times New Roman" w:hAnsi="Times New Roman" w:eastAsia="黑体" w:cs="Times New Roman"/>
          <w:sz w:val="24"/>
          <w:szCs w:val="24"/>
        </w:rPr>
        <w:t>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【药材标准】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《广西</w:t>
      </w:r>
      <w:r>
        <w:rPr>
          <w:rFonts w:ascii="Times New Roman" w:hAnsi="Times New Roman" w:cs="Times New Roman"/>
          <w:sz w:val="24"/>
          <w:szCs w:val="24"/>
        </w:rPr>
        <w:t>壮族自治区少数民族及地方习用药材标准</w:t>
      </w:r>
      <w:r>
        <w:rPr>
          <w:rFonts w:hint="eastAsia" w:ascii="Times New Roman" w:hAnsi="Times New Roman" w:cs="Times New Roman"/>
          <w:sz w:val="24"/>
          <w:szCs w:val="24"/>
        </w:rPr>
        <w:t>》DYB</w:t>
      </w:r>
      <w:r>
        <w:rPr>
          <w:rFonts w:ascii="Times New Roman" w:hAnsi="Times New Roman" w:cs="Times New Roman"/>
          <w:sz w:val="24"/>
          <w:szCs w:val="24"/>
        </w:rPr>
        <w:t>45-2023-0001</w:t>
      </w:r>
    </w:p>
    <w:p>
      <w:pPr>
        <w:spacing w:line="580" w:lineRule="exact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注：眼镜蛇包括我国分布的舟山眼镜蛇</w:t>
      </w:r>
      <w:r>
        <w:rPr>
          <w:rFonts w:hint="eastAsia" w:ascii="Times New Roman" w:hAnsi="Times New Roman" w:cs="Times New Roman"/>
          <w:i/>
          <w:sz w:val="24"/>
          <w:szCs w:val="24"/>
        </w:rPr>
        <w:t>Naja atra</w:t>
      </w:r>
      <w:r>
        <w:rPr>
          <w:rFonts w:hint="eastAsia" w:ascii="Times New Roman" w:hAnsi="Times New Roman" w:cs="Times New Roman"/>
          <w:sz w:val="24"/>
          <w:szCs w:val="24"/>
        </w:rPr>
        <w:t xml:space="preserve"> Cantor和孟加拉眼睛蛇</w:t>
      </w:r>
      <w:r>
        <w:rPr>
          <w:rFonts w:hint="eastAsia" w:ascii="Times New Roman" w:hAnsi="Times New Roman" w:cs="Times New Roman"/>
          <w:i/>
          <w:sz w:val="24"/>
          <w:szCs w:val="24"/>
        </w:rPr>
        <w:t>Naja kaouthia</w:t>
      </w:r>
      <w:r>
        <w:rPr>
          <w:rFonts w:hint="eastAsia" w:ascii="Times New Roman" w:hAnsi="Times New Roman" w:cs="Times New Roman"/>
          <w:sz w:val="24"/>
          <w:szCs w:val="24"/>
        </w:rPr>
        <w:t xml:space="preserve"> Lesson。</w:t>
      </w:r>
    </w:p>
    <w:sectPr>
      <w:headerReference r:id="rId3" w:type="default"/>
      <w:pgSz w:w="11906" w:h="16838"/>
      <w:pgMar w:top="1440" w:right="1274" w:bottom="1440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mYTFiOGYxMWRmNzkwZGU5ZGE1NDU3ZDQ1MzU5MWQifQ=="/>
  </w:docVars>
  <w:rsids>
    <w:rsidRoot w:val="00280FBB"/>
    <w:rsid w:val="00025357"/>
    <w:rsid w:val="000272B1"/>
    <w:rsid w:val="000414AB"/>
    <w:rsid w:val="000562F1"/>
    <w:rsid w:val="00060B05"/>
    <w:rsid w:val="00077785"/>
    <w:rsid w:val="0008262D"/>
    <w:rsid w:val="000909BF"/>
    <w:rsid w:val="000A08D5"/>
    <w:rsid w:val="000D1158"/>
    <w:rsid w:val="000D22BB"/>
    <w:rsid w:val="000D303B"/>
    <w:rsid w:val="0010037A"/>
    <w:rsid w:val="00100718"/>
    <w:rsid w:val="00114091"/>
    <w:rsid w:val="001143FB"/>
    <w:rsid w:val="00116B8F"/>
    <w:rsid w:val="00127A3E"/>
    <w:rsid w:val="001445BD"/>
    <w:rsid w:val="001606EF"/>
    <w:rsid w:val="00160B7A"/>
    <w:rsid w:val="001A7EFC"/>
    <w:rsid w:val="001B2B7C"/>
    <w:rsid w:val="001B5D7D"/>
    <w:rsid w:val="001C09AF"/>
    <w:rsid w:val="001D14F0"/>
    <w:rsid w:val="001E100F"/>
    <w:rsid w:val="0020355B"/>
    <w:rsid w:val="00242C12"/>
    <w:rsid w:val="002570DE"/>
    <w:rsid w:val="00275CBB"/>
    <w:rsid w:val="00280FBB"/>
    <w:rsid w:val="00291EAC"/>
    <w:rsid w:val="002A555C"/>
    <w:rsid w:val="002C25A2"/>
    <w:rsid w:val="003137E4"/>
    <w:rsid w:val="00317D5D"/>
    <w:rsid w:val="00317D77"/>
    <w:rsid w:val="003322CE"/>
    <w:rsid w:val="00342666"/>
    <w:rsid w:val="00350338"/>
    <w:rsid w:val="0035735B"/>
    <w:rsid w:val="00362D18"/>
    <w:rsid w:val="0036741B"/>
    <w:rsid w:val="00371EB5"/>
    <w:rsid w:val="003724A1"/>
    <w:rsid w:val="003725DC"/>
    <w:rsid w:val="003727A0"/>
    <w:rsid w:val="00374C57"/>
    <w:rsid w:val="00374E22"/>
    <w:rsid w:val="003B331D"/>
    <w:rsid w:val="003C3D3A"/>
    <w:rsid w:val="003C559D"/>
    <w:rsid w:val="003D0A65"/>
    <w:rsid w:val="003F128C"/>
    <w:rsid w:val="003F1906"/>
    <w:rsid w:val="003F3012"/>
    <w:rsid w:val="003F7B4C"/>
    <w:rsid w:val="0040102B"/>
    <w:rsid w:val="00401D20"/>
    <w:rsid w:val="00402777"/>
    <w:rsid w:val="00423459"/>
    <w:rsid w:val="00447FC0"/>
    <w:rsid w:val="00465778"/>
    <w:rsid w:val="00483C7E"/>
    <w:rsid w:val="00486E6A"/>
    <w:rsid w:val="00487BFF"/>
    <w:rsid w:val="00497FE5"/>
    <w:rsid w:val="004A66F4"/>
    <w:rsid w:val="004A7E6F"/>
    <w:rsid w:val="004B4F1B"/>
    <w:rsid w:val="004B5CA5"/>
    <w:rsid w:val="004B65D2"/>
    <w:rsid w:val="004C2050"/>
    <w:rsid w:val="004C6C38"/>
    <w:rsid w:val="004E47E7"/>
    <w:rsid w:val="004E7D95"/>
    <w:rsid w:val="004F03EE"/>
    <w:rsid w:val="004F6A73"/>
    <w:rsid w:val="004F6C95"/>
    <w:rsid w:val="00502F5A"/>
    <w:rsid w:val="005040FC"/>
    <w:rsid w:val="00511F2F"/>
    <w:rsid w:val="00513F1E"/>
    <w:rsid w:val="0051473F"/>
    <w:rsid w:val="005172A6"/>
    <w:rsid w:val="0052550C"/>
    <w:rsid w:val="0052717F"/>
    <w:rsid w:val="005332A8"/>
    <w:rsid w:val="00534BA5"/>
    <w:rsid w:val="0054068E"/>
    <w:rsid w:val="00580637"/>
    <w:rsid w:val="005822DE"/>
    <w:rsid w:val="00583813"/>
    <w:rsid w:val="00593675"/>
    <w:rsid w:val="005B77EB"/>
    <w:rsid w:val="005C0742"/>
    <w:rsid w:val="005C57E9"/>
    <w:rsid w:val="005E1651"/>
    <w:rsid w:val="0060693E"/>
    <w:rsid w:val="00615E28"/>
    <w:rsid w:val="006407B6"/>
    <w:rsid w:val="00643725"/>
    <w:rsid w:val="00644CE9"/>
    <w:rsid w:val="006478DD"/>
    <w:rsid w:val="00651931"/>
    <w:rsid w:val="0065309B"/>
    <w:rsid w:val="0067332F"/>
    <w:rsid w:val="00683BE6"/>
    <w:rsid w:val="00691777"/>
    <w:rsid w:val="00697B2B"/>
    <w:rsid w:val="006A2D34"/>
    <w:rsid w:val="006A7C88"/>
    <w:rsid w:val="006B0B04"/>
    <w:rsid w:val="006B1A20"/>
    <w:rsid w:val="006B4493"/>
    <w:rsid w:val="006B5A07"/>
    <w:rsid w:val="006C63EB"/>
    <w:rsid w:val="006D5A28"/>
    <w:rsid w:val="006E6B76"/>
    <w:rsid w:val="006F5415"/>
    <w:rsid w:val="0071480F"/>
    <w:rsid w:val="00723F87"/>
    <w:rsid w:val="00727A88"/>
    <w:rsid w:val="00730164"/>
    <w:rsid w:val="00734BE8"/>
    <w:rsid w:val="00750726"/>
    <w:rsid w:val="007518DF"/>
    <w:rsid w:val="007551DD"/>
    <w:rsid w:val="007748E6"/>
    <w:rsid w:val="00780E37"/>
    <w:rsid w:val="00790278"/>
    <w:rsid w:val="00790541"/>
    <w:rsid w:val="00793213"/>
    <w:rsid w:val="00796E61"/>
    <w:rsid w:val="007A0A37"/>
    <w:rsid w:val="007C46FB"/>
    <w:rsid w:val="007D02E3"/>
    <w:rsid w:val="007D79B5"/>
    <w:rsid w:val="007E638F"/>
    <w:rsid w:val="008038BA"/>
    <w:rsid w:val="0081154C"/>
    <w:rsid w:val="00822281"/>
    <w:rsid w:val="00826F92"/>
    <w:rsid w:val="00833CEF"/>
    <w:rsid w:val="008342DB"/>
    <w:rsid w:val="00836A68"/>
    <w:rsid w:val="00852798"/>
    <w:rsid w:val="00853826"/>
    <w:rsid w:val="008548DF"/>
    <w:rsid w:val="008778E7"/>
    <w:rsid w:val="00881262"/>
    <w:rsid w:val="00882390"/>
    <w:rsid w:val="0088725C"/>
    <w:rsid w:val="00890005"/>
    <w:rsid w:val="008A0A72"/>
    <w:rsid w:val="008A2F6E"/>
    <w:rsid w:val="008C6364"/>
    <w:rsid w:val="008C74EF"/>
    <w:rsid w:val="008C7D65"/>
    <w:rsid w:val="008E7B4A"/>
    <w:rsid w:val="008F2F26"/>
    <w:rsid w:val="00922581"/>
    <w:rsid w:val="009573F6"/>
    <w:rsid w:val="00957D30"/>
    <w:rsid w:val="00962705"/>
    <w:rsid w:val="00965DDA"/>
    <w:rsid w:val="00975279"/>
    <w:rsid w:val="00977512"/>
    <w:rsid w:val="009B1C9F"/>
    <w:rsid w:val="009B409A"/>
    <w:rsid w:val="009B5B8D"/>
    <w:rsid w:val="009B79F9"/>
    <w:rsid w:val="009D029D"/>
    <w:rsid w:val="009D0532"/>
    <w:rsid w:val="009E44CA"/>
    <w:rsid w:val="009F0B94"/>
    <w:rsid w:val="00A027C4"/>
    <w:rsid w:val="00A109CB"/>
    <w:rsid w:val="00A1129C"/>
    <w:rsid w:val="00A13390"/>
    <w:rsid w:val="00A13CC5"/>
    <w:rsid w:val="00A25032"/>
    <w:rsid w:val="00A32899"/>
    <w:rsid w:val="00A6331F"/>
    <w:rsid w:val="00A64D43"/>
    <w:rsid w:val="00A65ABA"/>
    <w:rsid w:val="00A675E2"/>
    <w:rsid w:val="00A904A3"/>
    <w:rsid w:val="00A91FE3"/>
    <w:rsid w:val="00A973A7"/>
    <w:rsid w:val="00AB67ED"/>
    <w:rsid w:val="00AC2049"/>
    <w:rsid w:val="00AE1C87"/>
    <w:rsid w:val="00AF5CB7"/>
    <w:rsid w:val="00B25080"/>
    <w:rsid w:val="00B41F1C"/>
    <w:rsid w:val="00B61862"/>
    <w:rsid w:val="00B673B2"/>
    <w:rsid w:val="00B8553B"/>
    <w:rsid w:val="00B94071"/>
    <w:rsid w:val="00B962C9"/>
    <w:rsid w:val="00B96658"/>
    <w:rsid w:val="00BA4804"/>
    <w:rsid w:val="00BA54AC"/>
    <w:rsid w:val="00BB0A0A"/>
    <w:rsid w:val="00BC23BE"/>
    <w:rsid w:val="00BC654A"/>
    <w:rsid w:val="00BD233C"/>
    <w:rsid w:val="00BE7E61"/>
    <w:rsid w:val="00BF4ABA"/>
    <w:rsid w:val="00C061DE"/>
    <w:rsid w:val="00C11A3C"/>
    <w:rsid w:val="00C21C53"/>
    <w:rsid w:val="00C25610"/>
    <w:rsid w:val="00C33DA0"/>
    <w:rsid w:val="00C34582"/>
    <w:rsid w:val="00C400F4"/>
    <w:rsid w:val="00C53490"/>
    <w:rsid w:val="00C578D5"/>
    <w:rsid w:val="00C741A1"/>
    <w:rsid w:val="00C7545E"/>
    <w:rsid w:val="00C86518"/>
    <w:rsid w:val="00C958FE"/>
    <w:rsid w:val="00CA1A67"/>
    <w:rsid w:val="00CA3392"/>
    <w:rsid w:val="00CB6A08"/>
    <w:rsid w:val="00CD1BDC"/>
    <w:rsid w:val="00CE1391"/>
    <w:rsid w:val="00D07950"/>
    <w:rsid w:val="00D10693"/>
    <w:rsid w:val="00D179CC"/>
    <w:rsid w:val="00D248A1"/>
    <w:rsid w:val="00D358CB"/>
    <w:rsid w:val="00D37C5F"/>
    <w:rsid w:val="00D441E5"/>
    <w:rsid w:val="00D5013C"/>
    <w:rsid w:val="00D51302"/>
    <w:rsid w:val="00D621A0"/>
    <w:rsid w:val="00D65CD6"/>
    <w:rsid w:val="00D7660B"/>
    <w:rsid w:val="00D8337E"/>
    <w:rsid w:val="00D97B65"/>
    <w:rsid w:val="00DA1482"/>
    <w:rsid w:val="00DA7F0A"/>
    <w:rsid w:val="00DD21BB"/>
    <w:rsid w:val="00DD64DE"/>
    <w:rsid w:val="00DD72CE"/>
    <w:rsid w:val="00DE4C3A"/>
    <w:rsid w:val="00E0017C"/>
    <w:rsid w:val="00E037D3"/>
    <w:rsid w:val="00E03892"/>
    <w:rsid w:val="00E052D7"/>
    <w:rsid w:val="00E13BD8"/>
    <w:rsid w:val="00E13F6F"/>
    <w:rsid w:val="00E27404"/>
    <w:rsid w:val="00E30924"/>
    <w:rsid w:val="00E45F65"/>
    <w:rsid w:val="00E521A8"/>
    <w:rsid w:val="00E54D57"/>
    <w:rsid w:val="00E830D5"/>
    <w:rsid w:val="00E903E8"/>
    <w:rsid w:val="00E940EE"/>
    <w:rsid w:val="00E97528"/>
    <w:rsid w:val="00EA1FD6"/>
    <w:rsid w:val="00EA6CE4"/>
    <w:rsid w:val="00EB0E03"/>
    <w:rsid w:val="00EC0BAC"/>
    <w:rsid w:val="00EE020A"/>
    <w:rsid w:val="00EF3BAA"/>
    <w:rsid w:val="00EF647A"/>
    <w:rsid w:val="00F0587A"/>
    <w:rsid w:val="00F1256E"/>
    <w:rsid w:val="00F12A94"/>
    <w:rsid w:val="00F20327"/>
    <w:rsid w:val="00F207F7"/>
    <w:rsid w:val="00F250C1"/>
    <w:rsid w:val="00F27843"/>
    <w:rsid w:val="00F333FD"/>
    <w:rsid w:val="00F35AF8"/>
    <w:rsid w:val="00F37336"/>
    <w:rsid w:val="00F47F53"/>
    <w:rsid w:val="00F53122"/>
    <w:rsid w:val="00F61912"/>
    <w:rsid w:val="00F7611D"/>
    <w:rsid w:val="00F9009F"/>
    <w:rsid w:val="00FA4EA8"/>
    <w:rsid w:val="00FA58ED"/>
    <w:rsid w:val="00FA78D2"/>
    <w:rsid w:val="00FB56C5"/>
    <w:rsid w:val="00FD725E"/>
    <w:rsid w:val="200774ED"/>
    <w:rsid w:val="5DE0745E"/>
    <w:rsid w:val="BD6EB2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 Unicode MS" w:eastAsia="Arial Unicode MS" w:cs="Arial Unicode MS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14">
    <w:name w:val="批注文字 Char"/>
    <w:basedOn w:val="8"/>
    <w:link w:val="2"/>
    <w:semiHidden/>
    <w:qFormat/>
    <w:uiPriority w:val="99"/>
  </w:style>
  <w:style w:type="character" w:customStyle="1" w:styleId="15">
    <w:name w:val="批注主题 Char"/>
    <w:basedOn w:val="14"/>
    <w:link w:val="6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338</Words>
  <Characters>1928</Characters>
  <Lines>16</Lines>
  <Paragraphs>4</Paragraphs>
  <TotalTime>11</TotalTime>
  <ScaleCrop>false</ScaleCrop>
  <LinksUpToDate>false</LinksUpToDate>
  <CharactersWithSpaces>2262</CharactersWithSpaces>
  <Application>WPS Office_11.1.0.11698_F1E327BC-269C-435d-A152-05C5408002CA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2023-09-20T16:44:00Z</dcterms:created>
  <dc:creator>李丽莉</dc:creator>
  <cp:lastModifiedBy>gxxc</cp:lastModifiedBy>
  <cp:lastPrinted>2023-09-07T09:30:00Z</cp:lastPrinted>
  <dcterms:modified xsi:type="dcterms:W3CDTF">2023-10-26T08:50:41Z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214E31EB5BC74E24AA037C1EA51F13B4_13</vt:lpwstr>
  </property>
</Properties>
</file>