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  <w:szCs w:val="36"/>
        </w:rPr>
      </w:pPr>
      <w:bookmarkStart w:id="0" w:name="_GoBack"/>
      <w:bookmarkEnd w:id="0"/>
    </w:p>
    <w:p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柴  胡</w:t>
      </w:r>
    </w:p>
    <w:p>
      <w:pPr>
        <w:jc w:val="center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Chaihu</w:t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 xml:space="preserve"> BUPLEURI RADIX</w:t>
      </w:r>
    </w:p>
    <w:p>
      <w:pPr>
        <w:jc w:val="center"/>
        <w:rPr>
          <w:rFonts w:asciiTheme="minorEastAsia" w:hAnsiTheme="minorEastAsia" w:eastAsiaTheme="minorEastAsia"/>
          <w:b/>
          <w:sz w:val="28"/>
          <w:szCs w:val="28"/>
        </w:rPr>
      </w:pP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 xml:space="preserve">【来源】 </w:t>
      </w:r>
      <w:r>
        <w:rPr>
          <w:rFonts w:hint="eastAsia" w:ascii="宋体" w:hAnsi="宋体"/>
          <w:sz w:val="24"/>
          <w:szCs w:val="24"/>
        </w:rPr>
        <w:t>本品为伞形科植物柴胡</w:t>
      </w:r>
      <w:r>
        <w:rPr>
          <w:rFonts w:ascii="Times New Roman" w:hAnsi="Times New Roman"/>
          <w:i/>
          <w:sz w:val="24"/>
          <w:szCs w:val="24"/>
        </w:rPr>
        <w:t xml:space="preserve">Bupleurum chinense </w:t>
      </w:r>
      <w:r>
        <w:rPr>
          <w:rFonts w:ascii="Times New Roman" w:hAnsi="Times New Roman"/>
          <w:sz w:val="24"/>
          <w:szCs w:val="24"/>
        </w:rPr>
        <w:t>DC.</w:t>
      </w:r>
      <w:r>
        <w:rPr>
          <w:rFonts w:hint="eastAsia" w:ascii="宋体" w:hAnsi="宋体"/>
          <w:sz w:val="24"/>
          <w:szCs w:val="24"/>
        </w:rPr>
        <w:t>或狭叶柴胡</w:t>
      </w:r>
      <w:r>
        <w:rPr>
          <w:rFonts w:ascii="Times New Roman" w:hAnsi="Times New Roman"/>
          <w:i/>
          <w:sz w:val="24"/>
          <w:szCs w:val="24"/>
        </w:rPr>
        <w:t xml:space="preserve">Bupleurum scorzonerifolium </w:t>
      </w:r>
      <w:r>
        <w:rPr>
          <w:rFonts w:ascii="Times New Roman" w:hAnsi="Times New Roman"/>
          <w:sz w:val="24"/>
          <w:szCs w:val="24"/>
        </w:rPr>
        <w:t>Willd.</w:t>
      </w:r>
      <w:r>
        <w:rPr>
          <w:rFonts w:hint="eastAsia" w:ascii="宋体" w:hAnsi="宋体"/>
          <w:sz w:val="24"/>
          <w:szCs w:val="24"/>
        </w:rPr>
        <w:t xml:space="preserve"> 的干燥根。</w:t>
      </w: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【炮制】 北柴胡段</w:t>
      </w:r>
      <w:r>
        <w:rPr>
          <w:rFonts w:hint="eastAsia" w:ascii="黑体" w:hAnsi="黑体" w:eastAsia="黑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除去杂质和残茎，洗润，切段，干燥。</w:t>
      </w: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醋北柴胡段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取北柴胡段，照醋炙</w:t>
      </w:r>
      <w:r>
        <w:rPr>
          <w:rFonts w:hint="eastAsia" w:asciiTheme="minorEastAsia" w:hAnsiTheme="minorEastAsia" w:eastAsiaTheme="minorEastAsia"/>
          <w:sz w:val="24"/>
          <w:szCs w:val="24"/>
        </w:rPr>
        <w:t>法（</w:t>
      </w:r>
      <w:r>
        <w:rPr>
          <w:rFonts w:asciiTheme="minorEastAsia" w:hAnsiTheme="minorEastAsia" w:eastAsiaTheme="minorEastAsia"/>
          <w:sz w:val="24"/>
        </w:rPr>
        <w:t>中国药典20</w:t>
      </w:r>
      <w:r>
        <w:rPr>
          <w:rFonts w:hint="eastAsia" w:asciiTheme="minorEastAsia" w:hAnsiTheme="minorEastAsia" w:eastAsiaTheme="minorEastAsia"/>
          <w:sz w:val="24"/>
        </w:rPr>
        <w:t>20</w:t>
      </w:r>
      <w:r>
        <w:rPr>
          <w:rFonts w:asciiTheme="minorEastAsia" w:hAnsiTheme="minorEastAsia" w:eastAsiaTheme="minorEastAsia"/>
          <w:sz w:val="24"/>
        </w:rPr>
        <w:t>年版</w:t>
      </w:r>
      <w:r>
        <w:rPr>
          <w:rFonts w:hint="eastAsia" w:asciiTheme="minorEastAsia" w:hAnsiTheme="minorEastAsia" w:eastAsiaTheme="minorEastAsia"/>
          <w:sz w:val="24"/>
          <w:szCs w:val="24"/>
        </w:rPr>
        <w:t>通则0213）</w:t>
      </w:r>
      <w:r>
        <w:rPr>
          <w:rFonts w:hint="eastAsia" w:ascii="宋体" w:hAnsi="宋体"/>
          <w:sz w:val="24"/>
          <w:szCs w:val="24"/>
        </w:rPr>
        <w:t>炒干。</w:t>
      </w: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南柴胡段</w:t>
      </w:r>
      <w:r>
        <w:rPr>
          <w:rFonts w:hint="eastAsia" w:ascii="宋体" w:hAnsi="宋体"/>
          <w:b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除去杂质和残茎，洗润，切段，干燥。</w:t>
      </w: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醋南柴胡段</w:t>
      </w:r>
      <w:r>
        <w:rPr>
          <w:rFonts w:hint="eastAsia" w:ascii="宋体" w:hAnsi="宋体"/>
          <w:b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取南柴胡段，照醋炙法（</w:t>
      </w:r>
      <w:r>
        <w:rPr>
          <w:rFonts w:ascii="宋体" w:hAnsi="宋体"/>
          <w:sz w:val="24"/>
          <w:szCs w:val="24"/>
        </w:rPr>
        <w:t>中国药典20</w:t>
      </w:r>
      <w:r>
        <w:rPr>
          <w:rFonts w:hint="eastAsia" w:ascii="宋体" w:hAnsi="宋体"/>
          <w:sz w:val="24"/>
          <w:szCs w:val="24"/>
        </w:rPr>
        <w:t>20</w:t>
      </w:r>
      <w:r>
        <w:rPr>
          <w:rFonts w:ascii="宋体" w:hAnsi="宋体"/>
          <w:sz w:val="24"/>
          <w:szCs w:val="24"/>
        </w:rPr>
        <w:t>年版</w:t>
      </w:r>
      <w:r>
        <w:rPr>
          <w:rFonts w:hint="eastAsia" w:ascii="宋体" w:hAnsi="宋体"/>
          <w:sz w:val="24"/>
          <w:szCs w:val="24"/>
        </w:rPr>
        <w:t>通则0213）炒干。</w:t>
      </w: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【性状】 北柴胡段</w:t>
      </w:r>
      <w:r>
        <w:rPr>
          <w:rFonts w:hint="eastAsia" w:ascii="黑体" w:hAnsi="黑体" w:eastAsia="黑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本品呈不规则的段。外表皮黑褐色或浅棕色，具纵皱纹和支根痕。切面淡黄白色，纤维性。质硬。气微香，味微苦。</w:t>
      </w: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醋北柴胡段</w:t>
      </w:r>
      <w:r>
        <w:rPr>
          <w:rFonts w:hint="eastAsia" w:ascii="黑体" w:hAnsi="黑体" w:eastAsia="黑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本品形如北柴胡段，表面淡黄棕色，微有醋香气，味微苦。</w:t>
      </w: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南柴胡段</w:t>
      </w:r>
      <w:r>
        <w:rPr>
          <w:rFonts w:hint="eastAsia" w:ascii="黑体" w:hAnsi="黑体" w:eastAsia="黑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本品呈不规则的段。外表皮红棕色或黑褐色。有时可见根头处具细密环纹或有细毛状枯叶纤维。切面黄白色，平坦。具败油气。</w:t>
      </w: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醋南柴胡段</w:t>
      </w:r>
      <w:r>
        <w:rPr>
          <w:rFonts w:hint="eastAsia" w:ascii="黑体" w:hAnsi="黑体" w:eastAsia="黑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本品形如南柴胡段，微有醋香气。</w:t>
      </w:r>
    </w:p>
    <w:p>
      <w:pPr>
        <w:spacing w:line="580" w:lineRule="exact"/>
        <w:ind w:firstLine="481" w:firstLineChars="200"/>
        <w:rPr>
          <w:rFonts w:hint="eastAsia" w:asciiTheme="minorEastAsia" w:hAnsiTheme="minorEastAsia" w:eastAsiaTheme="minorEastAsia"/>
          <w:sz w:val="24"/>
          <w:szCs w:val="24"/>
        </w:rPr>
        <w:sectPr>
          <w:headerReference r:id="rId3" w:type="firs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  <w:r>
        <w:rPr>
          <w:rFonts w:hint="eastAsia" w:ascii="黑体" w:hAnsi="黑体" w:eastAsia="黑体"/>
          <w:b/>
          <w:bCs/>
          <w:sz w:val="24"/>
          <w:szCs w:val="24"/>
        </w:rPr>
        <w:t>【鉴别】 北柴胡段及醋北柴胡段</w:t>
      </w:r>
      <w:r>
        <w:rPr>
          <w:rFonts w:hint="eastAsia" w:ascii="黑体" w:hAnsi="黑体" w:eastAsia="黑体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取本品粉末0.5g，加甲醇20ml，超声处理10分钟，滤过，滤液浓缩至5ml，作为供试品溶液。另取北柴胡对照药材0.5g，同法制成对照药材溶液。再取柴胡皂苷a对照品、柴胡皂苷d对照品，加甲醇制成每1ml各含0.5mg的混合溶液，作为对照品溶液。照薄层色谱法（</w:t>
      </w:r>
      <w:r>
        <w:rPr>
          <w:rFonts w:asciiTheme="minorEastAsia" w:hAnsiTheme="minorEastAsia" w:eastAsiaTheme="minorEastAsia"/>
          <w:sz w:val="24"/>
        </w:rPr>
        <w:t>中国药典20</w:t>
      </w:r>
      <w:r>
        <w:rPr>
          <w:rFonts w:hint="eastAsia" w:asciiTheme="minorEastAsia" w:hAnsiTheme="minorEastAsia" w:eastAsiaTheme="minorEastAsia"/>
          <w:sz w:val="24"/>
        </w:rPr>
        <w:t>20</w:t>
      </w:r>
      <w:r>
        <w:rPr>
          <w:rFonts w:asciiTheme="minorEastAsia" w:hAnsiTheme="minorEastAsia" w:eastAsiaTheme="minorEastAsia"/>
          <w:sz w:val="24"/>
        </w:rPr>
        <w:t>年版</w:t>
      </w:r>
      <w:r>
        <w:rPr>
          <w:rFonts w:hint="eastAsia" w:asciiTheme="minorEastAsia" w:hAnsiTheme="minorEastAsia" w:eastAsiaTheme="minorEastAsia"/>
          <w:sz w:val="24"/>
          <w:szCs w:val="24"/>
        </w:rPr>
        <w:t>通则0502）试验，吸取上述三种溶液各5</w:t>
      </w:r>
      <w:r>
        <w:rPr>
          <w:rFonts w:ascii="Times New Roman" w:hAnsi="Times New Roman" w:eastAsiaTheme="minorEastAsia"/>
          <w:sz w:val="24"/>
          <w:szCs w:val="24"/>
        </w:rPr>
        <w:t>μl</w:t>
      </w:r>
      <w:r>
        <w:rPr>
          <w:rFonts w:hint="eastAsia" w:asciiTheme="minorEastAsia" w:hAnsiTheme="minorEastAsia" w:eastAsiaTheme="minorEastAsia"/>
          <w:sz w:val="24"/>
          <w:szCs w:val="24"/>
        </w:rPr>
        <w:t>，分别点于同一硅胶G薄层</w:t>
      </w:r>
    </w:p>
    <w:p>
      <w:pPr>
        <w:spacing w:line="58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板上，以乙酸乙酯-乙醇-水（8</w:t>
      </w:r>
      <w:r>
        <w:rPr>
          <w:rFonts w:hint="eastAsia" w:asciiTheme="minorEastAsia" w:hAnsi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1）为展开剂，展开，取出，晾干，喷以2%对二甲氨基苯甲醛的40%硫酸溶液，在60℃加热至斑点显色清晰，分别置日光和紫外光灯（365nm）下检视。供试品色谱中，在与对照药材色谱和对照品色谱相应的位置上，显相同颜色的斑点或荧光斑点。</w:t>
      </w:r>
    </w:p>
    <w:p>
      <w:pPr>
        <w:spacing w:line="580" w:lineRule="exact"/>
        <w:ind w:firstLine="361" w:firstLineChars="150"/>
        <w:rPr>
          <w:rFonts w:ascii="宋体" w:hAnsi="宋体" w:eastAsiaTheme="minorEastAsia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【检查】 北柴胡段及醋北柴胡段 水分</w:t>
      </w:r>
      <w:r>
        <w:rPr>
          <w:rFonts w:hint="eastAsia" w:ascii="黑体" w:hAnsi="黑体" w:eastAsia="黑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不</w:t>
      </w:r>
      <w:r>
        <w:rPr>
          <w:rFonts w:hint="eastAsia" w:asciiTheme="minorEastAsia" w:hAnsiTheme="minorEastAsia" w:eastAsiaTheme="minorEastAsia"/>
          <w:sz w:val="24"/>
          <w:szCs w:val="24"/>
        </w:rPr>
        <w:t>得过 10.0%。（</w:t>
      </w:r>
      <w:r>
        <w:rPr>
          <w:rFonts w:asciiTheme="minorEastAsia" w:hAnsiTheme="minorEastAsia" w:eastAsiaTheme="minorEastAsia"/>
          <w:sz w:val="24"/>
        </w:rPr>
        <w:t>中国药典20</w:t>
      </w:r>
      <w:r>
        <w:rPr>
          <w:rFonts w:hint="eastAsia" w:asciiTheme="minorEastAsia" w:hAnsiTheme="minorEastAsia" w:eastAsiaTheme="minorEastAsia"/>
          <w:sz w:val="24"/>
        </w:rPr>
        <w:t>20</w:t>
      </w:r>
      <w:r>
        <w:rPr>
          <w:rFonts w:asciiTheme="minorEastAsia" w:hAnsiTheme="minorEastAsia" w:eastAsiaTheme="minorEastAsia"/>
          <w:sz w:val="24"/>
        </w:rPr>
        <w:t>年版</w:t>
      </w:r>
      <w:r>
        <w:rPr>
          <w:rFonts w:hint="eastAsia" w:asciiTheme="minorEastAsia" w:hAnsiTheme="minorEastAsia" w:eastAsiaTheme="minorEastAsia"/>
          <w:sz w:val="24"/>
          <w:szCs w:val="24"/>
        </w:rPr>
        <w:t>通则0832第二法）</w:t>
      </w:r>
    </w:p>
    <w:p>
      <w:pPr>
        <w:spacing w:line="580" w:lineRule="exact"/>
        <w:ind w:firstLine="361" w:firstLineChars="150"/>
        <w:rPr>
          <w:rFonts w:ascii="宋体" w:hAnsi="宋体" w:eastAsiaTheme="minorEastAsia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北柴胡段及醋北柴胡段 总灰分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24"/>
        </w:rPr>
        <w:t>不得过 8.0%。（</w:t>
      </w:r>
      <w:r>
        <w:rPr>
          <w:rFonts w:asciiTheme="minorEastAsia" w:hAnsiTheme="minorEastAsia" w:eastAsiaTheme="minorEastAsia"/>
          <w:sz w:val="24"/>
        </w:rPr>
        <w:t>中国药典20</w:t>
      </w:r>
      <w:r>
        <w:rPr>
          <w:rFonts w:hint="eastAsia" w:asciiTheme="minorEastAsia" w:hAnsiTheme="minorEastAsia" w:eastAsiaTheme="minorEastAsia"/>
          <w:sz w:val="24"/>
        </w:rPr>
        <w:t>20</w:t>
      </w:r>
      <w:r>
        <w:rPr>
          <w:rFonts w:asciiTheme="minorEastAsia" w:hAnsiTheme="minorEastAsia" w:eastAsiaTheme="minorEastAsia"/>
          <w:sz w:val="24"/>
        </w:rPr>
        <w:t>年版</w:t>
      </w:r>
      <w:r>
        <w:rPr>
          <w:rFonts w:hint="eastAsia" w:asciiTheme="minorEastAsia" w:hAnsiTheme="minorEastAsia" w:eastAsiaTheme="minorEastAsia"/>
          <w:sz w:val="24"/>
          <w:szCs w:val="24"/>
        </w:rPr>
        <w:t>通则2302）</w:t>
      </w:r>
    </w:p>
    <w:p>
      <w:pPr>
        <w:spacing w:line="580" w:lineRule="exact"/>
        <w:ind w:firstLine="361" w:firstLineChars="150"/>
        <w:rPr>
          <w:rFonts w:ascii="宋体" w:hAnsi="宋体" w:eastAsiaTheme="minorEastAsia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北柴胡段及醋北柴胡段 酸不溶性灰分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不得过3.0%。（</w:t>
      </w:r>
      <w:r>
        <w:rPr>
          <w:rFonts w:asciiTheme="minorEastAsia" w:hAnsiTheme="minorEastAsia" w:eastAsiaTheme="minorEastAsia"/>
          <w:sz w:val="24"/>
        </w:rPr>
        <w:t>中国药典20</w:t>
      </w:r>
      <w:r>
        <w:rPr>
          <w:rFonts w:hint="eastAsia" w:asciiTheme="minorEastAsia" w:hAnsiTheme="minorEastAsia" w:eastAsiaTheme="minorEastAsia"/>
          <w:sz w:val="24"/>
        </w:rPr>
        <w:t>20</w:t>
      </w:r>
      <w:r>
        <w:rPr>
          <w:rFonts w:asciiTheme="minorEastAsia" w:hAnsiTheme="minorEastAsia" w:eastAsiaTheme="minorEastAsia"/>
          <w:sz w:val="24"/>
        </w:rPr>
        <w:t>年版</w:t>
      </w:r>
      <w:r>
        <w:rPr>
          <w:rFonts w:hint="eastAsia" w:asciiTheme="minorEastAsia" w:hAnsiTheme="minorEastAsia" w:eastAsiaTheme="minorEastAsia"/>
          <w:sz w:val="24"/>
          <w:szCs w:val="24"/>
        </w:rPr>
        <w:t>通则2302）</w:t>
      </w:r>
    </w:p>
    <w:p>
      <w:pPr>
        <w:spacing w:line="580" w:lineRule="exact"/>
        <w:ind w:firstLine="361" w:firstLineChars="1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 xml:space="preserve">【浸出物】 </w:t>
      </w:r>
      <w:r>
        <w:rPr>
          <w:rFonts w:hint="eastAsia" w:asciiTheme="minorEastAsia" w:hAnsiTheme="minorEastAsia" w:eastAsiaTheme="minorEastAsia"/>
          <w:sz w:val="24"/>
          <w:szCs w:val="24"/>
        </w:rPr>
        <w:t>照醇溶性浸出物测定法项下的热浸法（</w:t>
      </w:r>
      <w:r>
        <w:rPr>
          <w:rFonts w:asciiTheme="minorEastAsia" w:hAnsiTheme="minorEastAsia" w:eastAsiaTheme="minorEastAsia"/>
          <w:sz w:val="24"/>
        </w:rPr>
        <w:t>中国药典20</w:t>
      </w:r>
      <w:r>
        <w:rPr>
          <w:rFonts w:hint="eastAsia" w:asciiTheme="minorEastAsia" w:hAnsiTheme="minorEastAsia" w:eastAsiaTheme="minorEastAsia"/>
          <w:sz w:val="24"/>
        </w:rPr>
        <w:t>20</w:t>
      </w:r>
      <w:r>
        <w:rPr>
          <w:rFonts w:asciiTheme="minorEastAsia" w:hAnsiTheme="minorEastAsia" w:eastAsiaTheme="minorEastAsia"/>
          <w:sz w:val="24"/>
        </w:rPr>
        <w:t>年版</w:t>
      </w:r>
      <w:r>
        <w:rPr>
          <w:rFonts w:hint="eastAsia" w:asciiTheme="minorEastAsia" w:hAnsiTheme="minorEastAsia" w:eastAsiaTheme="minorEastAsia"/>
          <w:sz w:val="24"/>
          <w:szCs w:val="24"/>
        </w:rPr>
        <w:t>通则2201）测定,用乙醇作溶剂,</w:t>
      </w:r>
      <w:r>
        <w:rPr>
          <w:rFonts w:hint="eastAsia" w:ascii="黑体" w:hAnsi="黑体" w:eastAsia="黑体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北柴胡段不得少于11.0%，醋北柴胡段不得少于12.0%。</w:t>
      </w:r>
    </w:p>
    <w:p>
      <w:pPr>
        <w:spacing w:line="580" w:lineRule="exact"/>
        <w:ind w:firstLine="361" w:firstLineChars="15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【含量测定】 北柴胡段及醋北柴胡段</w:t>
      </w:r>
      <w:r>
        <w:rPr>
          <w:rFonts w:hint="eastAsia" w:ascii="宋体" w:hAnsi="宋体"/>
          <w:sz w:val="24"/>
          <w:szCs w:val="24"/>
        </w:rPr>
        <w:t xml:space="preserve">  照高效液相色谱法（</w:t>
      </w:r>
      <w:r>
        <w:rPr>
          <w:sz w:val="24"/>
        </w:rPr>
        <w:t>中国</w:t>
      </w:r>
      <w:r>
        <w:rPr>
          <w:rFonts w:asciiTheme="minorEastAsia" w:hAnsiTheme="minorEastAsia" w:eastAsiaTheme="minorEastAsia"/>
          <w:sz w:val="24"/>
        </w:rPr>
        <w:t>药典20</w:t>
      </w:r>
      <w:r>
        <w:rPr>
          <w:rFonts w:hint="eastAsia" w:asciiTheme="minorEastAsia" w:hAnsiTheme="minorEastAsia" w:eastAsiaTheme="minorEastAsia"/>
          <w:sz w:val="24"/>
        </w:rPr>
        <w:t>20</w:t>
      </w:r>
      <w:r>
        <w:rPr>
          <w:rFonts w:asciiTheme="minorEastAsia" w:hAnsiTheme="minorEastAsia" w:eastAsiaTheme="minorEastAsia"/>
          <w:sz w:val="24"/>
        </w:rPr>
        <w:t>年版</w:t>
      </w:r>
      <w:r>
        <w:rPr>
          <w:rFonts w:hint="eastAsia" w:ascii="宋体" w:hAnsi="宋体"/>
          <w:sz w:val="24"/>
          <w:szCs w:val="24"/>
        </w:rPr>
        <w:t>通则0512）测定。</w:t>
      </w:r>
    </w:p>
    <w:p>
      <w:pPr>
        <w:spacing w:line="58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色谱条件与系统适用性试验  以十八烷基硅烷键合硅胶为填充剂；以乙腈为流动相A，以水为流动相B，按下表中的规定进行梯度洗脱；检测波长为210nm。理论板数按柴胡皂苷a峰计算应不低于10000。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2552"/>
        <w:gridCol w:w="2693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时间（分钟）</w:t>
            </w:r>
          </w:p>
        </w:tc>
        <w:tc>
          <w:tcPr>
            <w:tcW w:w="2552" w:type="dxa"/>
            <w:tcBorders>
              <w:bottom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流动相A（%）</w:t>
            </w:r>
          </w:p>
        </w:tc>
        <w:tc>
          <w:tcPr>
            <w:tcW w:w="2693" w:type="dxa"/>
            <w:tcBorders>
              <w:bottom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流动相B（%）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6" w:type="dxa"/>
            <w:tcBorders>
              <w:bottom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0～50</w:t>
            </w:r>
          </w:p>
        </w:tc>
        <w:tc>
          <w:tcPr>
            <w:tcW w:w="2552" w:type="dxa"/>
            <w:tcBorders>
              <w:bottom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25→90</w:t>
            </w:r>
          </w:p>
        </w:tc>
        <w:tc>
          <w:tcPr>
            <w:tcW w:w="2693" w:type="dxa"/>
            <w:tcBorders>
              <w:bottom w:val="nil"/>
            </w:tcBorders>
          </w:tcPr>
          <w:p>
            <w:pPr>
              <w:spacing w:line="580" w:lineRule="exact"/>
              <w:jc w:val="center"/>
            </w:pPr>
            <w:r>
              <w:rPr>
                <w:rFonts w:hint="eastAsia" w:ascii="宋体" w:hAnsi="宋体"/>
                <w:sz w:val="24"/>
                <w:szCs w:val="24"/>
              </w:rPr>
              <w:t>75→10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6" w:type="dxa"/>
            <w:tcBorders>
              <w:top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50～55</w:t>
            </w:r>
          </w:p>
        </w:tc>
        <w:tc>
          <w:tcPr>
            <w:tcW w:w="2552" w:type="dxa"/>
            <w:tcBorders>
              <w:top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90</w:t>
            </w:r>
          </w:p>
        </w:tc>
        <w:tc>
          <w:tcPr>
            <w:tcW w:w="2693" w:type="dxa"/>
            <w:tcBorders>
              <w:top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</w:tr>
    </w:tbl>
    <w:p>
      <w:pPr>
        <w:spacing w:line="58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对照品溶液的制备  取柴胡皂苷a对照品、柴胡皂苷d对照品适量，精密称定，加甲醇制成每1ml含柴胡皂苷a</w:t>
      </w:r>
      <w:r>
        <w:rPr>
          <w:rFonts w:ascii="Times New Roman" w:hAnsi="Times New Roman"/>
          <w:sz w:val="24"/>
          <w:szCs w:val="24"/>
        </w:rPr>
        <w:t xml:space="preserve"> 0.4mg</w:t>
      </w:r>
      <w:r>
        <w:rPr>
          <w:rFonts w:hint="eastAsia" w:ascii="宋体" w:hAnsi="宋体"/>
          <w:sz w:val="24"/>
          <w:szCs w:val="24"/>
        </w:rPr>
        <w:t xml:space="preserve">、柴胡皂苷d </w:t>
      </w:r>
      <w:r>
        <w:rPr>
          <w:rFonts w:hint="eastAsia" w:ascii="Times New Roman" w:hAnsi="Times New Roman"/>
          <w:sz w:val="24"/>
          <w:szCs w:val="24"/>
        </w:rPr>
        <w:t>0.5mg</w:t>
      </w:r>
      <w:r>
        <w:rPr>
          <w:rFonts w:hint="eastAsia" w:ascii="宋体" w:hAnsi="宋体"/>
          <w:sz w:val="24"/>
          <w:szCs w:val="24"/>
        </w:rPr>
        <w:t>的溶液，摇匀，即得。</w:t>
      </w:r>
    </w:p>
    <w:p>
      <w:pPr>
        <w:spacing w:line="58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供试品溶液的制备  取本品粉末（过四号筛）约0.5g，精密称定，置具塞锥形瓶中，加入含5%浓氨试液的甲醇溶液25ml，密塞，30℃水温超声处理（功率200W，频率40kHz）30分钟，滤过，用甲醇20ml分2次洗涤容器及药渣，洗液与滤液合并，回收溶剂至干。残渣加甲醇溶解，转移至5ml量瓶中,加甲醇至刻度，摇匀，滤过，取续滤液，即得。</w:t>
      </w:r>
    </w:p>
    <w:p>
      <w:pPr>
        <w:spacing w:line="58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测定法  分别精密吸取对照品溶液20</w:t>
      </w:r>
      <w:r>
        <w:rPr>
          <w:rFonts w:ascii="Times New Roman" w:hAnsi="Times New Roman"/>
          <w:sz w:val="24"/>
          <w:szCs w:val="24"/>
        </w:rPr>
        <w:t>μl</w:t>
      </w:r>
      <w:r>
        <w:rPr>
          <w:rFonts w:hint="eastAsia" w:ascii="宋体" w:hAnsi="宋体"/>
          <w:sz w:val="24"/>
          <w:szCs w:val="24"/>
        </w:rPr>
        <w:t>与供试品溶液10～20</w:t>
      </w:r>
      <w:r>
        <w:rPr>
          <w:rFonts w:hint="eastAsia" w:ascii="Times New Roman" w:hAnsi="Times New Roman"/>
          <w:sz w:val="24"/>
          <w:szCs w:val="24"/>
        </w:rPr>
        <w:t>μl</w:t>
      </w:r>
      <w:r>
        <w:rPr>
          <w:rFonts w:hint="eastAsia" w:ascii="宋体" w:hAnsi="宋体"/>
          <w:sz w:val="24"/>
          <w:szCs w:val="24"/>
        </w:rPr>
        <w:t>,注人液相色谱仪，测定，即得。</w:t>
      </w:r>
    </w:p>
    <w:p>
      <w:pPr>
        <w:spacing w:line="58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本品按干燥品计算，含柴胡皂苷a（C</w:t>
      </w:r>
      <w:r>
        <w:rPr>
          <w:rFonts w:hint="eastAsia" w:ascii="宋体" w:hAnsi="宋体"/>
          <w:sz w:val="28"/>
          <w:szCs w:val="24"/>
          <w:vertAlign w:val="subscript"/>
        </w:rPr>
        <w:t>42</w:t>
      </w:r>
      <w:r>
        <w:rPr>
          <w:rFonts w:hint="eastAsia" w:ascii="宋体" w:hAnsi="宋体"/>
          <w:sz w:val="24"/>
          <w:szCs w:val="24"/>
        </w:rPr>
        <w:t>H</w:t>
      </w:r>
      <w:r>
        <w:rPr>
          <w:rFonts w:hint="eastAsia" w:ascii="宋体" w:hAnsi="宋体"/>
          <w:sz w:val="28"/>
          <w:szCs w:val="24"/>
          <w:vertAlign w:val="subscript"/>
        </w:rPr>
        <w:t>68</w:t>
      </w:r>
      <w:r>
        <w:rPr>
          <w:rFonts w:hint="eastAsia" w:ascii="宋体" w:hAnsi="宋体"/>
          <w:sz w:val="24"/>
          <w:szCs w:val="24"/>
        </w:rPr>
        <w:t>O</w:t>
      </w:r>
      <w:r>
        <w:rPr>
          <w:rFonts w:hint="eastAsia" w:ascii="宋体" w:hAnsi="宋体"/>
          <w:sz w:val="28"/>
          <w:szCs w:val="24"/>
          <w:vertAlign w:val="subscript"/>
        </w:rPr>
        <w:t>13</w:t>
      </w:r>
      <w:r>
        <w:rPr>
          <w:rFonts w:hint="eastAsia" w:ascii="宋体" w:hAnsi="宋体"/>
          <w:sz w:val="24"/>
          <w:szCs w:val="24"/>
        </w:rPr>
        <w:t>）和柴胡皂苷d（C</w:t>
      </w:r>
      <w:r>
        <w:rPr>
          <w:rFonts w:hint="eastAsia" w:ascii="宋体" w:hAnsi="宋体"/>
          <w:sz w:val="28"/>
          <w:szCs w:val="24"/>
          <w:vertAlign w:val="subscript"/>
        </w:rPr>
        <w:t>42</w:t>
      </w:r>
      <w:r>
        <w:rPr>
          <w:rFonts w:hint="eastAsia" w:ascii="宋体" w:hAnsi="宋体"/>
          <w:sz w:val="24"/>
          <w:szCs w:val="24"/>
        </w:rPr>
        <w:t>H</w:t>
      </w:r>
      <w:r>
        <w:rPr>
          <w:rFonts w:hint="eastAsia" w:ascii="宋体" w:hAnsi="宋体"/>
          <w:sz w:val="28"/>
          <w:szCs w:val="24"/>
          <w:vertAlign w:val="subscript"/>
        </w:rPr>
        <w:t>68</w:t>
      </w:r>
      <w:r>
        <w:rPr>
          <w:rFonts w:hint="eastAsia" w:ascii="宋体" w:hAnsi="宋体"/>
          <w:sz w:val="24"/>
          <w:szCs w:val="24"/>
        </w:rPr>
        <w:t>O</w:t>
      </w:r>
      <w:r>
        <w:rPr>
          <w:rFonts w:hint="eastAsia" w:ascii="宋体" w:hAnsi="宋体"/>
          <w:sz w:val="28"/>
          <w:szCs w:val="24"/>
          <w:vertAlign w:val="subscript"/>
        </w:rPr>
        <w:t>13</w:t>
      </w:r>
      <w:r>
        <w:rPr>
          <w:rFonts w:hint="eastAsia" w:ascii="宋体" w:hAnsi="宋体"/>
          <w:sz w:val="24"/>
          <w:szCs w:val="24"/>
        </w:rPr>
        <w:t>）的总量不得少于0.30%。</w:t>
      </w: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【性味与归经】</w:t>
      </w:r>
      <w:r>
        <w:rPr>
          <w:rFonts w:hint="eastAsia" w:ascii="黑体" w:hAnsi="黑体" w:eastAsia="黑体"/>
          <w:b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辛、苦，微寒。归肝、胆、肺经。 </w:t>
      </w: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【功能与主治】</w:t>
      </w:r>
      <w:r>
        <w:rPr>
          <w:rFonts w:hint="eastAsia" w:ascii="黑体" w:hAnsi="黑体" w:eastAsia="黑体"/>
          <w:b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疏散退热，疏肝解郁，升举阳气。用于感冒发热，寒热往来，胸胁胀痛，月经不调，子宫脱垂，脱肛。</w:t>
      </w: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【用法与用量】</w:t>
      </w:r>
      <w:r>
        <w:rPr>
          <w:rFonts w:hint="eastAsia" w:ascii="黑体" w:hAnsi="黑体" w:eastAsia="黑体"/>
          <w:b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3～10g。</w:t>
      </w: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</w:rPr>
        <w:t>【贮藏】</w:t>
      </w:r>
      <w:r>
        <w:rPr>
          <w:rFonts w:hint="eastAsia" w:ascii="宋体" w:hAnsi="宋体"/>
          <w:sz w:val="24"/>
          <w:szCs w:val="24"/>
        </w:rPr>
        <w:t xml:space="preserve"> 置通风干燥处，防蛀。</w:t>
      </w:r>
    </w:p>
    <w:p>
      <w:pPr>
        <w:spacing w:line="580" w:lineRule="exact"/>
        <w:ind w:firstLine="481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【药材标准】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《中国药典》2020年版。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D268C3"/>
    <w:rsid w:val="0002318A"/>
    <w:rsid w:val="00025D5F"/>
    <w:rsid w:val="00052333"/>
    <w:rsid w:val="000D153C"/>
    <w:rsid w:val="00106A71"/>
    <w:rsid w:val="00167B1B"/>
    <w:rsid w:val="001955E3"/>
    <w:rsid w:val="001B2F0B"/>
    <w:rsid w:val="002141BE"/>
    <w:rsid w:val="00243611"/>
    <w:rsid w:val="00257D84"/>
    <w:rsid w:val="002920C0"/>
    <w:rsid w:val="002C11A1"/>
    <w:rsid w:val="00312E35"/>
    <w:rsid w:val="003172B1"/>
    <w:rsid w:val="00321775"/>
    <w:rsid w:val="00325C1A"/>
    <w:rsid w:val="00333DD7"/>
    <w:rsid w:val="00333E9C"/>
    <w:rsid w:val="0034513B"/>
    <w:rsid w:val="00361284"/>
    <w:rsid w:val="00370C69"/>
    <w:rsid w:val="003729F6"/>
    <w:rsid w:val="003C6D90"/>
    <w:rsid w:val="003C7D88"/>
    <w:rsid w:val="00456807"/>
    <w:rsid w:val="00486B39"/>
    <w:rsid w:val="00487AA3"/>
    <w:rsid w:val="00492BD2"/>
    <w:rsid w:val="004C653B"/>
    <w:rsid w:val="004E3CB3"/>
    <w:rsid w:val="004E53A9"/>
    <w:rsid w:val="0050005D"/>
    <w:rsid w:val="00536F70"/>
    <w:rsid w:val="0056702D"/>
    <w:rsid w:val="00570055"/>
    <w:rsid w:val="005958C4"/>
    <w:rsid w:val="005B38D9"/>
    <w:rsid w:val="005B5FB1"/>
    <w:rsid w:val="00604A0A"/>
    <w:rsid w:val="006326DE"/>
    <w:rsid w:val="00673B34"/>
    <w:rsid w:val="006B0DB0"/>
    <w:rsid w:val="006B3741"/>
    <w:rsid w:val="006D0327"/>
    <w:rsid w:val="007425C5"/>
    <w:rsid w:val="007834CA"/>
    <w:rsid w:val="007D16BF"/>
    <w:rsid w:val="007D409C"/>
    <w:rsid w:val="007F2424"/>
    <w:rsid w:val="00803A3A"/>
    <w:rsid w:val="00822061"/>
    <w:rsid w:val="00871239"/>
    <w:rsid w:val="008C3B20"/>
    <w:rsid w:val="008C7FF7"/>
    <w:rsid w:val="008E361A"/>
    <w:rsid w:val="008E7E13"/>
    <w:rsid w:val="008F456E"/>
    <w:rsid w:val="008F7038"/>
    <w:rsid w:val="00907E0D"/>
    <w:rsid w:val="00912C0B"/>
    <w:rsid w:val="00922B8E"/>
    <w:rsid w:val="00945CF2"/>
    <w:rsid w:val="009560CF"/>
    <w:rsid w:val="009C321C"/>
    <w:rsid w:val="009D6DFA"/>
    <w:rsid w:val="00A249C1"/>
    <w:rsid w:val="00A27157"/>
    <w:rsid w:val="00A34BF6"/>
    <w:rsid w:val="00A5070D"/>
    <w:rsid w:val="00A75532"/>
    <w:rsid w:val="00B25BBC"/>
    <w:rsid w:val="00B5379D"/>
    <w:rsid w:val="00BA513B"/>
    <w:rsid w:val="00BC4E3F"/>
    <w:rsid w:val="00C06275"/>
    <w:rsid w:val="00C20E4E"/>
    <w:rsid w:val="00C41201"/>
    <w:rsid w:val="00C539EC"/>
    <w:rsid w:val="00C70194"/>
    <w:rsid w:val="00C953CE"/>
    <w:rsid w:val="00CA1336"/>
    <w:rsid w:val="00CC4C52"/>
    <w:rsid w:val="00CE71EE"/>
    <w:rsid w:val="00D240E2"/>
    <w:rsid w:val="00D268C3"/>
    <w:rsid w:val="00D26E85"/>
    <w:rsid w:val="00D3347E"/>
    <w:rsid w:val="00D61D57"/>
    <w:rsid w:val="00D8779A"/>
    <w:rsid w:val="00D96A1F"/>
    <w:rsid w:val="00DC2161"/>
    <w:rsid w:val="00DF4C3A"/>
    <w:rsid w:val="00E14141"/>
    <w:rsid w:val="00E169D1"/>
    <w:rsid w:val="00E25F44"/>
    <w:rsid w:val="00E60996"/>
    <w:rsid w:val="00E71B64"/>
    <w:rsid w:val="00EB19A2"/>
    <w:rsid w:val="00EB67A5"/>
    <w:rsid w:val="00F618F1"/>
    <w:rsid w:val="00FB721A"/>
    <w:rsid w:val="00FD0B37"/>
    <w:rsid w:val="0F260F81"/>
    <w:rsid w:val="38E97F75"/>
    <w:rsid w:val="6968624E"/>
    <w:rsid w:val="75A8764F"/>
    <w:rsid w:val="7B9F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1311</Words>
  <Characters>1551</Characters>
  <Lines>11</Lines>
  <Paragraphs>3</Paragraphs>
  <TotalTime>1</TotalTime>
  <ScaleCrop>false</ScaleCrop>
  <LinksUpToDate>false</LinksUpToDate>
  <CharactersWithSpaces>1611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2022-12-19T11:25:00Z</dcterms:created>
  <dc:creator>冯枫</dc:creator>
  <cp:lastModifiedBy>gxxc</cp:lastModifiedBy>
  <cp:lastPrinted>2022-12-19T16:06:00Z</cp:lastPrinted>
  <dcterms:modified xsi:type="dcterms:W3CDTF">2023-10-24T10:38:46Z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E89F0AEB8F1D433187FC74FFF3AEFBAC_12</vt:lpwstr>
  </property>
</Properties>
</file>