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sz w:val="36"/>
          <w:szCs w:val="36"/>
        </w:rPr>
        <w:t>秦 艽</w:t>
      </w:r>
    </w:p>
    <w:p>
      <w:pPr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QinJiao</w:t>
      </w:r>
    </w:p>
    <w:p>
      <w:pPr>
        <w:jc w:val="center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GENTIANAE MACROPHYLLAE RADIX</w:t>
      </w:r>
    </w:p>
    <w:p>
      <w:pPr>
        <w:jc w:val="center"/>
        <w:rPr>
          <w:rFonts w:ascii="Times New Roman" w:hAnsi="Times New Roman" w:eastAsia="黑体" w:cs="Times New Roman"/>
          <w:b/>
          <w:sz w:val="24"/>
          <w:szCs w:val="24"/>
        </w:rPr>
      </w:pPr>
    </w:p>
    <w:p>
      <w:pPr>
        <w:spacing w:line="580" w:lineRule="exact"/>
        <w:ind w:firstLine="4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 xml:space="preserve">【来源】 </w:t>
      </w:r>
      <w:r>
        <w:rPr>
          <w:rFonts w:ascii="Times New Roman" w:hAnsi="Times New Roman" w:cs="Times New Roman"/>
          <w:sz w:val="24"/>
          <w:szCs w:val="24"/>
        </w:rPr>
        <w:t>本品</w:t>
      </w:r>
      <w:r>
        <w:rPr>
          <w:rFonts w:ascii="Times New Roman" w:hAnsi="Times New Roman" w:cs="Times New Roman"/>
          <w:color w:val="000000"/>
          <w:sz w:val="24"/>
          <w:szCs w:val="24"/>
        </w:rPr>
        <w:t>为龙胆科植物秦艽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Gentiana macrophylla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Pall.、麻花秦艽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Gentiana straminea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Maxim.、 粗茎秦艽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Gentiana crassicaulis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Duthie ex Burk.或小秦艽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Gentiana dahurica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Fisch.的干燥根。</w:t>
      </w:r>
    </w:p>
    <w:p>
      <w:pPr>
        <w:spacing w:line="580" w:lineRule="exact"/>
        <w:ind w:firstLine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>【炮制】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除去杂质，</w:t>
      </w:r>
      <w:r>
        <w:rPr>
          <w:rFonts w:hint="eastAsia" w:ascii="Times New Roman" w:hAnsi="Times New Roman" w:cs="Times New Roman"/>
          <w:sz w:val="24"/>
          <w:szCs w:val="24"/>
        </w:rPr>
        <w:t>洗润</w:t>
      </w:r>
      <w:r>
        <w:rPr>
          <w:rFonts w:ascii="Times New Roman" w:hAnsi="Times New Roman" w:cs="Times New Roman"/>
          <w:sz w:val="24"/>
          <w:szCs w:val="24"/>
        </w:rPr>
        <w:t>，切段，干燥。</w:t>
      </w:r>
    </w:p>
    <w:p>
      <w:pPr>
        <w:spacing w:line="580" w:lineRule="exact"/>
        <w:ind w:firstLine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 xml:space="preserve">【性状】 </w:t>
      </w:r>
      <w:r>
        <w:rPr>
          <w:rFonts w:ascii="Times New Roman" w:hAnsi="Times New Roman" w:cs="Times New Roman"/>
          <w:sz w:val="24"/>
          <w:szCs w:val="24"/>
        </w:rPr>
        <w:t>本品为类圆柱形</w:t>
      </w:r>
      <w:r>
        <w:rPr>
          <w:rFonts w:hint="eastAsia" w:ascii="Times New Roman" w:hAnsi="Times New Roman" w:cs="Times New Roman"/>
          <w:sz w:val="24"/>
          <w:szCs w:val="24"/>
        </w:rPr>
        <w:t>的</w:t>
      </w:r>
      <w:r>
        <w:rPr>
          <w:rFonts w:ascii="Times New Roman" w:hAnsi="Times New Roman" w:cs="Times New Roman"/>
          <w:sz w:val="24"/>
          <w:szCs w:val="24"/>
        </w:rPr>
        <w:t>段。外表皮黄棕色</w:t>
      </w:r>
      <w:r>
        <w:rPr>
          <w:rFonts w:hint="eastAsia"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灰黄色</w:t>
      </w:r>
      <w:r>
        <w:rPr>
          <w:rFonts w:hint="eastAsia" w:ascii="Times New Roman" w:hAnsi="Times New Roman" w:cs="Times New Roman"/>
          <w:sz w:val="24"/>
          <w:szCs w:val="24"/>
        </w:rPr>
        <w:t>或棕褐色</w:t>
      </w:r>
      <w:r>
        <w:rPr>
          <w:rFonts w:ascii="Times New Roman" w:hAnsi="Times New Roman" w:cs="Times New Roman"/>
          <w:sz w:val="24"/>
          <w:szCs w:val="24"/>
        </w:rPr>
        <w:t>，粗糙，有扭曲纵皱纹或</w:t>
      </w:r>
      <w:r>
        <w:rPr>
          <w:rFonts w:hint="eastAsia" w:ascii="Times New Roman" w:hAnsi="Times New Roman" w:cs="Times New Roman"/>
          <w:sz w:val="24"/>
          <w:szCs w:val="24"/>
        </w:rPr>
        <w:t>网状孔纹</w:t>
      </w:r>
      <w:r>
        <w:rPr>
          <w:rFonts w:ascii="Times New Roman" w:hAnsi="Times New Roman" w:cs="Times New Roman"/>
          <w:sz w:val="24"/>
          <w:szCs w:val="24"/>
        </w:rPr>
        <w:t>，有的</w:t>
      </w:r>
      <w:r>
        <w:rPr>
          <w:rFonts w:hint="eastAsia" w:ascii="Times New Roman" w:hAnsi="Times New Roman" w:cs="Times New Roman"/>
          <w:sz w:val="24"/>
          <w:szCs w:val="24"/>
        </w:rPr>
        <w:t>可见</w:t>
      </w:r>
      <w:r>
        <w:rPr>
          <w:rFonts w:ascii="Times New Roman" w:hAnsi="Times New Roman" w:cs="Times New Roman"/>
          <w:sz w:val="24"/>
          <w:szCs w:val="24"/>
        </w:rPr>
        <w:t>残存</w:t>
      </w:r>
      <w:r>
        <w:rPr>
          <w:rFonts w:hint="eastAsia" w:ascii="Times New Roman" w:hAnsi="Times New Roman" w:cs="Times New Roman"/>
          <w:sz w:val="24"/>
          <w:szCs w:val="24"/>
        </w:rPr>
        <w:t>的</w:t>
      </w:r>
      <w:r>
        <w:rPr>
          <w:rFonts w:ascii="Times New Roman" w:hAnsi="Times New Roman" w:cs="Times New Roman"/>
          <w:sz w:val="24"/>
          <w:szCs w:val="24"/>
        </w:rPr>
        <w:t>茎基</w:t>
      </w:r>
      <w:r>
        <w:rPr>
          <w:rFonts w:hint="eastAsia" w:ascii="Times New Roman" w:hAnsi="Times New Roman" w:cs="Times New Roman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纤维状叶鞘。切面皮部黄色或棕黄色，木部黄色，有的中心呈枯朽状。气特异，味苦、微涩。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 xml:space="preserve">【鉴别】 </w:t>
      </w:r>
      <w:r>
        <w:rPr>
          <w:rFonts w:ascii="Times New Roman" w:hAnsi="Times New Roman" w:cs="Times New Roman"/>
          <w:sz w:val="24"/>
          <w:szCs w:val="24"/>
        </w:rPr>
        <w:t>（1）取本品粉末0.5g，加甲醇10ml，超声处理15分钟，滤过，取滤液作为供试品溶液。另取龙胆苦苷对照品，加甲醇制成每1ml含1mg的溶液，作为对照品溶液。照薄层色谱法</w:t>
      </w: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sz w:val="24"/>
          <w:szCs w:val="24"/>
        </w:rPr>
        <w:t>通则0502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试验，吸取供试品溶液5μl、对照品溶液1μl，分别点于同一硅胶GF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254</w:t>
      </w:r>
      <w:r>
        <w:rPr>
          <w:rFonts w:ascii="Times New Roman" w:hAnsi="Times New Roman" w:cs="Times New Roman"/>
          <w:sz w:val="24"/>
          <w:szCs w:val="24"/>
        </w:rPr>
        <w:t>薄层板上，以乙酸乙酯-甲醇-水</w:t>
      </w: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10:2:1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为展开剂，展开，取出，晾干，置紫外光灯</w:t>
      </w: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254nm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下检视。供试品色谱中，在与对照品色谱相应的位置上，显相同颜色的斑点。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（2）</w:t>
      </w:r>
      <w:r>
        <w:rPr>
          <w:rFonts w:ascii="Times New Roman" w:hAnsi="Times New Roman" w:cs="Times New Roman"/>
          <w:sz w:val="24"/>
          <w:szCs w:val="24"/>
        </w:rPr>
        <w:t>取栎瘿酸对照品，加三氯甲烷制成每1ml含0.5mg的溶液，作为对照品溶液。照薄层色谱法</w:t>
      </w: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中国药典2020年版通则0502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试验，吸取</w:t>
      </w:r>
      <w:r>
        <w:rPr>
          <w:rFonts w:hint="eastAsia" w:ascii="Times New Roman" w:hAnsi="Times New Roman" w:cs="Times New Roman"/>
          <w:sz w:val="24"/>
          <w:szCs w:val="24"/>
        </w:rPr>
        <w:t>【</w:t>
      </w:r>
      <w:r>
        <w:rPr>
          <w:rFonts w:ascii="Times New Roman" w:hAnsi="Times New Roman" w:cs="Times New Roman"/>
          <w:sz w:val="24"/>
          <w:szCs w:val="24"/>
        </w:rPr>
        <w:t>鉴别</w:t>
      </w:r>
      <w:r>
        <w:rPr>
          <w:rFonts w:hint="eastAsia" w:ascii="Times New Roman" w:hAnsi="Times New Roman" w:cs="Times New Roman"/>
          <w:sz w:val="24"/>
          <w:szCs w:val="24"/>
        </w:rPr>
        <w:t>】（1）</w:t>
      </w:r>
      <w:r>
        <w:rPr>
          <w:rFonts w:ascii="Times New Roman" w:hAnsi="Times New Roman" w:cs="Times New Roman"/>
          <w:sz w:val="24"/>
          <w:szCs w:val="24"/>
        </w:rPr>
        <w:t>项下的供试品溶液5μl和上述对照品溶液1μl，分别点于同一硅胶G薄层板上，以三氯甲烷-甲醇-甲酸</w:t>
      </w: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50:1:0.5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为展开剂，展开，取出，晾干，喷以10</w:t>
      </w:r>
      <w:r>
        <w:rPr>
          <w:rFonts w:hint="eastAsia"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硫酸乙醇溶液，在105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加热至斑点显色清晰。供试品色谱中，在与对照品色谱相应的位置上，显相同颜色的斑点。</w:t>
      </w:r>
    </w:p>
    <w:p>
      <w:pPr>
        <w:autoSpaceDE w:val="0"/>
        <w:autoSpaceDN w:val="0"/>
        <w:adjustRightInd w:val="0"/>
        <w:snapToGrid w:val="0"/>
        <w:spacing w:line="580" w:lineRule="exact"/>
        <w:ind w:firstLine="602" w:firstLineChars="250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>【检查】 水分</w:t>
      </w:r>
      <w:r>
        <w:rPr>
          <w:rFonts w:hint="eastAsia" w:ascii="Times New Roman" w:hAnsi="Times New Roman" w:eastAsia="黑体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不得过9.0%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</w:rPr>
        <w:t>。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通则0832 第二法）</w:t>
      </w:r>
    </w:p>
    <w:p>
      <w:pPr>
        <w:autoSpaceDE w:val="0"/>
        <w:autoSpaceDN w:val="0"/>
        <w:adjustRightInd w:val="0"/>
        <w:snapToGrid w:val="0"/>
        <w:spacing w:line="580" w:lineRule="exact"/>
        <w:ind w:firstLine="602" w:firstLineChars="25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>总灰分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不得过8.0%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</w:rPr>
        <w:t>。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通则2302）</w:t>
      </w:r>
    </w:p>
    <w:p>
      <w:pPr>
        <w:autoSpaceDE w:val="0"/>
        <w:autoSpaceDN w:val="0"/>
        <w:adjustRightInd w:val="0"/>
        <w:snapToGrid w:val="0"/>
        <w:spacing w:line="580" w:lineRule="exact"/>
        <w:ind w:firstLine="602" w:firstLineChars="250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>酸不溶性灰分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不得过3.0%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</w:rPr>
        <w:t>。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通则2302）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 xml:space="preserve">【浸出物】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照醇溶性浸出物测定法（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通则2201）项下的热浸法测定，用乙醇作溶剂，不得少于20.0%。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【含量测定】</w:t>
      </w:r>
      <w:r>
        <w:rPr>
          <w:rFonts w:ascii="Times New Roman" w:hAnsi="Times New Roman" w:cs="Times New Roman"/>
          <w:sz w:val="24"/>
          <w:szCs w:val="24"/>
        </w:rPr>
        <w:t xml:space="preserve"> 照高效液相色谱法（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sz w:val="24"/>
          <w:szCs w:val="24"/>
        </w:rPr>
        <w:t>通则0512）测定。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Cs/>
          <w:sz w:val="24"/>
          <w:szCs w:val="24"/>
        </w:rPr>
        <w:t>色谱条件与系统适用性试验</w:t>
      </w:r>
      <w:r>
        <w:rPr>
          <w:rFonts w:ascii="Times New Roman" w:hAnsi="Times New Roman" w:cs="Times New Roman"/>
          <w:sz w:val="24"/>
          <w:szCs w:val="24"/>
        </w:rPr>
        <w:t xml:space="preserve"> 以十八烷基硅烷键合硅胶为填充剂；以乙腈-0.1</w:t>
      </w:r>
      <w:r>
        <w:rPr>
          <w:rFonts w:hint="eastAsia"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醋酸溶液（9:91）为流动相；检测波长为254nm。理论板数按龙胆苦苷峰计算应不低于3000。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Cs/>
          <w:sz w:val="24"/>
          <w:szCs w:val="24"/>
        </w:rPr>
        <w:t>对照品溶液的制备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取龙胆苦苷对照品、马钱苷酸对照品适量，精密称定，加甲醇分别制成每1ml含龙胆苦苷0.5mg、马钱苷酸0.3mg的溶液，即得。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Cs/>
          <w:sz w:val="24"/>
          <w:szCs w:val="24"/>
        </w:rPr>
        <w:t>供试品溶液的制备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取本品粉末（过三号筛）约0.5g，精密称定，置具塞锥形瓶中，精密加入甲醇20ml，超声处理（功率500W，频率40kHz）30分钟，放冷，再称定重量，用甲醇补足减失的重量，摇匀，滤过，取续滤液，即得。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Cs/>
          <w:sz w:val="24"/>
          <w:szCs w:val="24"/>
        </w:rPr>
        <w:t>测定法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分别精密吸取两种对照品溶液与供试品溶液各5～10μl，注入液相色谱仪，测定，即得。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本品按干燥品计算，含龙胆苦苷（C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）和马钱苷酸（C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24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>）的总量不得少于2.5</w:t>
      </w:r>
      <w:r>
        <w:rPr>
          <w:rFonts w:hint="eastAsia"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 xml:space="preserve">【性味与归经】 </w:t>
      </w:r>
      <w:r>
        <w:rPr>
          <w:rFonts w:ascii="Times New Roman" w:hAnsi="Times New Roman" w:cs="Times New Roman"/>
          <w:color w:val="000000"/>
          <w:kern w:val="0"/>
          <w:sz w:val="24"/>
        </w:rPr>
        <w:t>辛、苦，平。归胃、肝、胆经。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 xml:space="preserve">【功能与主治】 </w:t>
      </w:r>
      <w:r>
        <w:rPr>
          <w:rFonts w:ascii="Times New Roman" w:hAnsi="Times New Roman" w:cs="Times New Roman"/>
          <w:color w:val="000000"/>
          <w:kern w:val="0"/>
          <w:sz w:val="24"/>
        </w:rPr>
        <w:t>祛风湿，清湿热，止痹痛，退虚热。用于风湿痹痛，中风半身不遂，筋脉拘挛，骨节酸痛，湿热黄疸，骨蒸潮热，小儿疳积发热。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 xml:space="preserve">【用法与用量】 </w:t>
      </w:r>
      <w:r>
        <w:rPr>
          <w:rFonts w:ascii="Times New Roman" w:hAnsi="Times New Roman" w:eastAsia="黑体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4"/>
        </w:rPr>
        <w:t>～10g。</w:t>
      </w:r>
    </w:p>
    <w:p>
      <w:pPr>
        <w:spacing w:line="580" w:lineRule="exact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8"/>
        </w:rPr>
        <w:t>【贮藏】</w:t>
      </w:r>
      <w:r>
        <w:rPr>
          <w:rFonts w:hint="eastAsia" w:ascii="Times New Roman" w:hAnsi="Times New Roman" w:eastAsia="黑体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4"/>
        </w:rPr>
        <w:t>置通风干燥处。</w:t>
      </w:r>
    </w:p>
    <w:p>
      <w:pPr>
        <w:spacing w:line="580" w:lineRule="exact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【</w:t>
      </w:r>
      <w:r>
        <w:rPr>
          <w:rFonts w:ascii="Times New Roman" w:hAnsi="Times New Roman" w:eastAsia="黑体" w:cs="Times New Roman"/>
          <w:b/>
          <w:sz w:val="24"/>
          <w:szCs w:val="28"/>
        </w:rPr>
        <w:t>药材标准</w:t>
      </w:r>
      <w:r>
        <w:rPr>
          <w:rFonts w:ascii="Times New Roman" w:hAnsi="Times New Roman" w:cs="Times New Roman"/>
          <w:sz w:val="24"/>
          <w:szCs w:val="24"/>
        </w:rPr>
        <w:t xml:space="preserve">】 </w:t>
      </w:r>
      <w:r>
        <w:rPr>
          <w:rFonts w:ascii="Times New Roman" w:hAnsi="Times New Roman" w:cs="Times New Roman"/>
          <w:color w:val="000000"/>
          <w:sz w:val="24"/>
          <w:szCs w:val="24"/>
        </w:rPr>
        <w:t>《</w:t>
      </w:r>
      <w:r>
        <w:rPr>
          <w:rFonts w:ascii="Times New Roman" w:hAnsi="Times New Roman" w:cs="Times New Roman"/>
          <w:kern w:val="0"/>
          <w:sz w:val="24"/>
          <w:szCs w:val="24"/>
        </w:rPr>
        <w:t>中国药典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》2020年版一部。 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yMDNlODhjMmNjZjM1MWJjNDkwM2U2MjQwYzdiNTYifQ=="/>
  </w:docVars>
  <w:rsids>
    <w:rsidRoot w:val="00280FBB"/>
    <w:rsid w:val="00012F12"/>
    <w:rsid w:val="00060B05"/>
    <w:rsid w:val="000A08D5"/>
    <w:rsid w:val="000D1158"/>
    <w:rsid w:val="000D303B"/>
    <w:rsid w:val="000F6E6D"/>
    <w:rsid w:val="0010037A"/>
    <w:rsid w:val="00100718"/>
    <w:rsid w:val="00100F8F"/>
    <w:rsid w:val="001143FB"/>
    <w:rsid w:val="00131814"/>
    <w:rsid w:val="001445BD"/>
    <w:rsid w:val="001606EF"/>
    <w:rsid w:val="00160B7A"/>
    <w:rsid w:val="001A7EFC"/>
    <w:rsid w:val="001B2B7C"/>
    <w:rsid w:val="001B5032"/>
    <w:rsid w:val="001B5D7D"/>
    <w:rsid w:val="001C09AF"/>
    <w:rsid w:val="002570DE"/>
    <w:rsid w:val="00275CBB"/>
    <w:rsid w:val="00280FBB"/>
    <w:rsid w:val="00291EAC"/>
    <w:rsid w:val="002A26E0"/>
    <w:rsid w:val="002A719C"/>
    <w:rsid w:val="002C25A2"/>
    <w:rsid w:val="003137E4"/>
    <w:rsid w:val="00342666"/>
    <w:rsid w:val="0035735B"/>
    <w:rsid w:val="00362D18"/>
    <w:rsid w:val="0036741B"/>
    <w:rsid w:val="00371EB5"/>
    <w:rsid w:val="003725DC"/>
    <w:rsid w:val="003727A0"/>
    <w:rsid w:val="00374C57"/>
    <w:rsid w:val="00374E22"/>
    <w:rsid w:val="003B331D"/>
    <w:rsid w:val="003C559D"/>
    <w:rsid w:val="003F128C"/>
    <w:rsid w:val="003F1906"/>
    <w:rsid w:val="003F3012"/>
    <w:rsid w:val="003F7B4C"/>
    <w:rsid w:val="0040102B"/>
    <w:rsid w:val="00401D20"/>
    <w:rsid w:val="00402777"/>
    <w:rsid w:val="004209BA"/>
    <w:rsid w:val="00423459"/>
    <w:rsid w:val="00447FC0"/>
    <w:rsid w:val="00465778"/>
    <w:rsid w:val="00483C7E"/>
    <w:rsid w:val="00486E6A"/>
    <w:rsid w:val="004A66F4"/>
    <w:rsid w:val="004B4F1B"/>
    <w:rsid w:val="004B5CA5"/>
    <w:rsid w:val="004E47E7"/>
    <w:rsid w:val="004E7D95"/>
    <w:rsid w:val="004F03EE"/>
    <w:rsid w:val="005040FC"/>
    <w:rsid w:val="00511F2F"/>
    <w:rsid w:val="0051473F"/>
    <w:rsid w:val="005172A6"/>
    <w:rsid w:val="00517E67"/>
    <w:rsid w:val="0052550C"/>
    <w:rsid w:val="0052717F"/>
    <w:rsid w:val="0054068E"/>
    <w:rsid w:val="005822DE"/>
    <w:rsid w:val="00583813"/>
    <w:rsid w:val="00593675"/>
    <w:rsid w:val="005A69B8"/>
    <w:rsid w:val="005B77EB"/>
    <w:rsid w:val="005C0742"/>
    <w:rsid w:val="005C57E9"/>
    <w:rsid w:val="00615E28"/>
    <w:rsid w:val="00643725"/>
    <w:rsid w:val="00644CE9"/>
    <w:rsid w:val="006478DD"/>
    <w:rsid w:val="00651931"/>
    <w:rsid w:val="0065309B"/>
    <w:rsid w:val="00683BE6"/>
    <w:rsid w:val="00691777"/>
    <w:rsid w:val="006A2D34"/>
    <w:rsid w:val="006A7C88"/>
    <w:rsid w:val="006B5A07"/>
    <w:rsid w:val="006D5A28"/>
    <w:rsid w:val="006E6B76"/>
    <w:rsid w:val="006F5415"/>
    <w:rsid w:val="0071480F"/>
    <w:rsid w:val="00723F87"/>
    <w:rsid w:val="00727A88"/>
    <w:rsid w:val="00730164"/>
    <w:rsid w:val="00734BE8"/>
    <w:rsid w:val="00750726"/>
    <w:rsid w:val="007551DD"/>
    <w:rsid w:val="007748E6"/>
    <w:rsid w:val="00780E37"/>
    <w:rsid w:val="00790278"/>
    <w:rsid w:val="00790541"/>
    <w:rsid w:val="00793213"/>
    <w:rsid w:val="00796E61"/>
    <w:rsid w:val="007D02E3"/>
    <w:rsid w:val="008038BA"/>
    <w:rsid w:val="0081154C"/>
    <w:rsid w:val="00822281"/>
    <w:rsid w:val="00826F92"/>
    <w:rsid w:val="00833CEF"/>
    <w:rsid w:val="00852798"/>
    <w:rsid w:val="00853826"/>
    <w:rsid w:val="008548DF"/>
    <w:rsid w:val="008778E7"/>
    <w:rsid w:val="00882390"/>
    <w:rsid w:val="0088725C"/>
    <w:rsid w:val="00890005"/>
    <w:rsid w:val="008A0A72"/>
    <w:rsid w:val="008A2F6E"/>
    <w:rsid w:val="008B21D2"/>
    <w:rsid w:val="008C74EF"/>
    <w:rsid w:val="008E7B4A"/>
    <w:rsid w:val="008F1A0E"/>
    <w:rsid w:val="008F2F26"/>
    <w:rsid w:val="0094211D"/>
    <w:rsid w:val="00950950"/>
    <w:rsid w:val="009573F6"/>
    <w:rsid w:val="00962705"/>
    <w:rsid w:val="00965DDA"/>
    <w:rsid w:val="00975279"/>
    <w:rsid w:val="00977512"/>
    <w:rsid w:val="009841AA"/>
    <w:rsid w:val="00996697"/>
    <w:rsid w:val="009B5B8D"/>
    <w:rsid w:val="009B5BD1"/>
    <w:rsid w:val="009B79F9"/>
    <w:rsid w:val="009D029D"/>
    <w:rsid w:val="009D0532"/>
    <w:rsid w:val="00A027C4"/>
    <w:rsid w:val="00A109CB"/>
    <w:rsid w:val="00A1129C"/>
    <w:rsid w:val="00A13390"/>
    <w:rsid w:val="00A13CC5"/>
    <w:rsid w:val="00A63492"/>
    <w:rsid w:val="00A65ABA"/>
    <w:rsid w:val="00A675E2"/>
    <w:rsid w:val="00A904A3"/>
    <w:rsid w:val="00A91FE3"/>
    <w:rsid w:val="00AB67ED"/>
    <w:rsid w:val="00AE1C87"/>
    <w:rsid w:val="00AE3834"/>
    <w:rsid w:val="00B404D0"/>
    <w:rsid w:val="00B41F1C"/>
    <w:rsid w:val="00B673B2"/>
    <w:rsid w:val="00B8553B"/>
    <w:rsid w:val="00B96658"/>
    <w:rsid w:val="00BA4804"/>
    <w:rsid w:val="00BA54AC"/>
    <w:rsid w:val="00BF4ABA"/>
    <w:rsid w:val="00C061DE"/>
    <w:rsid w:val="00C11A3C"/>
    <w:rsid w:val="00C21C53"/>
    <w:rsid w:val="00C25610"/>
    <w:rsid w:val="00C34582"/>
    <w:rsid w:val="00C40C92"/>
    <w:rsid w:val="00C578D5"/>
    <w:rsid w:val="00C7545E"/>
    <w:rsid w:val="00C86518"/>
    <w:rsid w:val="00CB6A08"/>
    <w:rsid w:val="00CE03F0"/>
    <w:rsid w:val="00CE1391"/>
    <w:rsid w:val="00CF0D57"/>
    <w:rsid w:val="00D07950"/>
    <w:rsid w:val="00D10693"/>
    <w:rsid w:val="00D179CC"/>
    <w:rsid w:val="00D37C5F"/>
    <w:rsid w:val="00D441E5"/>
    <w:rsid w:val="00D5013C"/>
    <w:rsid w:val="00D51302"/>
    <w:rsid w:val="00D621A0"/>
    <w:rsid w:val="00D65CD6"/>
    <w:rsid w:val="00D77A73"/>
    <w:rsid w:val="00D97B65"/>
    <w:rsid w:val="00DA1482"/>
    <w:rsid w:val="00DA7F0A"/>
    <w:rsid w:val="00DD64DE"/>
    <w:rsid w:val="00DE2976"/>
    <w:rsid w:val="00DE4E15"/>
    <w:rsid w:val="00E0017C"/>
    <w:rsid w:val="00E037D3"/>
    <w:rsid w:val="00E10064"/>
    <w:rsid w:val="00E13BD8"/>
    <w:rsid w:val="00E13F6F"/>
    <w:rsid w:val="00E27404"/>
    <w:rsid w:val="00E30924"/>
    <w:rsid w:val="00E45F65"/>
    <w:rsid w:val="00E521A8"/>
    <w:rsid w:val="00E54D57"/>
    <w:rsid w:val="00E903E8"/>
    <w:rsid w:val="00E940EE"/>
    <w:rsid w:val="00E9668B"/>
    <w:rsid w:val="00EA6CE4"/>
    <w:rsid w:val="00EB0E03"/>
    <w:rsid w:val="00EC0BAC"/>
    <w:rsid w:val="00EE020A"/>
    <w:rsid w:val="00EF3BAA"/>
    <w:rsid w:val="00F0587A"/>
    <w:rsid w:val="00F12A94"/>
    <w:rsid w:val="00F14CF1"/>
    <w:rsid w:val="00F207F7"/>
    <w:rsid w:val="00F250C1"/>
    <w:rsid w:val="00F27843"/>
    <w:rsid w:val="00F333FD"/>
    <w:rsid w:val="00F37336"/>
    <w:rsid w:val="00F47F53"/>
    <w:rsid w:val="00F53122"/>
    <w:rsid w:val="00F667AC"/>
    <w:rsid w:val="00F7611D"/>
    <w:rsid w:val="00F9009F"/>
    <w:rsid w:val="00FA0D96"/>
    <w:rsid w:val="00FA4EA8"/>
    <w:rsid w:val="00FA58ED"/>
    <w:rsid w:val="00FA78D2"/>
    <w:rsid w:val="00FB56C5"/>
    <w:rsid w:val="00FD725E"/>
    <w:rsid w:val="19512B17"/>
    <w:rsid w:val="29FA493C"/>
    <w:rsid w:val="6DFC8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216</Words>
  <Characters>1235</Characters>
  <Lines>10</Lines>
  <Paragraphs>2</Paragraphs>
  <TotalTime>8</TotalTime>
  <ScaleCrop>false</ScaleCrop>
  <LinksUpToDate>false</LinksUpToDate>
  <CharactersWithSpaces>1449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2022-12-09T11:09:00Z</dcterms:created>
  <dc:creator>李丽莉</dc:creator>
  <cp:lastModifiedBy>gxxc</cp:lastModifiedBy>
  <cp:lastPrinted>2021-08-04T15:19:00Z</cp:lastPrinted>
  <dcterms:modified xsi:type="dcterms:W3CDTF">2023-10-24T10:38:27Z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74EF374F8B2345BCBFAC1AF1D28855E1_13</vt:lpwstr>
  </property>
</Properties>
</file>