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6"/>
          <w:szCs w:val="36"/>
        </w:rPr>
        <w:t>灵 芝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黑体" w:hAnsi="黑体" w:eastAsia="黑体"/>
          <w:sz w:val="24"/>
        </w:rPr>
        <w:t>Lingzhi</w:t>
      </w:r>
    </w:p>
    <w:p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GANODERMA</w:t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【来源】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本品为多孔菌科真菌赤芝</w:t>
      </w:r>
      <w:r>
        <w:rPr>
          <w:rFonts w:ascii="Times New Roman" w:hAnsi="Times New Roman"/>
          <w:i/>
          <w:sz w:val="24"/>
        </w:rPr>
        <w:t>Ganoderma lucidum</w:t>
      </w:r>
      <w:r>
        <w:rPr>
          <w:rFonts w:ascii="Times New Roman" w:hAnsi="Times New Roman"/>
          <w:sz w:val="24"/>
        </w:rPr>
        <w:t>（Leyss.ex Fr.）Karst.或紫芝</w:t>
      </w:r>
      <w:r>
        <w:rPr>
          <w:rFonts w:ascii="Times New Roman" w:hAnsi="Times New Roman"/>
          <w:i/>
          <w:sz w:val="24"/>
        </w:rPr>
        <w:t>Ganoderma sinense</w:t>
      </w:r>
      <w:r>
        <w:rPr>
          <w:rFonts w:ascii="Times New Roman" w:hAnsi="Times New Roman"/>
          <w:sz w:val="24"/>
        </w:rPr>
        <w:t xml:space="preserve"> Zhao</w:t>
      </w:r>
      <w:r>
        <w:rPr>
          <w:rFonts w:hint="eastAsia" w:ascii="Times New Roman" w:hAnsi="Times New Roman"/>
          <w:sz w:val="24"/>
        </w:rPr>
        <w:t>，X</w:t>
      </w:r>
      <w:r>
        <w:rPr>
          <w:rFonts w:ascii="Times New Roman" w:hAnsi="Times New Roman"/>
          <w:sz w:val="24"/>
        </w:rPr>
        <w:t>u et Zhang的干燥子实体。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 w:eastAsia="黑体"/>
          <w:b/>
          <w:bCs/>
          <w:sz w:val="24"/>
        </w:rPr>
        <w:t>【炮制】 灵芝片</w:t>
      </w:r>
      <w:r>
        <w:rPr>
          <w:rFonts w:hint="eastAsia" w:ascii="Times New Roman" w:hAnsi="Times New Roman"/>
          <w:sz w:val="24"/>
        </w:rPr>
        <w:t xml:space="preserve"> 净制，切片，干燥。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【性状】</w:t>
      </w:r>
      <w:r>
        <w:rPr>
          <w:rFonts w:hint="eastAsia" w:ascii="Times New Roman" w:hAnsi="Times New Roman" w:eastAsia="黑体"/>
          <w:b/>
          <w:bCs/>
          <w:sz w:val="24"/>
        </w:rPr>
        <w:t xml:space="preserve"> 灵芝片</w:t>
      </w:r>
      <w:r>
        <w:rPr>
          <w:rFonts w:hint="eastAsia" w:ascii="黑体" w:hAnsi="黑体" w:eastAsia="黑体"/>
          <w:bCs/>
          <w:sz w:val="24"/>
        </w:rPr>
        <w:t xml:space="preserve"> </w:t>
      </w:r>
      <w:r>
        <w:rPr>
          <w:rFonts w:hint="eastAsia" w:ascii="Times New Roman" w:hAnsi="Times New Roman"/>
          <w:sz w:val="24"/>
        </w:rPr>
        <w:t>呈长</w:t>
      </w:r>
      <w:r>
        <w:rPr>
          <w:rFonts w:ascii="Times New Roman" w:hAnsi="Times New Roman"/>
          <w:sz w:val="24"/>
        </w:rPr>
        <w:t>条</w:t>
      </w:r>
      <w:r>
        <w:rPr>
          <w:rFonts w:hint="eastAsia" w:ascii="Times New Roman" w:hAnsi="Times New Roman"/>
          <w:sz w:val="24"/>
        </w:rPr>
        <w:t>形或不规则的厚片，大小不一。</w:t>
      </w:r>
      <w:r>
        <w:rPr>
          <w:rFonts w:ascii="Times New Roman" w:hAnsi="Times New Roman"/>
          <w:sz w:val="24"/>
        </w:rPr>
        <w:t>菌盖</w:t>
      </w:r>
      <w:r>
        <w:rPr>
          <w:rFonts w:hint="eastAsia" w:ascii="Times New Roman" w:hAnsi="Times New Roman"/>
          <w:sz w:val="24"/>
        </w:rPr>
        <w:t>上表面</w:t>
      </w:r>
      <w:r>
        <w:rPr>
          <w:rFonts w:ascii="Times New Roman" w:hAnsi="Times New Roman"/>
          <w:sz w:val="24"/>
        </w:rPr>
        <w:t>棕黄色</w:t>
      </w:r>
      <w:r>
        <w:rPr>
          <w:rFonts w:hint="eastAsia" w:ascii="Times New Roman" w:hAnsi="Times New Roman"/>
          <w:sz w:val="24"/>
        </w:rPr>
        <w:t>至</w:t>
      </w:r>
      <w:r>
        <w:rPr>
          <w:rFonts w:ascii="Times New Roman" w:hAnsi="Times New Roman"/>
          <w:sz w:val="24"/>
        </w:rPr>
        <w:t>棕褐色</w:t>
      </w:r>
      <w:r>
        <w:rPr>
          <w:rFonts w:hint="eastAsia" w:ascii="Times New Roman" w:hAnsi="Times New Roman"/>
          <w:sz w:val="24"/>
        </w:rPr>
        <w:t>，有光泽或无；或菌盖上表面紫黑色，有的有漆样光泽；有的被有粉尘样的黄褐色孢子。下表面黄白色至深棕色，密生小孔状菌管孔。</w:t>
      </w:r>
      <w:r>
        <w:rPr>
          <w:rFonts w:ascii="Times New Roman" w:hAnsi="Times New Roman"/>
          <w:sz w:val="24"/>
        </w:rPr>
        <w:t>切面</w:t>
      </w:r>
      <w:r>
        <w:rPr>
          <w:rFonts w:hint="eastAsia" w:ascii="Times New Roman" w:hAnsi="Times New Roman"/>
          <w:sz w:val="24"/>
        </w:rPr>
        <w:t>疏松，</w:t>
      </w:r>
      <w:r>
        <w:rPr>
          <w:rFonts w:ascii="Times New Roman" w:hAnsi="Times New Roman"/>
          <w:sz w:val="24"/>
        </w:rPr>
        <w:t>分为2层，菌肉层较厚，淡棕色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灰褐色</w:t>
      </w:r>
      <w:r>
        <w:rPr>
          <w:rFonts w:hint="eastAsia" w:ascii="Times New Roman" w:hAnsi="Times New Roman"/>
          <w:sz w:val="24"/>
        </w:rPr>
        <w:t>或锈褐色</w:t>
      </w:r>
      <w:r>
        <w:rPr>
          <w:rFonts w:ascii="Times New Roman" w:hAnsi="Times New Roman"/>
          <w:sz w:val="24"/>
        </w:rPr>
        <w:t>，有排列整齐的条纹。</w:t>
      </w:r>
      <w:r>
        <w:rPr>
          <w:rFonts w:hint="eastAsia" w:ascii="Times New Roman" w:hAnsi="Times New Roman"/>
          <w:sz w:val="24"/>
        </w:rPr>
        <w:t>菌柄表面黄褐色至紫褐色，光亮。</w:t>
      </w:r>
      <w:r>
        <w:rPr>
          <w:rFonts w:ascii="Times New Roman" w:hAnsi="Times New Roman"/>
          <w:sz w:val="24"/>
        </w:rPr>
        <w:t>气微香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味苦涩。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【鉴别】</w:t>
      </w:r>
      <w:r>
        <w:rPr>
          <w:rFonts w:hint="eastAsia" w:ascii="黑体" w:hAnsi="黑体" w:eastAsia="黑体"/>
          <w:bCs/>
          <w:sz w:val="24"/>
        </w:rPr>
        <w:t xml:space="preserve"> </w:t>
      </w:r>
      <w:r>
        <w:rPr>
          <w:rFonts w:ascii="Times New Roman" w:hAnsi="Times New Roman"/>
          <w:sz w:val="24"/>
        </w:rPr>
        <w:t>（1）粉末浅棕色、棕褐色至紫褐色。菌丝散在或粘结成团，无色或浅棕色，细长，稍弯曲，有分歧，直径2.5～6.5μm。孢子褐色，卵形，顶端平载，外壁无色，内壁有疣状突起，长8～12μm，宽5～8μm。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（2）取本品粉末2g，加乙醇30m1，加热回流30分钟，滤过，滤液蒸干，残渣加甲醇2ml溶解，作为供试品</w:t>
      </w:r>
      <w:r>
        <w:rPr>
          <w:rFonts w:hint="eastAsia" w:ascii="Times New Roman" w:hAnsi="Times New Roman"/>
          <w:sz w:val="24"/>
        </w:rPr>
        <w:t>溶液</w:t>
      </w:r>
      <w:r>
        <w:rPr>
          <w:rFonts w:ascii="Times New Roman" w:hAnsi="Times New Roman"/>
          <w:sz w:val="24"/>
        </w:rPr>
        <w:t>。另取灵芝对照药材2g，同法制成对照药材溶液。</w:t>
      </w:r>
      <w:r>
        <w:rPr>
          <w:rFonts w:hint="eastAsia" w:ascii="Times New Roman" w:hAnsi="Times New Roman"/>
          <w:sz w:val="24"/>
        </w:rPr>
        <w:t>照薄层色谱法</w:t>
      </w:r>
      <w:r>
        <w:rPr>
          <w:rFonts w:ascii="Times New Roman" w:hAnsi="Times New Roman"/>
          <w:sz w:val="24"/>
        </w:rPr>
        <w:t>（</w:t>
      </w:r>
      <w:r>
        <w:rPr>
          <w:rFonts w:hint="eastAsia" w:ascii="Times New Roman" w:hAnsi="Times New Roman"/>
          <w:sz w:val="24"/>
        </w:rPr>
        <w:t>中国药典2020版通则0502</w:t>
      </w:r>
      <w:r>
        <w:rPr>
          <w:rFonts w:ascii="Times New Roman" w:hAnsi="Times New Roman"/>
          <w:sz w:val="24"/>
        </w:rPr>
        <w:t>）试验，吸取上述两种溶液各4μl，分别点于同一硅胶G薄层板上，以石油醚（60～90</w:t>
      </w:r>
      <w:r>
        <w:rPr>
          <w:rFonts w:hint="eastAsia" w:ascii="宋体" w:hAnsi="宋体" w:cs="宋体"/>
          <w:sz w:val="24"/>
        </w:rPr>
        <w:t>℃</w:t>
      </w:r>
      <w:r>
        <w:rPr>
          <w:rFonts w:ascii="Times New Roman" w:hAnsi="Times New Roman"/>
          <w:sz w:val="24"/>
        </w:rPr>
        <w:t>）-甲酸乙酯-甲酸（15</w:t>
      </w:r>
      <w:r>
        <w:rPr>
          <w:rFonts w:hint="eastAsia" w:ascii="宋体" w:hAnsi="宋体" w:cs="宋体"/>
          <w:sz w:val="24"/>
        </w:rPr>
        <w:t>∶</w:t>
      </w:r>
      <w:r>
        <w:rPr>
          <w:rFonts w:ascii="Times New Roman" w:hAnsi="Times New Roman"/>
          <w:sz w:val="24"/>
        </w:rPr>
        <w:t>5</w:t>
      </w:r>
      <w:r>
        <w:rPr>
          <w:rFonts w:hint="eastAsia" w:ascii="宋体" w:hAnsi="宋体" w:cs="宋体"/>
          <w:sz w:val="24"/>
        </w:rPr>
        <w:t>∶</w:t>
      </w:r>
      <w:r>
        <w:rPr>
          <w:rFonts w:ascii="Times New Roman" w:hAnsi="Times New Roman"/>
          <w:sz w:val="24"/>
        </w:rPr>
        <w:t>1）的上层溶液为展开剂，展开，取出，晾干，置紫外光灯（365nm）下检视。供试品色谱中，在与对照药材色谱相应的位置上，显相同颜色的荧光斑点。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3）取本品粉末1g，加水50ml，加热回流1小时，趁热滤过，滤液置蒸发皿中，用少量水分次洗涤容器，合并洗液并入蒸发皿中，置水浴上蒸干，残渣用水5ml溶解，置50ml离心管中，缓慢加入乙醇25ml，不断搅拌，静置1小时，离心（转速为每分钟4000转），取沉淀物，用乙醇10ml洗涤，离心，取沉淀物，烘干，放冷，加4mol/L三氟乙酸溶液2ml，置10ml安瓿瓶或顶空瓶中，封口，混匀，在120</w:t>
      </w:r>
      <w:r>
        <w:rPr>
          <w:rFonts w:hint="eastAsia" w:ascii="宋体" w:hAnsi="宋体" w:cs="宋体"/>
          <w:sz w:val="24"/>
        </w:rPr>
        <w:t>℃</w:t>
      </w:r>
      <w:r>
        <w:rPr>
          <w:rFonts w:ascii="Times New Roman" w:hAnsi="Times New Roman"/>
          <w:sz w:val="24"/>
        </w:rPr>
        <w:t>水解3小时，放冷，水解液转移至50ml烧瓶中，用2ml水洗涤容器，洗涤液并入烧瓶中，60</w:t>
      </w:r>
      <w:r>
        <w:rPr>
          <w:rFonts w:hint="eastAsia" w:ascii="宋体" w:hAnsi="宋体" w:cs="宋体"/>
          <w:sz w:val="24"/>
        </w:rPr>
        <w:t>℃</w:t>
      </w:r>
      <w:r>
        <w:rPr>
          <w:rFonts w:ascii="Times New Roman" w:hAnsi="Times New Roman"/>
          <w:sz w:val="24"/>
        </w:rPr>
        <w:t>减压蒸干，用70%乙醇2ml溶解，置离心管中，离心，取上清液作为供试品溶液。另取半乳糖对照品、葡萄糖对照品、甘露糖对照品和木糖对照品适量，精密称定，加70%乙醇制成每1ml各含0.1mg的混合溶液，作为对照品溶液。照薄层色谱法（中国药典2020年版通则0502</w:t>
      </w:r>
      <w:r>
        <w:rPr>
          <w:rFonts w:hint="eastAsia" w:ascii="Times New Roman" w:hAnsi="Times New Roman"/>
          <w:sz w:val="24"/>
        </w:rPr>
        <w:t>）</w:t>
      </w:r>
      <w:r>
        <w:rPr>
          <w:rFonts w:ascii="Times New Roman" w:hAnsi="Times New Roman"/>
          <w:sz w:val="24"/>
        </w:rPr>
        <w:t>试验，吸取上述两种溶液各3μl，分别点于同一高效硅胶G薄层板上，以正丁醇-丙酮-水（5</w:t>
      </w:r>
      <w:r>
        <w:rPr>
          <w:rFonts w:hint="eastAsia" w:ascii="Times New Roman" w:hAnsi="Times New Roman"/>
          <w:sz w:val="24"/>
        </w:rPr>
        <w:t>∶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∶</w:t>
      </w:r>
      <w:r>
        <w:rPr>
          <w:rFonts w:ascii="Times New Roman" w:hAnsi="Times New Roman"/>
          <w:sz w:val="24"/>
        </w:rPr>
        <w:t>1）为展开剂，展开，取出，晾干，喷以对氨基苯甲酸溶液（取4-氨基苯甲酸0.5g，溶于冰醋酸9ml中，加水10ml和85%磷酸溶液0.5ml，混匀），在105</w:t>
      </w:r>
      <w:r>
        <w:rPr>
          <w:rFonts w:hint="eastAsia" w:ascii="宋体" w:hAnsi="宋体" w:cs="宋体"/>
          <w:sz w:val="24"/>
        </w:rPr>
        <w:t>℃</w:t>
      </w:r>
      <w:r>
        <w:rPr>
          <w:rFonts w:ascii="Times New Roman" w:hAnsi="Times New Roman"/>
          <w:sz w:val="24"/>
        </w:rPr>
        <w:t>加热约10分钟，置紫外光灯（365nm）下检视。供试品色谱中，在与对照品色谱相应的位置上，显相同颜色的荧光斑点。其中最强荧光斑点为葡萄糖，甘露糖和半乳糖荧光斑点强度相近，位于葡萄糖斑点上、下两侧，木糖斑点在甘露糖上，荧光斑点强度最弱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【检查】</w:t>
      </w:r>
      <w:r>
        <w:rPr>
          <w:rFonts w:hint="eastAsia" w:ascii="Times New Roman" w:hAnsi="Times New Roman" w:eastAsia="黑体"/>
          <w:b/>
          <w:bCs/>
          <w:sz w:val="24"/>
        </w:rPr>
        <w:t xml:space="preserve"> </w:t>
      </w:r>
      <w:r>
        <w:rPr>
          <w:rFonts w:ascii="Times New Roman" w:hAnsi="Times New Roman" w:eastAsia="黑体"/>
          <w:b/>
          <w:bCs/>
          <w:sz w:val="24"/>
        </w:rPr>
        <w:t>水分</w:t>
      </w:r>
      <w:r>
        <w:rPr>
          <w:rFonts w:hint="eastAsia" w:ascii="Times New Roman" w:hAnsi="Times New Roman" w:eastAsia="黑体"/>
          <w:sz w:val="24"/>
        </w:rPr>
        <w:t xml:space="preserve"> </w:t>
      </w:r>
      <w:r>
        <w:rPr>
          <w:rFonts w:ascii="Times New Roman" w:hAnsi="Times New Roman"/>
          <w:sz w:val="24"/>
        </w:rPr>
        <w:t>不得过17.0%</w:t>
      </w:r>
      <w:r>
        <w:rPr>
          <w:rFonts w:hint="eastAsia" w:ascii="Times New Roman" w:hAnsi="Times New Roman"/>
          <w:sz w:val="24"/>
        </w:rPr>
        <w:t>。</w:t>
      </w:r>
      <w:r>
        <w:rPr>
          <w:rFonts w:ascii="Times New Roman" w:hAnsi="Times New Roman"/>
          <w:sz w:val="24"/>
        </w:rPr>
        <w:t>（中国药典2020版四部通则0832第二法）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总灰分</w:t>
      </w:r>
      <w:r>
        <w:rPr>
          <w:rFonts w:hint="eastAsia" w:ascii="Times New Roman" w:hAnsi="Times New Roman" w:eastAsia="黑体"/>
          <w:sz w:val="24"/>
        </w:rPr>
        <w:t xml:space="preserve"> </w:t>
      </w:r>
      <w:r>
        <w:rPr>
          <w:rFonts w:ascii="Times New Roman" w:hAnsi="Times New Roman"/>
          <w:sz w:val="24"/>
        </w:rPr>
        <w:t>不得过3.2%</w:t>
      </w:r>
      <w:r>
        <w:rPr>
          <w:rFonts w:hint="eastAsia" w:ascii="Times New Roman" w:hAnsi="Times New Roman"/>
          <w:sz w:val="24"/>
        </w:rPr>
        <w:t>。</w:t>
      </w:r>
      <w:r>
        <w:rPr>
          <w:rFonts w:ascii="Times New Roman" w:hAnsi="Times New Roman"/>
          <w:sz w:val="24"/>
        </w:rPr>
        <w:t>（中国药典2020版四部通则2302）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【浸出物】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照水溶性浸出物测定法（中国药典2020年版四部通则2201）项下的热浸法测定，不得少于3.0%。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</w:t>
      </w:r>
      <w:r>
        <w:rPr>
          <w:rFonts w:hint="eastAsia" w:ascii="Times New Roman" w:hAnsi="Times New Roman" w:eastAsia="黑体"/>
          <w:b/>
          <w:bCs/>
          <w:sz w:val="24"/>
        </w:rPr>
        <w:t>含量测定</w:t>
      </w:r>
      <w:r>
        <w:rPr>
          <w:rFonts w:ascii="Times New Roman" w:hAnsi="Times New Roman" w:eastAsia="黑体"/>
          <w:b/>
          <w:bCs/>
          <w:sz w:val="24"/>
        </w:rPr>
        <w:t>】</w:t>
      </w:r>
      <w:r>
        <w:rPr>
          <w:rFonts w:hint="eastAsia"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 w:eastAsia="黑体"/>
          <w:b/>
          <w:bCs/>
          <w:sz w:val="24"/>
        </w:rPr>
        <w:t>多糖</w:t>
      </w:r>
      <w:r>
        <w:rPr>
          <w:rFonts w:hint="eastAsia"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/>
          <w:sz w:val="24"/>
        </w:rPr>
        <w:t>对照品溶液的制备 取无水葡萄糖对照品适量，精密称定，加水制成每1ml含0.12mg的溶液，即得。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标准曲线的制备</w:t>
      </w:r>
      <w:r>
        <w:rPr>
          <w:rFonts w:hint="eastAsia"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精密量取对照品溶液0.2ml、0.4ml、0.6ml、0.8ml、1.0ml、1.2ml，分别置10ml具塞试管中，各加水至2.0ml，迅速精密加入硫酸蒽酮溶液（精密称取蒽酮0.1g，加硫酸100ml使溶解，摇匀）6ml，立即摇匀，放置15分钟后，立即置冰浴中冷却15分钟，取出，以相应的试剂为空白，照紫外-可见分光光度法（中国药典2020版四部通则0401），在625nm波长处测定吸光度，以吸光度为纵坐标，浓度为横坐标，绘制标准曲线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供试品溶液的制备</w:t>
      </w:r>
      <w:r>
        <w:rPr>
          <w:rFonts w:hint="eastAsia"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取本品粉末约2g，精密称定，置圆底烧瓶中，加水60ml，静置1小时，加热回流4小时，趁热滤过，用少量热水洗涤滤器和滤渣，将滤渣及滤纸置烧瓶中，加水60ml，加热回流3小时，趁热滤过，合并滤液，置水浴上蒸干，残渣用水5ml溶解，边搅拌边缓慢滴加乙醇75ml，摇匀，在4</w:t>
      </w:r>
      <w:r>
        <w:rPr>
          <w:rFonts w:hint="eastAsia" w:ascii="宋体" w:hAnsi="宋体" w:cs="宋体"/>
          <w:sz w:val="24"/>
        </w:rPr>
        <w:t>℃</w:t>
      </w:r>
      <w:r>
        <w:rPr>
          <w:rFonts w:ascii="Times New Roman" w:hAnsi="Times New Roman"/>
          <w:sz w:val="24"/>
        </w:rPr>
        <w:t>放置12小时，离心，弃去上清液，沉淀物用热水溶解并转移至50ml量瓶中，放冷，加</w:t>
      </w:r>
      <w:r>
        <w:rPr>
          <w:rFonts w:hint="eastAsia" w:ascii="Times New Roman" w:hAnsi="Times New Roman"/>
          <w:sz w:val="24"/>
        </w:rPr>
        <w:t>水至刻度，摇匀，取溶液适量，离心，精密量取上清液3ml，置25ml量瓶中，加水至刻度，摇匀，即得。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测定法 精密量取供试品溶液2ml，置10ml具塞试管中，照标准曲线制备项下的方法，自“迅速精密加入硫酸蒽酮溶液6ml”起，同法操作，测定吸光度，从标准曲线上读出供试品溶液中无水葡萄糖的含量，计算，即得。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本品按干燥品计算，含灵芝多糖以无水葡萄糖（C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hint="eastAsia" w:ascii="Times New Roman" w:hAnsi="Times New Roman"/>
          <w:sz w:val="24"/>
        </w:rPr>
        <w:t>H</w:t>
      </w:r>
      <w:r>
        <w:rPr>
          <w:rFonts w:hint="eastAsia" w:ascii="Times New Roman" w:hAnsi="Times New Roman"/>
          <w:sz w:val="24"/>
          <w:vertAlign w:val="subscript"/>
        </w:rPr>
        <w:t>12</w:t>
      </w:r>
      <w:r>
        <w:rPr>
          <w:rFonts w:hint="eastAsia"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hint="eastAsia" w:ascii="Times New Roman" w:hAnsi="Times New Roman"/>
          <w:sz w:val="24"/>
        </w:rPr>
        <w:t>）计，不得少于0.90%。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 w:eastAsia="黑体"/>
          <w:b/>
          <w:bCs/>
          <w:sz w:val="24"/>
        </w:rPr>
        <w:t>三萜及甾醇</w:t>
      </w:r>
      <w:r>
        <w:rPr>
          <w:rFonts w:hint="eastAsia"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/>
          <w:sz w:val="24"/>
        </w:rPr>
        <w:t>对照品溶液的制备 取齐墩果酸对照品适量，精密称定，加甲醇制成每1ml含0.2mg的溶液，即得。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标准曲线的制备 精密量取对照品溶液0.1ml、0.2ml、0.3ml、0.4ml、0.5ml，分别置15ml具塞试管中，挥干，放冷，精密加入新配制的香草醛冰醋酸溶液（精密称取香草醛0.5g，加冰醋酸使溶解成10ml，即得）0.2ml、高氯酸0.8ml，摇匀，在70℃水浴中加热15分钟，立即置冰浴中冷却5分钟，取出，精密加入乙酸乙酯4ml，摇匀，以相应试剂为空白，照紫外-可见分光光度法（</w:t>
      </w:r>
      <w:r>
        <w:rPr>
          <w:rFonts w:hint="eastAsia" w:asciiTheme="minorEastAsia" w:hAnsiTheme="minorEastAsia"/>
          <w:sz w:val="24"/>
        </w:rPr>
        <w:t>中国药典2020版四部通则</w:t>
      </w:r>
      <w:r>
        <w:rPr>
          <w:rFonts w:hint="eastAsia" w:ascii="Times New Roman" w:hAnsi="Times New Roman"/>
          <w:sz w:val="24"/>
        </w:rPr>
        <w:t>0401），在546nm波长处测定吸光度，以吸光度为纵坐标、浓度为横坐标绘制标准曲线。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供试品溶液的制备 取本品粉末约2g，精密称定，置具塞锥形瓶中，加乙醇50ml，超声处理（功率140W，频率42kHz）45分钟，滤过，滤液置100ml量瓶中，用适量乙醇，分次洗涤滤器和滤渣，洗液并入同一量瓶中，加乙醇至刻度，摇匀，即得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测定法 精密量取供试品溶液0.2ml，置15ml具塞试管中，照标准曲线制备项下的方法，自“挥干”起，同法操作，测定吸光度，从标准曲线上读出供试品溶液中齐墩果酸的含量，计算，即得。</w:t>
      </w:r>
    </w:p>
    <w:p>
      <w:pPr>
        <w:spacing w:line="5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本品按干燥品计算，含三萜及甾醇以齐墩果酸（C</w:t>
      </w:r>
      <w:r>
        <w:rPr>
          <w:rFonts w:ascii="Times New Roman" w:hAnsi="Times New Roman"/>
          <w:sz w:val="24"/>
          <w:vertAlign w:val="subscript"/>
        </w:rPr>
        <w:t>30</w:t>
      </w:r>
      <w:r>
        <w:rPr>
          <w:rFonts w:hint="eastAsia" w:ascii="Times New Roman" w:hAnsi="Times New Roman"/>
          <w:sz w:val="24"/>
        </w:rPr>
        <w:t>H</w:t>
      </w:r>
      <w:r>
        <w:rPr>
          <w:rFonts w:hint="eastAsia" w:ascii="Times New Roman" w:hAnsi="Times New Roman"/>
          <w:sz w:val="24"/>
          <w:vertAlign w:val="subscript"/>
        </w:rPr>
        <w:t>48</w:t>
      </w:r>
      <w:r>
        <w:rPr>
          <w:rFonts w:hint="eastAsia" w:ascii="Times New Roman" w:hAnsi="Times New Roman"/>
          <w:sz w:val="24"/>
        </w:rPr>
        <w:t>O</w:t>
      </w:r>
      <w:r>
        <w:rPr>
          <w:rFonts w:hint="eastAsia" w:ascii="Times New Roman" w:hAnsi="Times New Roman"/>
          <w:sz w:val="24"/>
          <w:vertAlign w:val="subscript"/>
        </w:rPr>
        <w:t>3</w:t>
      </w:r>
      <w:r>
        <w:rPr>
          <w:rFonts w:hint="eastAsia" w:ascii="Times New Roman" w:hAnsi="Times New Roman"/>
          <w:sz w:val="24"/>
        </w:rPr>
        <w:t>）计，不得少于0.50%。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【性味与归经】</w:t>
      </w:r>
      <w:r>
        <w:rPr>
          <w:rFonts w:hint="eastAsia" w:ascii="Times New Roman" w:hAnsi="Times New Roman" w:eastAsia="黑体"/>
          <w:sz w:val="24"/>
        </w:rPr>
        <w:t xml:space="preserve"> </w:t>
      </w:r>
      <w:r>
        <w:rPr>
          <w:rFonts w:ascii="Times New Roman" w:hAnsi="Times New Roman"/>
          <w:sz w:val="24"/>
        </w:rPr>
        <w:t>甘，平。归心、肺、肝、肾经。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【功能与主治】</w:t>
      </w:r>
      <w:r>
        <w:rPr>
          <w:rFonts w:hint="eastAsia" w:ascii="Times New Roman" w:hAnsi="Times New Roman" w:eastAsia="黑体"/>
          <w:sz w:val="24"/>
        </w:rPr>
        <w:t xml:space="preserve"> </w:t>
      </w:r>
      <w:r>
        <w:rPr>
          <w:rFonts w:ascii="Times New Roman" w:hAnsi="Times New Roman"/>
          <w:sz w:val="24"/>
        </w:rPr>
        <w:t>补气安神，止咳平喘。用于心神不宁，失眠心悸，肺虚咳喘，虚劳短气，不思饮食。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【用法与用量】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6～12g。 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【贮藏】</w:t>
      </w:r>
      <w:r>
        <w:rPr>
          <w:rFonts w:hint="eastAsia" w:ascii="Times New Roman" w:hAnsi="Times New Roman" w:eastAsia="黑体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置干燥处，防霉，防蛀。</w:t>
      </w:r>
    </w:p>
    <w:p>
      <w:pPr>
        <w:spacing w:line="580" w:lineRule="exact"/>
        <w:ind w:firstLine="481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b/>
          <w:bCs/>
          <w:sz w:val="24"/>
        </w:rPr>
        <w:t>【药材标准】</w:t>
      </w:r>
      <w:r>
        <w:rPr>
          <w:rFonts w:hint="eastAsia" w:ascii="Times New Roman" w:hAnsi="Times New Roman" w:eastAsia="黑体"/>
          <w:sz w:val="24"/>
        </w:rPr>
        <w:t xml:space="preserve"> </w:t>
      </w:r>
      <w:r>
        <w:rPr>
          <w:rFonts w:ascii="Times New Roman" w:hAnsi="Times New Roman"/>
          <w:sz w:val="24"/>
        </w:rPr>
        <w:t>《中国药典》2020年版</w:t>
      </w:r>
      <w:r>
        <w:rPr>
          <w:rFonts w:hint="eastAsia" w:ascii="Times New Roman" w:hAnsi="Times New Roman"/>
          <w:sz w:val="24"/>
        </w:rPr>
        <w:t>一部。</w:t>
      </w: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yMDNlODhjMmNjZjM1MWJjNDkwM2U2MjQwYzdiNTYifQ=="/>
  </w:docVars>
  <w:rsids>
    <w:rsidRoot w:val="00280FBB"/>
    <w:rsid w:val="00036E21"/>
    <w:rsid w:val="0005136A"/>
    <w:rsid w:val="00060B05"/>
    <w:rsid w:val="000A08D5"/>
    <w:rsid w:val="000D1158"/>
    <w:rsid w:val="000D303B"/>
    <w:rsid w:val="0010037A"/>
    <w:rsid w:val="00100718"/>
    <w:rsid w:val="001143FB"/>
    <w:rsid w:val="001445BD"/>
    <w:rsid w:val="00145FA5"/>
    <w:rsid w:val="001606EF"/>
    <w:rsid w:val="00160B7A"/>
    <w:rsid w:val="00171267"/>
    <w:rsid w:val="001A7EFC"/>
    <w:rsid w:val="001B2B7C"/>
    <w:rsid w:val="001B5D7D"/>
    <w:rsid w:val="001C09AF"/>
    <w:rsid w:val="0023122B"/>
    <w:rsid w:val="002570DE"/>
    <w:rsid w:val="00261EB8"/>
    <w:rsid w:val="00271716"/>
    <w:rsid w:val="00275CBB"/>
    <w:rsid w:val="00280FBB"/>
    <w:rsid w:val="00291EAC"/>
    <w:rsid w:val="002C25A2"/>
    <w:rsid w:val="003025CA"/>
    <w:rsid w:val="003137E4"/>
    <w:rsid w:val="00342207"/>
    <w:rsid w:val="00342666"/>
    <w:rsid w:val="00356109"/>
    <w:rsid w:val="0035735B"/>
    <w:rsid w:val="00362D18"/>
    <w:rsid w:val="0036741B"/>
    <w:rsid w:val="00371EB5"/>
    <w:rsid w:val="003725DC"/>
    <w:rsid w:val="003727A0"/>
    <w:rsid w:val="00374C57"/>
    <w:rsid w:val="00374E22"/>
    <w:rsid w:val="00397683"/>
    <w:rsid w:val="003A5EDF"/>
    <w:rsid w:val="003B331D"/>
    <w:rsid w:val="003C559D"/>
    <w:rsid w:val="003D2F70"/>
    <w:rsid w:val="003F128C"/>
    <w:rsid w:val="003F1906"/>
    <w:rsid w:val="003F3012"/>
    <w:rsid w:val="003F7B4C"/>
    <w:rsid w:val="0040102B"/>
    <w:rsid w:val="00401D20"/>
    <w:rsid w:val="00402777"/>
    <w:rsid w:val="00422500"/>
    <w:rsid w:val="00423459"/>
    <w:rsid w:val="004453E8"/>
    <w:rsid w:val="00447FC0"/>
    <w:rsid w:val="00465778"/>
    <w:rsid w:val="00483C7E"/>
    <w:rsid w:val="00486E6A"/>
    <w:rsid w:val="0049197A"/>
    <w:rsid w:val="00495DE5"/>
    <w:rsid w:val="004A66F4"/>
    <w:rsid w:val="004B4F1B"/>
    <w:rsid w:val="004B5CA5"/>
    <w:rsid w:val="004E47E7"/>
    <w:rsid w:val="004E7D95"/>
    <w:rsid w:val="004F03EE"/>
    <w:rsid w:val="005040FC"/>
    <w:rsid w:val="00511F2F"/>
    <w:rsid w:val="00513721"/>
    <w:rsid w:val="0051473F"/>
    <w:rsid w:val="005172A6"/>
    <w:rsid w:val="005233BC"/>
    <w:rsid w:val="0052550C"/>
    <w:rsid w:val="0052717F"/>
    <w:rsid w:val="0054068E"/>
    <w:rsid w:val="005822DE"/>
    <w:rsid w:val="00583813"/>
    <w:rsid w:val="00593675"/>
    <w:rsid w:val="005B77EB"/>
    <w:rsid w:val="005C0742"/>
    <w:rsid w:val="005C2E17"/>
    <w:rsid w:val="005C57E9"/>
    <w:rsid w:val="005D5967"/>
    <w:rsid w:val="005F5BA8"/>
    <w:rsid w:val="00615E28"/>
    <w:rsid w:val="0063114C"/>
    <w:rsid w:val="00643725"/>
    <w:rsid w:val="00644CE9"/>
    <w:rsid w:val="006478DD"/>
    <w:rsid w:val="00651931"/>
    <w:rsid w:val="0065309B"/>
    <w:rsid w:val="0066093A"/>
    <w:rsid w:val="00683BE6"/>
    <w:rsid w:val="00691777"/>
    <w:rsid w:val="00693D61"/>
    <w:rsid w:val="006A2D34"/>
    <w:rsid w:val="006A7C88"/>
    <w:rsid w:val="006B5A07"/>
    <w:rsid w:val="006B7248"/>
    <w:rsid w:val="006D5A28"/>
    <w:rsid w:val="006E07AE"/>
    <w:rsid w:val="006E6B76"/>
    <w:rsid w:val="006F37A7"/>
    <w:rsid w:val="006F5415"/>
    <w:rsid w:val="0071480F"/>
    <w:rsid w:val="00723F87"/>
    <w:rsid w:val="00727576"/>
    <w:rsid w:val="00727A88"/>
    <w:rsid w:val="00730164"/>
    <w:rsid w:val="00732CBB"/>
    <w:rsid w:val="00734BE8"/>
    <w:rsid w:val="0074023C"/>
    <w:rsid w:val="00750726"/>
    <w:rsid w:val="00753DB8"/>
    <w:rsid w:val="007551DD"/>
    <w:rsid w:val="007748E6"/>
    <w:rsid w:val="00780E37"/>
    <w:rsid w:val="00783054"/>
    <w:rsid w:val="00790278"/>
    <w:rsid w:val="00790541"/>
    <w:rsid w:val="00793213"/>
    <w:rsid w:val="00795923"/>
    <w:rsid w:val="00796E61"/>
    <w:rsid w:val="007C0E24"/>
    <w:rsid w:val="007D02E3"/>
    <w:rsid w:val="007E4DF8"/>
    <w:rsid w:val="008038BA"/>
    <w:rsid w:val="0081154C"/>
    <w:rsid w:val="00820DC0"/>
    <w:rsid w:val="00822281"/>
    <w:rsid w:val="00826F92"/>
    <w:rsid w:val="00833CEF"/>
    <w:rsid w:val="00852798"/>
    <w:rsid w:val="008531AF"/>
    <w:rsid w:val="00853826"/>
    <w:rsid w:val="008548DF"/>
    <w:rsid w:val="008778E7"/>
    <w:rsid w:val="00882390"/>
    <w:rsid w:val="0088668D"/>
    <w:rsid w:val="0088725C"/>
    <w:rsid w:val="00890005"/>
    <w:rsid w:val="00891596"/>
    <w:rsid w:val="008A0A72"/>
    <w:rsid w:val="008A2F6E"/>
    <w:rsid w:val="008B6B97"/>
    <w:rsid w:val="008C74EF"/>
    <w:rsid w:val="008D1AA4"/>
    <w:rsid w:val="008D42C8"/>
    <w:rsid w:val="008E7B4A"/>
    <w:rsid w:val="008F2F26"/>
    <w:rsid w:val="00930DCA"/>
    <w:rsid w:val="009573F6"/>
    <w:rsid w:val="00962705"/>
    <w:rsid w:val="00965DDA"/>
    <w:rsid w:val="0096688A"/>
    <w:rsid w:val="00975279"/>
    <w:rsid w:val="00977512"/>
    <w:rsid w:val="009B425B"/>
    <w:rsid w:val="009B5B8D"/>
    <w:rsid w:val="009B79F9"/>
    <w:rsid w:val="009D029D"/>
    <w:rsid w:val="009D0532"/>
    <w:rsid w:val="009F15A5"/>
    <w:rsid w:val="00A027C4"/>
    <w:rsid w:val="00A109CB"/>
    <w:rsid w:val="00A1129C"/>
    <w:rsid w:val="00A13390"/>
    <w:rsid w:val="00A13CC5"/>
    <w:rsid w:val="00A1544A"/>
    <w:rsid w:val="00A22004"/>
    <w:rsid w:val="00A65ABA"/>
    <w:rsid w:val="00A675E2"/>
    <w:rsid w:val="00A75FE7"/>
    <w:rsid w:val="00A86FFC"/>
    <w:rsid w:val="00A904A3"/>
    <w:rsid w:val="00A91FE3"/>
    <w:rsid w:val="00A93A81"/>
    <w:rsid w:val="00AA085D"/>
    <w:rsid w:val="00AB0D0E"/>
    <w:rsid w:val="00AB67ED"/>
    <w:rsid w:val="00AE1C87"/>
    <w:rsid w:val="00AF13E7"/>
    <w:rsid w:val="00B30AE8"/>
    <w:rsid w:val="00B359CC"/>
    <w:rsid w:val="00B368E8"/>
    <w:rsid w:val="00B41F1C"/>
    <w:rsid w:val="00B673B2"/>
    <w:rsid w:val="00B8427B"/>
    <w:rsid w:val="00B8553B"/>
    <w:rsid w:val="00B928BB"/>
    <w:rsid w:val="00B96658"/>
    <w:rsid w:val="00BA4804"/>
    <w:rsid w:val="00BA54AC"/>
    <w:rsid w:val="00BB2959"/>
    <w:rsid w:val="00BD1445"/>
    <w:rsid w:val="00BF4ABA"/>
    <w:rsid w:val="00C061DE"/>
    <w:rsid w:val="00C11A3C"/>
    <w:rsid w:val="00C21C53"/>
    <w:rsid w:val="00C25610"/>
    <w:rsid w:val="00C34582"/>
    <w:rsid w:val="00C578D5"/>
    <w:rsid w:val="00C63FFF"/>
    <w:rsid w:val="00C7545E"/>
    <w:rsid w:val="00C84CD9"/>
    <w:rsid w:val="00C86518"/>
    <w:rsid w:val="00C96AB2"/>
    <w:rsid w:val="00CA34C0"/>
    <w:rsid w:val="00CB6A08"/>
    <w:rsid w:val="00CC4939"/>
    <w:rsid w:val="00CC665E"/>
    <w:rsid w:val="00CD5B6A"/>
    <w:rsid w:val="00CE1391"/>
    <w:rsid w:val="00D07950"/>
    <w:rsid w:val="00D10693"/>
    <w:rsid w:val="00D131FC"/>
    <w:rsid w:val="00D179CC"/>
    <w:rsid w:val="00D37C5F"/>
    <w:rsid w:val="00D410F5"/>
    <w:rsid w:val="00D441E5"/>
    <w:rsid w:val="00D47807"/>
    <w:rsid w:val="00D5013C"/>
    <w:rsid w:val="00D51302"/>
    <w:rsid w:val="00D621A0"/>
    <w:rsid w:val="00D65CD6"/>
    <w:rsid w:val="00D97B65"/>
    <w:rsid w:val="00DA1482"/>
    <w:rsid w:val="00DA7F0A"/>
    <w:rsid w:val="00DB4ABA"/>
    <w:rsid w:val="00DB65A5"/>
    <w:rsid w:val="00DD64DE"/>
    <w:rsid w:val="00DE35D9"/>
    <w:rsid w:val="00DF01BA"/>
    <w:rsid w:val="00E0017C"/>
    <w:rsid w:val="00E03503"/>
    <w:rsid w:val="00E037D3"/>
    <w:rsid w:val="00E13BD8"/>
    <w:rsid w:val="00E13F6F"/>
    <w:rsid w:val="00E27404"/>
    <w:rsid w:val="00E30924"/>
    <w:rsid w:val="00E45F65"/>
    <w:rsid w:val="00E474DF"/>
    <w:rsid w:val="00E521A8"/>
    <w:rsid w:val="00E54D57"/>
    <w:rsid w:val="00E903E8"/>
    <w:rsid w:val="00E940EE"/>
    <w:rsid w:val="00EA0DFE"/>
    <w:rsid w:val="00EA6CE4"/>
    <w:rsid w:val="00EB0E03"/>
    <w:rsid w:val="00EB3254"/>
    <w:rsid w:val="00EC0BAC"/>
    <w:rsid w:val="00ED1781"/>
    <w:rsid w:val="00ED5330"/>
    <w:rsid w:val="00EE020A"/>
    <w:rsid w:val="00EE3118"/>
    <w:rsid w:val="00EF3BAA"/>
    <w:rsid w:val="00F0587A"/>
    <w:rsid w:val="00F12A94"/>
    <w:rsid w:val="00F207F7"/>
    <w:rsid w:val="00F250C1"/>
    <w:rsid w:val="00F27843"/>
    <w:rsid w:val="00F30F50"/>
    <w:rsid w:val="00F333FD"/>
    <w:rsid w:val="00F37336"/>
    <w:rsid w:val="00F47F53"/>
    <w:rsid w:val="00F53122"/>
    <w:rsid w:val="00F744A9"/>
    <w:rsid w:val="00F7611D"/>
    <w:rsid w:val="00F9009F"/>
    <w:rsid w:val="00F92802"/>
    <w:rsid w:val="00FA1D22"/>
    <w:rsid w:val="00FA4EA8"/>
    <w:rsid w:val="00FA58ED"/>
    <w:rsid w:val="00FA78D2"/>
    <w:rsid w:val="00FB56C5"/>
    <w:rsid w:val="00FC72D6"/>
    <w:rsid w:val="00FD6636"/>
    <w:rsid w:val="00FD725E"/>
    <w:rsid w:val="00FE1E9C"/>
    <w:rsid w:val="00FE793A"/>
    <w:rsid w:val="1FFD8FEF"/>
    <w:rsid w:val="2E4EFB38"/>
    <w:rsid w:val="3B311D2A"/>
    <w:rsid w:val="3BFD997B"/>
    <w:rsid w:val="48EF55F4"/>
    <w:rsid w:val="59CF6DBD"/>
    <w:rsid w:val="5B65578F"/>
    <w:rsid w:val="717DC307"/>
    <w:rsid w:val="78BB6200"/>
    <w:rsid w:val="7BE38731"/>
    <w:rsid w:val="FDBE93B9"/>
    <w:rsid w:val="FF7F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405</Words>
  <Characters>2313</Characters>
  <Lines>19</Lines>
  <Paragraphs>5</Paragraphs>
  <TotalTime>33</TotalTime>
  <ScaleCrop>false</ScaleCrop>
  <LinksUpToDate>false</LinksUpToDate>
  <CharactersWithSpaces>2713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2023-01-12T16:33:00Z</dcterms:created>
  <dc:creator>李丽莉</dc:creator>
  <cp:lastModifiedBy>gxxc</cp:lastModifiedBy>
  <cp:lastPrinted>2021-08-04T15:19:00Z</cp:lastPrinted>
  <dcterms:modified xsi:type="dcterms:W3CDTF">2023-10-24T10:37:32Z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B4B275255DDD4803BCD81BF3899D19FB_13</vt:lpwstr>
  </property>
</Properties>
</file>