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4"/>
          <w:szCs w:val="24"/>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0"/>
        <w:jc w:val="center"/>
        <w:textAlignment w:val="baseline"/>
        <w:rPr>
          <w:rFonts w:hint="eastAsia" w:ascii="黑体" w:hAnsi="黑体" w:eastAsia="黑体" w:cs="黑体"/>
          <w:spacing w:val="7"/>
          <w:sz w:val="43"/>
          <w:szCs w:val="43"/>
        </w:rPr>
      </w:pPr>
      <w:r>
        <w:rPr>
          <w:rFonts w:hint="eastAsia" w:ascii="黑体" w:hAnsi="黑体" w:eastAsia="黑体" w:cs="黑体"/>
          <w:spacing w:val="7"/>
          <w:sz w:val="43"/>
          <w:szCs w:val="43"/>
          <w:lang w:val="en-US" w:eastAsia="zh-CN"/>
        </w:rPr>
        <w:t>哈尔滨市</w:t>
      </w:r>
      <w:r>
        <w:rPr>
          <w:rFonts w:hint="eastAsia" w:ascii="黑体" w:hAnsi="黑体" w:eastAsia="黑体" w:cs="黑体"/>
          <w:spacing w:val="7"/>
          <w:sz w:val="43"/>
          <w:szCs w:val="43"/>
        </w:rPr>
        <w:t>医疗保障信用管理暂行办法</w:t>
      </w:r>
    </w:p>
    <w:p>
      <w:pPr>
        <w:spacing w:line="221" w:lineRule="auto"/>
        <w:ind w:left="3678"/>
        <w:rPr>
          <w:rFonts w:ascii="黑体" w:hAnsi="黑体" w:eastAsia="黑体" w:cs="黑体"/>
          <w:spacing w:val="-4"/>
          <w:sz w:val="31"/>
          <w:szCs w:val="31"/>
        </w:rPr>
      </w:pPr>
    </w:p>
    <w:p>
      <w:pPr>
        <w:spacing w:line="221" w:lineRule="auto"/>
        <w:ind w:left="3678"/>
        <w:rPr>
          <w:rFonts w:ascii="黑体" w:hAnsi="黑体" w:eastAsia="黑体" w:cs="黑体"/>
          <w:spacing w:val="-4"/>
          <w:sz w:val="31"/>
          <w:szCs w:val="31"/>
        </w:rPr>
      </w:pPr>
    </w:p>
    <w:p>
      <w:pPr>
        <w:spacing w:line="221" w:lineRule="auto"/>
        <w:ind w:left="3678"/>
        <w:rPr>
          <w:rFonts w:ascii="黑体" w:hAnsi="黑体" w:eastAsia="黑体" w:cs="黑体"/>
          <w:sz w:val="32"/>
          <w:szCs w:val="32"/>
        </w:rPr>
      </w:pPr>
      <w:r>
        <w:rPr>
          <w:rFonts w:ascii="黑体" w:hAnsi="黑体" w:eastAsia="黑体" w:cs="黑体"/>
          <w:spacing w:val="-4"/>
          <w:sz w:val="31"/>
          <w:szCs w:val="31"/>
        </w:rPr>
        <w:t>第 一 章</w:t>
      </w:r>
      <w:r>
        <w:rPr>
          <w:rFonts w:hint="eastAsia" w:ascii="黑体" w:hAnsi="黑体" w:eastAsia="黑体" w:cs="黑体"/>
          <w:spacing w:val="-4"/>
          <w:sz w:val="31"/>
          <w:szCs w:val="31"/>
          <w:lang w:val="en-US" w:eastAsia="zh-CN"/>
        </w:rPr>
        <w:t xml:space="preserve">  </w:t>
      </w:r>
      <w:r>
        <w:rPr>
          <w:rFonts w:ascii="黑体" w:hAnsi="黑体" w:eastAsia="黑体" w:cs="黑体"/>
          <w:spacing w:val="-4"/>
          <w:sz w:val="31"/>
          <w:szCs w:val="31"/>
        </w:rPr>
        <w:t>总则</w:t>
      </w:r>
    </w:p>
    <w:p>
      <w:pPr>
        <w:spacing w:line="246" w:lineRule="auto"/>
        <w:rPr>
          <w:rFonts w:ascii="Arial"/>
          <w:sz w:val="24"/>
          <w:szCs w:val="24"/>
        </w:rPr>
      </w:pPr>
    </w:p>
    <w:p>
      <w:pPr>
        <w:spacing w:line="246" w:lineRule="auto"/>
        <w:rPr>
          <w:rFonts w:ascii="Arial"/>
          <w:sz w:val="24"/>
          <w:szCs w:val="24"/>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第一条</w:t>
      </w:r>
      <w:r>
        <w:rPr>
          <w:rFonts w:hint="eastAsia" w:ascii="仿宋" w:hAnsi="仿宋" w:eastAsia="仿宋" w:cs="仿宋"/>
          <w:spacing w:val="20"/>
          <w:sz w:val="31"/>
          <w:szCs w:val="31"/>
          <w:lang w:val="en-US" w:eastAsia="zh-CN"/>
        </w:rPr>
        <w:t xml:space="preserve">  为了规范医疗保障领域信用管理，提高诚信意识和信用水平，维护公民医疗保障合法权益，依据有关法律、法规，结合</w:t>
      </w:r>
      <w:r>
        <w:rPr>
          <w:rFonts w:hint="eastAsia" w:ascii="仿宋" w:hAnsi="仿宋" w:eastAsia="仿宋" w:cs="仿宋"/>
          <w:spacing w:val="20"/>
          <w:sz w:val="31"/>
          <w:szCs w:val="31"/>
          <w:highlight w:val="none"/>
          <w:lang w:val="en-US" w:eastAsia="zh-CN"/>
        </w:rPr>
        <w:t>本市</w:t>
      </w:r>
      <w:r>
        <w:rPr>
          <w:rFonts w:hint="eastAsia" w:ascii="仿宋" w:hAnsi="仿宋" w:eastAsia="仿宋" w:cs="仿宋"/>
          <w:spacing w:val="20"/>
          <w:sz w:val="31"/>
          <w:szCs w:val="31"/>
          <w:lang w:val="en-US" w:eastAsia="zh-CN"/>
        </w:rPr>
        <w:t>实际，制定本办法。</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第二条</w:t>
      </w:r>
      <w:r>
        <w:rPr>
          <w:rFonts w:hint="eastAsia" w:ascii="仿宋" w:hAnsi="仿宋" w:eastAsia="仿宋" w:cs="仿宋"/>
          <w:spacing w:val="20"/>
          <w:sz w:val="31"/>
          <w:szCs w:val="31"/>
          <w:lang w:val="en-US" w:eastAsia="zh-CN"/>
        </w:rPr>
        <w:t xml:space="preserve">  </w:t>
      </w:r>
      <w:r>
        <w:rPr>
          <w:rFonts w:hint="eastAsia" w:ascii="仿宋" w:hAnsi="仿宋" w:eastAsia="仿宋" w:cs="仿宋"/>
          <w:spacing w:val="20"/>
          <w:sz w:val="31"/>
          <w:szCs w:val="31"/>
          <w:highlight w:val="none"/>
          <w:lang w:val="en-US" w:eastAsia="zh-CN"/>
        </w:rPr>
        <w:t>本市</w:t>
      </w:r>
      <w:r>
        <w:rPr>
          <w:rFonts w:hint="eastAsia" w:ascii="仿宋" w:hAnsi="仿宋" w:eastAsia="仿宋" w:cs="仿宋"/>
          <w:spacing w:val="20"/>
          <w:sz w:val="31"/>
          <w:szCs w:val="31"/>
          <w:lang w:val="en-US" w:eastAsia="zh-CN"/>
        </w:rPr>
        <w:t>行政区域内医疗保障信用主体(以下简称“信用 主体”)的医疗保障信用信息采集、信用承诺、评价、发布、结果应用、信用修复等管理活动，适用本办法。</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第三条</w:t>
      </w:r>
      <w:r>
        <w:rPr>
          <w:rFonts w:hint="eastAsia" w:ascii="仿宋" w:hAnsi="仿宋" w:eastAsia="仿宋" w:cs="仿宋"/>
          <w:spacing w:val="20"/>
          <w:sz w:val="31"/>
          <w:szCs w:val="31"/>
          <w:lang w:val="en-US" w:eastAsia="zh-CN"/>
        </w:rPr>
        <w:t xml:space="preserve">  本办法所称医疗保障信用管理，是指医疗保障行政管理部门依法依规运用公共信用综合评价结果和医疗保障领域信用信息，对信用主体进行动态评价，依据评价结果确定信用主体医疗保障信用等级(以下简称"信用等级"),依据信用等级对信用主体实施信用分级分类监管的全过程。</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第四条</w:t>
      </w:r>
      <w:r>
        <w:rPr>
          <w:rFonts w:hint="eastAsia" w:ascii="仿宋" w:hAnsi="仿宋" w:eastAsia="仿宋" w:cs="仿宋"/>
          <w:spacing w:val="20"/>
          <w:sz w:val="31"/>
          <w:szCs w:val="31"/>
          <w:lang w:val="en-US" w:eastAsia="zh-CN"/>
        </w:rPr>
        <w:t xml:space="preserve">  医疗保障信用管理坚持以人民健康为中心，坚持依法依规、公开透明、动态调整、共建共享、保护权益、奖惩结合的原则。不得损害国家和社会公共利益，不得泄露国家秘密、商业秘密和个人隐私。</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第五条</w:t>
      </w:r>
      <w:r>
        <w:rPr>
          <w:rFonts w:hint="eastAsia" w:ascii="仿宋" w:hAnsi="仿宋" w:eastAsia="仿宋" w:cs="仿宋"/>
          <w:spacing w:val="20"/>
          <w:sz w:val="31"/>
          <w:szCs w:val="31"/>
          <w:lang w:val="en-US" w:eastAsia="zh-CN"/>
        </w:rPr>
        <w:t xml:space="preserve">  </w:t>
      </w:r>
      <w:r>
        <w:rPr>
          <w:rFonts w:hint="eastAsia" w:ascii="仿宋" w:hAnsi="仿宋" w:eastAsia="仿宋" w:cs="仿宋"/>
          <w:spacing w:val="20"/>
          <w:sz w:val="31"/>
          <w:szCs w:val="31"/>
          <w:highlight w:val="none"/>
          <w:lang w:val="en-US" w:eastAsia="zh-CN"/>
        </w:rPr>
        <w:t>市级医疗保障部门</w:t>
      </w:r>
      <w:r>
        <w:rPr>
          <w:rFonts w:hint="eastAsia" w:ascii="仿宋" w:hAnsi="仿宋" w:eastAsia="仿宋" w:cs="仿宋"/>
          <w:spacing w:val="20"/>
          <w:sz w:val="31"/>
          <w:szCs w:val="31"/>
          <w:lang w:val="en-US" w:eastAsia="zh-CN"/>
        </w:rPr>
        <w:t>负责全市医疗保障信用管理工作，统筹制度建设、标准制定，开发和维护医疗保障信用评价管理系统，指导和监督全市医疗保障信用管理工作。</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highlight w:val="none"/>
          <w:lang w:val="en-US" w:eastAsia="zh-CN"/>
        </w:rPr>
      </w:pPr>
      <w:r>
        <w:rPr>
          <w:rFonts w:hint="eastAsia" w:ascii="仿宋" w:hAnsi="仿宋" w:eastAsia="仿宋" w:cs="仿宋"/>
          <w:spacing w:val="20"/>
          <w:sz w:val="31"/>
          <w:szCs w:val="31"/>
          <w:highlight w:val="none"/>
          <w:lang w:val="en-US" w:eastAsia="zh-CN"/>
        </w:rPr>
        <w:t>市、县级医疗保障部门负责本行政区域内的医疗保障信用管理工作，组织医疗保障信用管理相关信息的采集、录入、审核，依法依规开展信用评价并做好评价结果的运用和公开等工作。</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highlight w:val="none"/>
          <w:lang w:val="en-US" w:eastAsia="zh-CN"/>
        </w:rPr>
      </w:pPr>
      <w:r>
        <w:rPr>
          <w:rFonts w:hint="eastAsia" w:ascii="仿宋" w:hAnsi="仿宋" w:eastAsia="仿宋" w:cs="仿宋"/>
          <w:spacing w:val="20"/>
          <w:sz w:val="31"/>
          <w:szCs w:val="31"/>
          <w:highlight w:val="none"/>
          <w:lang w:val="en-US" w:eastAsia="zh-CN"/>
        </w:rPr>
        <w:t>县级医疗保障部门按照市(地)医疗保障部门的要求，具体做好本行政区域内的医疗保障信用管理工作。</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highlight w:val="none"/>
          <w:lang w:val="en-US" w:eastAsia="zh-CN"/>
        </w:rPr>
      </w:pPr>
      <w:r>
        <w:rPr>
          <w:rFonts w:hint="eastAsia" w:ascii="仿宋" w:hAnsi="仿宋" w:eastAsia="仿宋" w:cs="仿宋"/>
          <w:spacing w:val="20"/>
          <w:sz w:val="31"/>
          <w:szCs w:val="31"/>
          <w:highlight w:val="none"/>
          <w:lang w:val="en-US" w:eastAsia="zh-CN"/>
        </w:rPr>
        <w:t>医疗保障行政管理部门可授权医疗保障经办机构承担医疗保障信用管理的具体工作，也可委托经国务院征信业监督管理部门许可或备案的第三方信用服务机构开展信用主体的信用评价工作。</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highlight w:val="none"/>
          <w:lang w:val="en-US" w:eastAsia="zh-CN"/>
        </w:rPr>
        <w:t>第六条</w:t>
      </w:r>
      <w:r>
        <w:rPr>
          <w:rFonts w:hint="eastAsia" w:ascii="仿宋" w:hAnsi="仿宋" w:eastAsia="仿宋" w:cs="仿宋"/>
          <w:spacing w:val="20"/>
          <w:sz w:val="31"/>
          <w:szCs w:val="31"/>
          <w:highlight w:val="none"/>
          <w:lang w:val="en-US" w:eastAsia="zh-CN"/>
        </w:rPr>
        <w:t xml:space="preserve">  县级以上医疗保障部门</w:t>
      </w:r>
      <w:r>
        <w:rPr>
          <w:rFonts w:hint="eastAsia" w:ascii="仿宋" w:hAnsi="仿宋" w:eastAsia="仿宋" w:cs="仿宋"/>
          <w:spacing w:val="20"/>
          <w:sz w:val="31"/>
          <w:szCs w:val="31"/>
          <w:lang w:val="en-US" w:eastAsia="zh-CN"/>
        </w:rPr>
        <w:t>应当建立以信用为基础的新型医疗保障监管机制，加强监管对象诚信教育，推行信用承诺制，建立监管对象信用管理档案，实施信用分级分类监管，依法依规实施守信激励和失信惩戒措施。</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第七条</w:t>
      </w:r>
      <w:r>
        <w:rPr>
          <w:rFonts w:hint="eastAsia" w:ascii="仿宋" w:hAnsi="仿宋" w:eastAsia="仿宋" w:cs="仿宋"/>
          <w:spacing w:val="20"/>
          <w:sz w:val="31"/>
          <w:szCs w:val="31"/>
          <w:lang w:val="en-US" w:eastAsia="zh-CN"/>
        </w:rPr>
        <w:t xml:space="preserve">  县级以上</w:t>
      </w:r>
      <w:r>
        <w:rPr>
          <w:rFonts w:hint="eastAsia" w:ascii="仿宋" w:hAnsi="仿宋" w:eastAsia="仿宋" w:cs="仿宋"/>
          <w:spacing w:val="20"/>
          <w:sz w:val="31"/>
          <w:szCs w:val="31"/>
          <w:highlight w:val="none"/>
          <w:lang w:val="en-US" w:eastAsia="zh-CN"/>
        </w:rPr>
        <w:t>医疗保障部门</w:t>
      </w:r>
      <w:r>
        <w:rPr>
          <w:rFonts w:hint="eastAsia" w:ascii="仿宋" w:hAnsi="仿宋" w:eastAsia="仿宋" w:cs="仿宋"/>
          <w:spacing w:val="20"/>
          <w:sz w:val="31"/>
          <w:szCs w:val="31"/>
          <w:lang w:val="en-US" w:eastAsia="zh-CN"/>
        </w:rPr>
        <w:t>应当建立失信行为举报制度，构建医疗保障领域信用共建、共治格局。</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87"/>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pacing w:val="9"/>
          <w:sz w:val="31"/>
          <w:szCs w:val="31"/>
          <w:lang w:val="en-US" w:eastAsia="zh-CN"/>
        </w:rPr>
      </w:pPr>
      <w:r>
        <w:rPr>
          <w:rFonts w:hint="eastAsia" w:ascii="黑体" w:hAnsi="黑体" w:eastAsia="黑体" w:cs="黑体"/>
          <w:spacing w:val="9"/>
          <w:sz w:val="31"/>
          <w:szCs w:val="31"/>
          <w:lang w:val="en-US" w:eastAsia="zh-CN"/>
        </w:rPr>
        <w:t>第二章  医疗保障信用主体</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第八条</w:t>
      </w:r>
      <w:r>
        <w:rPr>
          <w:rFonts w:hint="eastAsia" w:ascii="仿宋" w:hAnsi="仿宋" w:eastAsia="仿宋" w:cs="仿宋"/>
          <w:spacing w:val="20"/>
          <w:sz w:val="31"/>
          <w:szCs w:val="31"/>
          <w:lang w:val="en-US" w:eastAsia="zh-CN"/>
        </w:rPr>
        <w:t xml:space="preserve">  本办法所称医疗保障信用主体，是指具有完全民事行为能力的自然人、法人和非法人组织，在医疗保障活动中履行法定职责、法定义务或者约定义务的状态，主要分为机构和人员两类。</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(一)机构类信用主体</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1.基本医疗保险定点医疗机构；</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2.基本医疗保险定点零售药店；</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3.基本医疗保险参保单位；</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4.承办医疗保障经办业务的第三方机构；</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5.参与药械集中采购的医药生产和流通企业；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6.其他参与医疗保障活动的机构。</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(二)人员类信用主体</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1.提供医疗保障服务的医师、护士(师)、药师等专业从业人员；</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2.参保人员；</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default" w:ascii="仿宋" w:hAnsi="仿宋" w:eastAsia="仿宋" w:cs="仿宋"/>
          <w:spacing w:val="20"/>
          <w:sz w:val="31"/>
          <w:szCs w:val="31"/>
          <w:highlight w:val="none"/>
          <w:lang w:val="en-US" w:eastAsia="zh-CN"/>
        </w:rPr>
      </w:pPr>
      <w:r>
        <w:rPr>
          <w:rFonts w:hint="eastAsia" w:ascii="仿宋" w:hAnsi="仿宋" w:eastAsia="仿宋" w:cs="仿宋"/>
          <w:spacing w:val="20"/>
          <w:sz w:val="31"/>
          <w:szCs w:val="31"/>
          <w:highlight w:val="none"/>
          <w:lang w:val="en-US" w:eastAsia="zh-CN"/>
        </w:rPr>
        <w:t>3.医保定点医疗机构法定代表人、主要负责人或实际控股人；</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4.其他参与医疗保障活动的个人。</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第九条</w:t>
      </w:r>
      <w:r>
        <w:rPr>
          <w:rFonts w:hint="eastAsia" w:ascii="仿宋" w:hAnsi="仿宋" w:eastAsia="仿宋" w:cs="仿宋"/>
          <w:spacing w:val="20"/>
          <w:sz w:val="31"/>
          <w:szCs w:val="31"/>
          <w:lang w:val="en-US" w:eastAsia="zh-CN"/>
        </w:rPr>
        <w:t xml:space="preserve">  信用主体应当加强诚信自律，自觉遵守相关法律法 规规定和服务协议约定，依法依规向医疗保障行政管理部门及其授权或委托的机构提供有关数据信息，履行相关义务。</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 xml:space="preserve">第十条 </w:t>
      </w:r>
      <w:r>
        <w:rPr>
          <w:rFonts w:hint="eastAsia" w:ascii="仿宋" w:hAnsi="仿宋" w:eastAsia="仿宋" w:cs="仿宋"/>
          <w:spacing w:val="20"/>
          <w:sz w:val="31"/>
          <w:szCs w:val="31"/>
          <w:lang w:val="en-US" w:eastAsia="zh-CN"/>
        </w:rPr>
        <w:t xml:space="preserve"> 各级医疗保障部门应当建立健全信用承诺制度，公布实行信用承诺制的事项清单，承诺对象在办理清单事项时可以书面形式公开作出承诺。申请人有较严重不良信用记录或存在曾作出虚假信用承诺的，在信用修复前不适用信用承诺制。</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县级以上医疗保障部门可以组织各类信用主体签署守信承诺书。</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第十一条</w:t>
      </w:r>
      <w:r>
        <w:rPr>
          <w:rFonts w:hint="eastAsia" w:ascii="仿宋" w:hAnsi="仿宋" w:eastAsia="仿宋" w:cs="仿宋"/>
          <w:spacing w:val="20"/>
          <w:sz w:val="31"/>
          <w:szCs w:val="31"/>
          <w:lang w:val="en-US" w:eastAsia="zh-CN"/>
        </w:rPr>
        <w:t xml:space="preserve">  信用主体书面信用承诺应当记入信用档案，作为事中、事后监管的依据，对不履行承诺的申请人适当提高抽查比例和频次，依法依规实施惩戒。</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857"/>
        <w:jc w:val="both"/>
        <w:textAlignment w:val="baseline"/>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第三章 信用档案</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第十二条</w:t>
      </w:r>
      <w:r>
        <w:rPr>
          <w:rFonts w:hint="eastAsia" w:ascii="仿宋" w:hAnsi="仿宋" w:eastAsia="仿宋" w:cs="仿宋"/>
          <w:spacing w:val="20"/>
          <w:sz w:val="31"/>
          <w:szCs w:val="31"/>
          <w:lang w:val="en-US" w:eastAsia="zh-CN"/>
        </w:rPr>
        <w:t xml:space="preserve">  县级以上医疗保障部门应当按照信用主体分类建立医疗保障信用档案，机构类信用档案以统一社会信用代码作为标识，人员类信用档案以身份证号码作为标识。</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第十三条</w:t>
      </w:r>
      <w:r>
        <w:rPr>
          <w:rFonts w:hint="eastAsia" w:ascii="仿宋" w:hAnsi="仿宋" w:eastAsia="仿宋" w:cs="仿宋"/>
          <w:spacing w:val="20"/>
          <w:sz w:val="31"/>
          <w:szCs w:val="31"/>
          <w:lang w:val="en-US" w:eastAsia="zh-CN"/>
        </w:rPr>
        <w:t xml:space="preserve">  信用主体信用档案包括信用主体的基础信息、守信信息、失信信息、信用评价等级结果等，信用档案应真实反映信用主体的信用状况。信用档案信息保持动态更新。</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第十四条</w:t>
      </w:r>
      <w:r>
        <w:rPr>
          <w:rFonts w:hint="eastAsia" w:ascii="仿宋" w:hAnsi="仿宋" w:eastAsia="仿宋" w:cs="仿宋"/>
          <w:spacing w:val="20"/>
          <w:sz w:val="31"/>
          <w:szCs w:val="31"/>
          <w:lang w:val="en-US" w:eastAsia="zh-CN"/>
        </w:rPr>
        <w:t xml:space="preserve">  机构类信用主体的基础信息包括单位性质、名称、法定代表人和统一社会信用代码等。人员类信用主体的基础信息包括姓名和居民身份证号码、出入境证件号码、执业注册信息等。</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第十五条</w:t>
      </w:r>
      <w:r>
        <w:rPr>
          <w:rFonts w:hint="eastAsia" w:ascii="仿宋" w:hAnsi="仿宋" w:eastAsia="仿宋" w:cs="仿宋"/>
          <w:spacing w:val="20"/>
          <w:sz w:val="31"/>
          <w:szCs w:val="31"/>
          <w:lang w:val="en-US" w:eastAsia="zh-CN"/>
        </w:rPr>
        <w:t xml:space="preserve">  信用主体的守信信息指对信用主体信用状况构成正面影响的信用信息，包括以下内容：</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(一)县级以上人民政府及其行政管理部门、法律法规授权 具有管理公共事务职能的组织按规定程序认定信用主体与诚信相关的表彰、奖励等信息；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(二)遵守法律、法规和政策，履行医疗保障服务协议约定信息；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(三)自觉信守承诺信息；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(四)法律、法规、规章等规定应当计入信用档案的其他守信信息。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第十六条</w:t>
      </w:r>
      <w:r>
        <w:rPr>
          <w:rFonts w:hint="eastAsia" w:ascii="仿宋" w:hAnsi="仿宋" w:eastAsia="仿宋" w:cs="仿宋"/>
          <w:spacing w:val="20"/>
          <w:sz w:val="31"/>
          <w:szCs w:val="31"/>
          <w:lang w:val="en-US" w:eastAsia="zh-CN"/>
        </w:rPr>
        <w:t xml:space="preserve">  信用主体的失信信息指对信用主体信用状况构成负面影响的信用信息，包括以下内容：</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(一)违反医疗保障有关法律、法规、规章或者服务协议， 受到县级以上医疗保障行政管理部门行政处罚或者医疗保障经办机构协议处理等相关信息；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(二)违反价格、招标和挂网规则，违背守信承诺和购销合同，在医药购销中存在给予回扣或其他不正当利益等情形，扰乱药品或医用耗材集中采购秩序等相关信息；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(三)未在法定期限内申请行政复议或诉讼，或者复议诉讼后维持原决定，拒不履行医疗保障行政处罚或行政决定的信息；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(四)法律、法规、规章规定的其他失信行为信息。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第十七条</w:t>
      </w:r>
      <w:r>
        <w:rPr>
          <w:rFonts w:hint="eastAsia" w:ascii="仿宋" w:hAnsi="仿宋" w:eastAsia="仿宋" w:cs="仿宋"/>
          <w:spacing w:val="20"/>
          <w:sz w:val="31"/>
          <w:szCs w:val="31"/>
          <w:lang w:val="en-US" w:eastAsia="zh-CN"/>
        </w:rPr>
        <w:t xml:space="preserve">  </w:t>
      </w:r>
      <w:r>
        <w:rPr>
          <w:rFonts w:hint="eastAsia" w:ascii="仿宋" w:hAnsi="仿宋" w:eastAsia="仿宋" w:cs="仿宋"/>
          <w:spacing w:val="20"/>
          <w:sz w:val="31"/>
          <w:szCs w:val="31"/>
          <w:highlight w:val="none"/>
          <w:lang w:val="en-US" w:eastAsia="zh-CN"/>
        </w:rPr>
        <w:t>市级</w:t>
      </w:r>
      <w:r>
        <w:rPr>
          <w:rFonts w:hint="eastAsia" w:ascii="仿宋" w:hAnsi="仿宋" w:eastAsia="仿宋" w:cs="仿宋"/>
          <w:spacing w:val="20"/>
          <w:sz w:val="31"/>
          <w:szCs w:val="31"/>
          <w:lang w:val="en-US" w:eastAsia="zh-CN"/>
        </w:rPr>
        <w:t>医疗保障部门依托医疗保障信用评价管理系统，以数据和应用标准化为原则，围绕信用管理的全流程，整合医疗保障领域各种信用信息资源，健全医疗保障信用信息数据库，设立信用主体的信用档案、管理模块，实现信用信息的电子化采集、记录、存储、应用。</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857"/>
        <w:jc w:val="both"/>
        <w:textAlignment w:val="baseline"/>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第四章  信用信息归集</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第十八条</w:t>
      </w:r>
      <w:r>
        <w:rPr>
          <w:rFonts w:hint="eastAsia" w:ascii="仿宋" w:hAnsi="仿宋" w:eastAsia="仿宋" w:cs="仿宋"/>
          <w:spacing w:val="20"/>
          <w:sz w:val="31"/>
          <w:szCs w:val="31"/>
          <w:lang w:val="en-US" w:eastAsia="zh-CN"/>
        </w:rPr>
        <w:t xml:space="preserve">  医疗保障信用信息是指信用主体在履行医疗保障法律、法规、医保服务协议及其他社会活动中产生的涉及信用主体信用状况的信息，包括信用主体的守信信息和失信信息。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第十九条</w:t>
      </w:r>
      <w:r>
        <w:rPr>
          <w:rFonts w:hint="eastAsia" w:ascii="仿宋" w:hAnsi="仿宋" w:eastAsia="仿宋" w:cs="仿宋"/>
          <w:spacing w:val="20"/>
          <w:sz w:val="31"/>
          <w:szCs w:val="31"/>
          <w:lang w:val="en-US" w:eastAsia="zh-CN"/>
        </w:rPr>
        <w:t xml:space="preserve">  医疗保障信用信息采集方式包括：</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(一)信用主体按有关规定要求提供；</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(二)医保部门从医保智能审核、智能监控、日常监管、专项行动、协议管理等获取；</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(三)医保部门从各级公共信用信息平台、国家企业信用信息公示系统等共享；</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(四)其他符合法律法规规定的采集途径。</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第二十条</w:t>
      </w:r>
      <w:r>
        <w:rPr>
          <w:rFonts w:hint="eastAsia" w:ascii="仿宋" w:hAnsi="仿宋" w:eastAsia="仿宋" w:cs="仿宋"/>
          <w:spacing w:val="20"/>
          <w:sz w:val="31"/>
          <w:szCs w:val="31"/>
          <w:lang w:val="en-US" w:eastAsia="zh-CN"/>
        </w:rPr>
        <w:t xml:space="preserve">  信用主体应当依法依规向医疗保障部门提供相关信用信息，并对提供信息的真实性、完整性、准确性负责，不得隐匿、虚构、篡改。</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第二十一条</w:t>
      </w:r>
      <w:r>
        <w:rPr>
          <w:rFonts w:hint="eastAsia" w:ascii="仿宋" w:hAnsi="仿宋" w:eastAsia="仿宋" w:cs="仿宋"/>
          <w:spacing w:val="20"/>
          <w:sz w:val="31"/>
          <w:szCs w:val="31"/>
          <w:lang w:val="en-US" w:eastAsia="zh-CN"/>
        </w:rPr>
        <w:t xml:space="preserve">  医疗保障部门应当与有关部门建立信用信息共建共享机制，实现互联互通、数据共享，推动医疗保障信用与其他信用联动管理。</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numPr>
          <w:ilvl w:val="0"/>
          <w:numId w:val="1"/>
        </w:numPr>
        <w:kinsoku w:val="0"/>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pacing w:val="7"/>
          <w:sz w:val="31"/>
          <w:szCs w:val="31"/>
          <w:lang w:val="en-US" w:eastAsia="zh-CN"/>
        </w:rPr>
      </w:pPr>
      <w:r>
        <w:rPr>
          <w:rFonts w:hint="eastAsia" w:ascii="黑体" w:hAnsi="黑体" w:eastAsia="黑体" w:cs="黑体"/>
          <w:spacing w:val="7"/>
          <w:sz w:val="31"/>
          <w:szCs w:val="31"/>
          <w:lang w:val="en-US" w:eastAsia="zh-CN"/>
        </w:rPr>
        <w:t>信用评价与发布</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87"/>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第二十二条</w:t>
      </w:r>
      <w:r>
        <w:rPr>
          <w:rFonts w:hint="eastAsia" w:ascii="仿宋" w:hAnsi="仿宋" w:eastAsia="仿宋" w:cs="仿宋"/>
          <w:spacing w:val="20"/>
          <w:sz w:val="31"/>
          <w:szCs w:val="31"/>
          <w:lang w:val="en-US" w:eastAsia="zh-CN"/>
        </w:rPr>
        <w:t xml:space="preserve">  </w:t>
      </w:r>
      <w:r>
        <w:rPr>
          <w:rFonts w:hint="eastAsia" w:ascii="仿宋" w:hAnsi="仿宋" w:eastAsia="仿宋" w:cs="仿宋"/>
          <w:spacing w:val="20"/>
          <w:sz w:val="31"/>
          <w:szCs w:val="31"/>
          <w:highlight w:val="none"/>
          <w:lang w:val="en-US" w:eastAsia="zh-CN"/>
        </w:rPr>
        <w:t>市级</w:t>
      </w:r>
      <w:r>
        <w:rPr>
          <w:rFonts w:hint="eastAsia" w:ascii="仿宋" w:hAnsi="仿宋" w:eastAsia="仿宋" w:cs="仿宋"/>
          <w:spacing w:val="20"/>
          <w:sz w:val="31"/>
          <w:szCs w:val="31"/>
          <w:lang w:val="en-US" w:eastAsia="zh-CN"/>
        </w:rPr>
        <w:t>医疗保障部门负责组织制定</w:t>
      </w:r>
      <w:r>
        <w:rPr>
          <w:rFonts w:hint="eastAsia" w:ascii="仿宋" w:hAnsi="仿宋" w:eastAsia="仿宋" w:cs="仿宋"/>
          <w:spacing w:val="20"/>
          <w:sz w:val="31"/>
          <w:szCs w:val="31"/>
          <w:highlight w:val="none"/>
          <w:lang w:val="en-US" w:eastAsia="zh-CN"/>
        </w:rPr>
        <w:t>本市</w:t>
      </w:r>
      <w:r>
        <w:rPr>
          <w:rFonts w:hint="eastAsia" w:ascii="仿宋" w:hAnsi="仿宋" w:eastAsia="仿宋" w:cs="仿宋"/>
          <w:spacing w:val="20"/>
          <w:sz w:val="31"/>
          <w:szCs w:val="31"/>
          <w:lang w:val="en-US" w:eastAsia="zh-CN"/>
        </w:rPr>
        <w:t>医疗保障领域信用评价办法，明确医疗保障信用指标体系、信用评价方式、信用等级等内容。</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第二十三条</w:t>
      </w:r>
      <w:r>
        <w:rPr>
          <w:rFonts w:hint="eastAsia" w:ascii="仿宋" w:hAnsi="仿宋" w:eastAsia="仿宋" w:cs="仿宋"/>
          <w:spacing w:val="20"/>
          <w:sz w:val="31"/>
          <w:szCs w:val="31"/>
          <w:lang w:val="en-US" w:eastAsia="zh-CN"/>
        </w:rPr>
        <w:t xml:space="preserve">  信用指标分为一级指标、二级指标和三级指标。针对不同信用主体，确定信用指标及指标权重，综合形成信用指标体系。各类信用主体评价指标另行制定。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第二十四条</w:t>
      </w:r>
      <w:r>
        <w:rPr>
          <w:rFonts w:hint="eastAsia" w:ascii="仿宋" w:hAnsi="仿宋" w:eastAsia="仿宋" w:cs="仿宋"/>
          <w:spacing w:val="20"/>
          <w:sz w:val="31"/>
          <w:szCs w:val="31"/>
          <w:lang w:val="en-US" w:eastAsia="zh-CN"/>
        </w:rPr>
        <w:t xml:space="preserve">  信用评价采用“千分制”评分。根据评分情况，将信用主体划分为A 级(评分≥850)、 B 级(790≤评分&lt;850)、 C 级(730≤评分&lt;790)、 D 级(670≤评分&lt;730)、 E 级(评分&lt;670)五个等级。</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第二十五条</w:t>
      </w:r>
      <w:r>
        <w:rPr>
          <w:rFonts w:hint="eastAsia" w:ascii="仿宋" w:hAnsi="仿宋" w:eastAsia="仿宋" w:cs="仿宋"/>
          <w:spacing w:val="20"/>
          <w:sz w:val="31"/>
          <w:szCs w:val="31"/>
          <w:lang w:val="en-US" w:eastAsia="zh-CN"/>
        </w:rPr>
        <w:t xml:space="preserve">  市级医疗保障部门应当每年组织开展医疗保障信用评价工作，评价周期为一年。信用评价应当按照信用评价办法，通过医疗保障信用评价管理系统对信用主体进行综合评价，自动生成信用评价结果。</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ab/>
      </w:r>
      <w:r>
        <w:rPr>
          <w:rFonts w:hint="eastAsia" w:ascii="仿宋" w:hAnsi="仿宋" w:eastAsia="仿宋" w:cs="仿宋"/>
          <w:b/>
          <w:bCs/>
          <w:spacing w:val="20"/>
          <w:sz w:val="31"/>
          <w:szCs w:val="31"/>
          <w:lang w:val="en-US" w:eastAsia="zh-CN"/>
        </w:rPr>
        <w:t>第二十六条</w:t>
      </w:r>
      <w:r>
        <w:rPr>
          <w:rFonts w:hint="eastAsia" w:ascii="仿宋" w:hAnsi="仿宋" w:eastAsia="仿宋" w:cs="仿宋"/>
          <w:spacing w:val="20"/>
          <w:sz w:val="31"/>
          <w:szCs w:val="31"/>
          <w:lang w:val="en-US" w:eastAsia="zh-CN"/>
        </w:rPr>
        <w:t xml:space="preserve">  信用主体对实时信用评价结果有异议的，可在评价结果发布之日起5个工作日内，通过线上或者线下途径，向市医疗保障部门提出异议申请并提供相关证明材料。受理单位应在3个工作日内处理完毕，鉴定和专家评审所需时间不计入异议处理时间。</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经核查确认异议申请理由成立的，应当及时更正，并告知异 议申请人；异议申请理由不成立、决定不予更正的，应当告知异议申请人并说明理由。</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第二十七条</w:t>
      </w:r>
      <w:r>
        <w:rPr>
          <w:rFonts w:hint="eastAsia" w:ascii="仿宋" w:hAnsi="仿宋" w:eastAsia="仿宋" w:cs="仿宋"/>
          <w:spacing w:val="20"/>
          <w:sz w:val="31"/>
          <w:szCs w:val="31"/>
          <w:lang w:val="en-US" w:eastAsia="zh-CN"/>
        </w:rPr>
        <w:t xml:space="preserve">  信用主体对医疗保障信用评价初评结果无异议或者完成异议处理的，应形成正式的医疗保障信用评价结果，并计入信用主体的信用档案。</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第二十八条</w:t>
      </w:r>
      <w:r>
        <w:rPr>
          <w:rFonts w:hint="eastAsia" w:ascii="仿宋" w:hAnsi="仿宋" w:eastAsia="仿宋" w:cs="仿宋"/>
          <w:spacing w:val="20"/>
          <w:sz w:val="31"/>
          <w:szCs w:val="31"/>
          <w:lang w:val="en-US" w:eastAsia="zh-CN"/>
        </w:rPr>
        <w:t xml:space="preserve">  各级医疗保障部门应当通过网站、服务窗口、移动终端和自助终端等渠道为信用主体提供信用评价结果实时查询服务。</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第二十九条</w:t>
      </w:r>
      <w:r>
        <w:rPr>
          <w:rFonts w:hint="eastAsia" w:ascii="仿宋" w:hAnsi="仿宋" w:eastAsia="仿宋" w:cs="仿宋"/>
          <w:spacing w:val="20"/>
          <w:sz w:val="31"/>
          <w:szCs w:val="31"/>
          <w:lang w:val="en-US" w:eastAsia="zh-CN"/>
        </w:rPr>
        <w:t xml:space="preserve">  机构类信用主体的医疗保障信用评价结果由市医疗保障部门统一发布。</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pacing w:val="16"/>
          <w:sz w:val="31"/>
          <w:szCs w:val="31"/>
          <w:lang w:val="en-US" w:eastAsia="zh-CN"/>
        </w:rPr>
      </w:pPr>
      <w:r>
        <w:rPr>
          <w:rFonts w:hint="eastAsia" w:ascii="黑体" w:hAnsi="黑体" w:eastAsia="黑体" w:cs="黑体"/>
          <w:spacing w:val="16"/>
          <w:sz w:val="31"/>
          <w:szCs w:val="31"/>
          <w:lang w:val="en-US" w:eastAsia="zh-CN"/>
        </w:rPr>
        <w:t>第六章  信用结果应用</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87"/>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87" w:firstLine="700" w:firstLineChars="200"/>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 xml:space="preserve"> </w:t>
      </w:r>
      <w:r>
        <w:rPr>
          <w:rFonts w:hint="eastAsia" w:ascii="仿宋" w:hAnsi="仿宋" w:eastAsia="仿宋" w:cs="仿宋"/>
          <w:b/>
          <w:bCs/>
          <w:spacing w:val="20"/>
          <w:sz w:val="31"/>
          <w:szCs w:val="31"/>
          <w:lang w:val="en-US" w:eastAsia="zh-CN"/>
        </w:rPr>
        <w:t>第三十条</w:t>
      </w:r>
      <w:r>
        <w:rPr>
          <w:rFonts w:hint="eastAsia" w:ascii="仿宋" w:hAnsi="仿宋" w:eastAsia="仿宋" w:cs="仿宋"/>
          <w:spacing w:val="20"/>
          <w:sz w:val="31"/>
          <w:szCs w:val="31"/>
          <w:lang w:val="en-US" w:eastAsia="zh-CN"/>
        </w:rPr>
        <w:t xml:space="preserve">  县级以上医疗保障部门应当根据医疗保障信用评价结果，实施分级分类监管。</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第三十一条</w:t>
      </w:r>
      <w:r>
        <w:rPr>
          <w:rFonts w:hint="eastAsia" w:ascii="仿宋" w:hAnsi="仿宋" w:eastAsia="仿宋" w:cs="仿宋"/>
          <w:spacing w:val="20"/>
          <w:sz w:val="31"/>
          <w:szCs w:val="31"/>
          <w:lang w:val="en-US" w:eastAsia="zh-CN"/>
        </w:rPr>
        <w:t xml:space="preserve">  县级以上医疗保障部门对信用评价结果为 A 级、 B 级的信用主体，可以给予以下激励：</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highlight w:val="none"/>
          <w:lang w:val="en-US" w:eastAsia="zh-CN"/>
        </w:rPr>
      </w:pPr>
      <w:r>
        <w:rPr>
          <w:rFonts w:hint="eastAsia" w:ascii="仿宋" w:hAnsi="仿宋" w:eastAsia="仿宋" w:cs="仿宋"/>
          <w:spacing w:val="20"/>
          <w:sz w:val="31"/>
          <w:szCs w:val="31"/>
          <w:highlight w:val="none"/>
          <w:lang w:val="en-US" w:eastAsia="zh-CN"/>
        </w:rPr>
        <w:t>(一)医疗保障部门给予简化程序、“绿色通道”等便利化服务措施，如加快医保费用核拨、定点协议签订办理速度。</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(二)对机构类信用主体，在日常监督检查或抽查中减少检 查频次；降低医疗保障考核金比例；提高医疗保障基金预拨付额度等措施；</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(三)在药品和医用耗材招标投标活动中，对守信信用主体给予加分、提升等次等措施；</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(四)在与医疗保障有关的政策、项目支持中，同等条件下列为优先选择对象或者予以重点支持；</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(五)鼓励金融机构开发信贷优惠、融资便利等守信激励产品，对守信信用主体给予优惠和便利，降低市场交易成本。</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(六)在医疗保障行政管理部门门户网站或其他媒体进行宣传推介；</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(七)法律、法规、国家有关管理部门和本市规定的其他激励措施。</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第三十二条</w:t>
      </w:r>
      <w:r>
        <w:rPr>
          <w:rFonts w:hint="eastAsia" w:ascii="仿宋" w:hAnsi="仿宋" w:eastAsia="仿宋" w:cs="仿宋"/>
          <w:spacing w:val="20"/>
          <w:sz w:val="31"/>
          <w:szCs w:val="31"/>
          <w:lang w:val="en-US" w:eastAsia="zh-CN"/>
        </w:rPr>
        <w:t xml:space="preserve">  县级以上医疗保障部门对信用评价结果为D级、E级的信用主体，可采取以下措施：</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(一)警示约谈，要求限期整改；</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(二)列为重点监控对象和监督检查对象，作为日常检查或者抽查的重点，增加检查频次；</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(三)增加医疗保障考核金比例，降低医疗保障基金预拨付额度；</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(四)依托集中采购平台向采购方提示风险信息；</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(五)法律、法规、国家有关管理部门和本市规定的其他措施。</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第三十三条</w:t>
      </w:r>
      <w:r>
        <w:rPr>
          <w:rFonts w:hint="eastAsia" w:ascii="仿宋" w:hAnsi="仿宋" w:eastAsia="仿宋" w:cs="仿宋"/>
          <w:spacing w:val="20"/>
          <w:sz w:val="31"/>
          <w:szCs w:val="31"/>
          <w:lang w:val="en-US" w:eastAsia="zh-CN"/>
        </w:rPr>
        <w:t xml:space="preserve">  信用主体发生骗取医疗保障基金支出、造成医疗保障基金损失等失信行为时，应及时记录，降低其信用等级，并依法依规实施失信惩戒。信用主体欺诈骗保情节严重的，依法依规纳入医疗保障领域失信联合惩戒对象名单。</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第三十四条</w:t>
      </w:r>
      <w:r>
        <w:rPr>
          <w:rFonts w:hint="eastAsia" w:ascii="仿宋" w:hAnsi="仿宋" w:eastAsia="仿宋" w:cs="仿宋"/>
          <w:spacing w:val="20"/>
          <w:sz w:val="31"/>
          <w:szCs w:val="31"/>
          <w:lang w:val="en-US" w:eastAsia="zh-CN"/>
        </w:rPr>
        <w:t xml:space="preserve">  </w:t>
      </w:r>
      <w:r>
        <w:rPr>
          <w:rFonts w:hint="eastAsia" w:ascii="仿宋" w:hAnsi="仿宋" w:eastAsia="仿宋" w:cs="仿宋"/>
          <w:spacing w:val="20"/>
          <w:sz w:val="31"/>
          <w:szCs w:val="31"/>
          <w:highlight w:val="none"/>
          <w:lang w:val="en-US" w:eastAsia="zh-CN"/>
        </w:rPr>
        <w:t>市、县（市）</w:t>
      </w:r>
      <w:r>
        <w:rPr>
          <w:rFonts w:hint="eastAsia" w:ascii="仿宋" w:hAnsi="仿宋" w:eastAsia="仿宋" w:cs="仿宋"/>
          <w:spacing w:val="20"/>
          <w:sz w:val="31"/>
          <w:szCs w:val="31"/>
          <w:lang w:val="en-US" w:eastAsia="zh-CN"/>
        </w:rPr>
        <w:t>医疗保障部门应当以正向激励为主导，探索建立人员类信用主体诚信积分管理应用制度。</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center"/>
        <w:textAlignment w:val="baseline"/>
        <w:rPr>
          <w:rFonts w:hint="eastAsia" w:ascii="黑体" w:hAnsi="黑体" w:eastAsia="黑体" w:cs="黑体"/>
          <w:spacing w:val="9"/>
          <w:sz w:val="31"/>
          <w:szCs w:val="31"/>
          <w:lang w:val="en-US" w:eastAsia="zh-CN"/>
        </w:rPr>
      </w:pPr>
      <w:r>
        <w:rPr>
          <w:rFonts w:hint="eastAsia" w:ascii="黑体" w:hAnsi="黑体" w:eastAsia="黑体" w:cs="黑体"/>
          <w:spacing w:val="9"/>
          <w:sz w:val="31"/>
          <w:szCs w:val="31"/>
          <w:lang w:val="en-US" w:eastAsia="zh-CN"/>
        </w:rPr>
        <w:t>第七章  信用修复</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87"/>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第三十五条</w:t>
      </w:r>
      <w:r>
        <w:rPr>
          <w:rFonts w:hint="eastAsia" w:ascii="仿宋" w:hAnsi="仿宋" w:eastAsia="仿宋" w:cs="仿宋"/>
          <w:spacing w:val="20"/>
          <w:sz w:val="31"/>
          <w:szCs w:val="31"/>
          <w:lang w:val="en-US" w:eastAsia="zh-CN"/>
        </w:rPr>
        <w:t xml:space="preserve">  失信主体依法纠正失信行为、履行完毕法定责任或者约定义务、消除不利影响的，可以向作出失信行为认定的医疗保障部门申请信用修复。</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失信主体向作出失信行为认定的医疗保障部门提出信用修复申请时应当提交下列材料：</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(一)信用修复申请表；</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(二)信用修复承诺书；</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(三)有效身份证件；</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(四)违法违规行为纠正、整改情况的相关证明材料。</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第三十六条</w:t>
      </w:r>
      <w:r>
        <w:rPr>
          <w:rFonts w:hint="eastAsia" w:ascii="仿宋" w:hAnsi="仿宋" w:eastAsia="仿宋" w:cs="仿宋"/>
          <w:spacing w:val="20"/>
          <w:sz w:val="31"/>
          <w:szCs w:val="31"/>
          <w:lang w:val="en-US" w:eastAsia="zh-CN"/>
        </w:rPr>
        <w:t xml:space="preserve">  失信主体有以下情形之一的，不予信用修复：</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(一)被认定为一般失信行为之日起未满3个月的；被认定为严重失信行为之日起未满1年的。</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(二)失信主体信用修复期限内，再次发生同类失信行为的；</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(三)依法依规暂不适宜实施信用修复的其他失信行为。</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第三十七条</w:t>
      </w:r>
      <w:r>
        <w:rPr>
          <w:rFonts w:hint="eastAsia" w:ascii="仿宋" w:hAnsi="仿宋" w:eastAsia="仿宋" w:cs="仿宋"/>
          <w:spacing w:val="20"/>
          <w:sz w:val="31"/>
          <w:szCs w:val="31"/>
          <w:lang w:val="en-US" w:eastAsia="zh-CN"/>
        </w:rPr>
        <w:t xml:space="preserve">  作出失信行为认定的医疗保障部门应当在受理信用主体信用修复申请后10个工作日内作出处理意见，情况复杂的可以延长至20个工作日。对于符合信用修复条件的按程序修复，在官方网站进行公示，公示期限为5个工作日，公示期满无异议的，予以信用修复，并书面告知。对于不符合信用修复条件的，不予修复，并书面告知。</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3461"/>
        <w:jc w:val="both"/>
        <w:textAlignment w:val="baseline"/>
        <w:rPr>
          <w:rFonts w:hint="eastAsia" w:ascii="黑体" w:hAnsi="黑体" w:eastAsia="黑体" w:cs="黑体"/>
          <w:spacing w:val="9"/>
          <w:sz w:val="31"/>
          <w:szCs w:val="31"/>
          <w:lang w:val="en-US" w:eastAsia="zh-CN"/>
        </w:rPr>
      </w:pPr>
      <w:r>
        <w:rPr>
          <w:rFonts w:hint="eastAsia" w:ascii="黑体" w:hAnsi="黑体" w:eastAsia="黑体" w:cs="黑体"/>
          <w:spacing w:val="9"/>
          <w:sz w:val="31"/>
          <w:szCs w:val="31"/>
          <w:lang w:val="en-US" w:eastAsia="zh-CN"/>
        </w:rPr>
        <w:t>第 八 章  附 则</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87"/>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第三十八条</w:t>
      </w:r>
      <w:r>
        <w:rPr>
          <w:rFonts w:hint="eastAsia" w:ascii="仿宋" w:hAnsi="仿宋" w:eastAsia="仿宋" w:cs="仿宋"/>
          <w:spacing w:val="20"/>
          <w:sz w:val="31"/>
          <w:szCs w:val="31"/>
          <w:lang w:val="en-US" w:eastAsia="zh-CN"/>
        </w:rPr>
        <w:t xml:space="preserve">  本办法规定的条款内容，法律、法规已有法律责任规定的，按照其规定。</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第三十九条</w:t>
      </w:r>
      <w:r>
        <w:rPr>
          <w:rFonts w:hint="eastAsia" w:ascii="仿宋" w:hAnsi="仿宋" w:eastAsia="仿宋" w:cs="仿宋"/>
          <w:spacing w:val="20"/>
          <w:sz w:val="31"/>
          <w:szCs w:val="31"/>
          <w:lang w:val="en-US" w:eastAsia="zh-CN"/>
        </w:rPr>
        <w:t xml:space="preserve">  本办法由</w:t>
      </w:r>
      <w:r>
        <w:rPr>
          <w:rFonts w:hint="eastAsia" w:ascii="仿宋" w:hAnsi="仿宋" w:eastAsia="仿宋" w:cs="仿宋"/>
          <w:spacing w:val="20"/>
          <w:sz w:val="31"/>
          <w:szCs w:val="31"/>
          <w:highlight w:val="none"/>
          <w:lang w:val="en-US" w:eastAsia="zh-CN"/>
        </w:rPr>
        <w:t>哈尔滨市</w:t>
      </w:r>
      <w:r>
        <w:rPr>
          <w:rFonts w:hint="eastAsia" w:ascii="仿宋" w:hAnsi="仿宋" w:eastAsia="仿宋" w:cs="仿宋"/>
          <w:spacing w:val="20"/>
          <w:sz w:val="31"/>
          <w:szCs w:val="31"/>
          <w:lang w:val="en-US" w:eastAsia="zh-CN"/>
        </w:rPr>
        <w:t>医疗保障局负责解释。</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00" w:right="87" w:firstLine="683"/>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b/>
          <w:bCs/>
          <w:spacing w:val="20"/>
          <w:sz w:val="31"/>
          <w:szCs w:val="31"/>
          <w:lang w:val="en-US" w:eastAsia="zh-CN"/>
        </w:rPr>
        <w:t>第四十条</w:t>
      </w:r>
      <w:r>
        <w:rPr>
          <w:rFonts w:hint="eastAsia" w:ascii="仿宋" w:hAnsi="仿宋" w:eastAsia="仿宋" w:cs="仿宋"/>
          <w:spacing w:val="20"/>
          <w:sz w:val="31"/>
          <w:szCs w:val="31"/>
          <w:lang w:val="en-US" w:eastAsia="zh-CN"/>
        </w:rPr>
        <w:t xml:space="preserve">  本办法自</w:t>
      </w:r>
      <w:r>
        <w:rPr>
          <w:rFonts w:hint="eastAsia" w:ascii="仿宋" w:hAnsi="仿宋" w:eastAsia="仿宋" w:cs="仿宋"/>
          <w:spacing w:val="20"/>
          <w:sz w:val="31"/>
          <w:szCs w:val="31"/>
          <w:highlight w:val="none"/>
          <w:lang w:val="en-US" w:eastAsia="zh-CN"/>
        </w:rPr>
        <w:t>2023年1月1日</w:t>
      </w:r>
      <w:r>
        <w:rPr>
          <w:rFonts w:hint="eastAsia" w:ascii="仿宋" w:hAnsi="仿宋" w:eastAsia="仿宋" w:cs="仿宋"/>
          <w:spacing w:val="20"/>
          <w:sz w:val="31"/>
          <w:szCs w:val="31"/>
          <w:lang w:val="en-US" w:eastAsia="zh-CN"/>
        </w:rPr>
        <w:t>起施行。</w:t>
      </w:r>
      <w:bookmarkStart w:id="0" w:name="_GoBack"/>
      <w:bookmarkEnd w:id="0"/>
    </w:p>
    <w:p>
      <w:pPr>
        <w:keepNext w:val="0"/>
        <w:keepLines w:val="0"/>
        <w:pageBreakBefore w:val="0"/>
        <w:widowControl/>
        <w:kinsoku w:val="0"/>
        <w:wordWrap/>
        <w:overflowPunct w:val="0"/>
        <w:topLinePunct w:val="0"/>
        <w:autoSpaceDE w:val="0"/>
        <w:autoSpaceDN w:val="0"/>
        <w:bidi w:val="0"/>
        <w:adjustRightInd w:val="0"/>
        <w:snapToGrid w:val="0"/>
        <w:spacing w:line="560" w:lineRule="exact"/>
        <w:ind w:right="87"/>
        <w:jc w:val="both"/>
        <w:textAlignment w:val="baseline"/>
        <w:rPr>
          <w:rFonts w:hint="eastAsia" w:ascii="仿宋" w:hAnsi="仿宋" w:eastAsia="仿宋" w:cs="仿宋"/>
          <w:spacing w:val="20"/>
          <w:sz w:val="31"/>
          <w:szCs w:val="31"/>
          <w:lang w:val="en-US" w:eastAsia="zh-CN"/>
        </w:rPr>
      </w:pP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326" w:leftChars="441" w:right="87" w:hanging="1400" w:hangingChars="400"/>
        <w:jc w:val="both"/>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附件：</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326" w:leftChars="441" w:right="87" w:hanging="1400" w:hangingChars="400"/>
        <w:jc w:val="left"/>
        <w:textAlignment w:val="baseline"/>
        <w:rPr>
          <w:rFonts w:hint="eastAsia" w:ascii="仿宋" w:hAnsi="仿宋" w:eastAsia="仿宋" w:cs="仿宋"/>
          <w:spacing w:val="20"/>
          <w:sz w:val="31"/>
          <w:szCs w:val="31"/>
          <w:highlight w:val="none"/>
          <w:lang w:val="en-US" w:eastAsia="zh-CN"/>
        </w:rPr>
      </w:pPr>
      <w:r>
        <w:rPr>
          <w:rFonts w:hint="eastAsia" w:ascii="仿宋" w:hAnsi="仿宋" w:eastAsia="仿宋" w:cs="仿宋"/>
          <w:spacing w:val="20"/>
          <w:sz w:val="31"/>
          <w:szCs w:val="31"/>
          <w:lang w:val="en-US" w:eastAsia="zh-CN"/>
        </w:rPr>
        <w:t>1.</w:t>
      </w:r>
      <w:r>
        <w:rPr>
          <w:rFonts w:ascii="仿宋" w:hAnsi="仿宋" w:eastAsia="仿宋" w:cs="仿宋"/>
          <w:sz w:val="31"/>
          <w:szCs w:val="31"/>
          <w:highlight w:val="none"/>
        </w:rPr>
        <w:t>哈尔滨市</w:t>
      </w:r>
      <w:r>
        <w:rPr>
          <w:rFonts w:hint="eastAsia" w:ascii="仿宋" w:hAnsi="仿宋" w:eastAsia="仿宋" w:cs="仿宋"/>
          <w:spacing w:val="20"/>
          <w:sz w:val="31"/>
          <w:szCs w:val="31"/>
          <w:highlight w:val="none"/>
          <w:lang w:val="en-US" w:eastAsia="zh-CN"/>
        </w:rPr>
        <w:t>医疗保障信用异议信息处理申请表</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326" w:leftChars="441" w:right="87" w:hanging="1400" w:hangingChars="400"/>
        <w:jc w:val="left"/>
        <w:textAlignment w:val="baseline"/>
        <w:rPr>
          <w:rFonts w:hint="eastAsia" w:ascii="仿宋" w:hAnsi="仿宋" w:eastAsia="仿宋" w:cs="仿宋"/>
          <w:spacing w:val="20"/>
          <w:sz w:val="31"/>
          <w:szCs w:val="31"/>
          <w:highlight w:val="none"/>
          <w:lang w:val="en-US" w:eastAsia="zh-CN"/>
        </w:rPr>
      </w:pPr>
      <w:r>
        <w:rPr>
          <w:rFonts w:hint="eastAsia" w:ascii="仿宋" w:hAnsi="仿宋" w:eastAsia="仿宋" w:cs="仿宋"/>
          <w:spacing w:val="20"/>
          <w:sz w:val="31"/>
          <w:szCs w:val="31"/>
          <w:highlight w:val="none"/>
          <w:lang w:val="en-US" w:eastAsia="zh-CN"/>
        </w:rPr>
        <w:t>2.哈尔滨市医疗保障信用异议信息处理结果反馈单</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326" w:leftChars="441" w:right="87" w:hanging="1400" w:hangingChars="400"/>
        <w:jc w:val="left"/>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highlight w:val="none"/>
          <w:lang w:val="en-US" w:eastAsia="zh-CN"/>
        </w:rPr>
        <w:t>3.哈尔滨市</w:t>
      </w:r>
      <w:r>
        <w:rPr>
          <w:rFonts w:hint="eastAsia" w:ascii="仿宋" w:hAnsi="仿宋" w:eastAsia="仿宋" w:cs="仿宋"/>
          <w:spacing w:val="20"/>
          <w:sz w:val="31"/>
          <w:szCs w:val="31"/>
          <w:lang w:val="en-US" w:eastAsia="zh-CN"/>
        </w:rPr>
        <w:t>医疗保障信用修复申请表</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326" w:leftChars="441" w:right="87" w:hanging="1400" w:hangingChars="400"/>
        <w:jc w:val="left"/>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4.不予信用修复告知书</w:t>
      </w:r>
    </w:p>
    <w:p>
      <w:pPr>
        <w:keepNext w:val="0"/>
        <w:keepLines w:val="0"/>
        <w:pageBreakBefore w:val="0"/>
        <w:widowControl/>
        <w:kinsoku w:val="0"/>
        <w:wordWrap/>
        <w:overflowPunct w:val="0"/>
        <w:topLinePunct w:val="0"/>
        <w:autoSpaceDE w:val="0"/>
        <w:autoSpaceDN w:val="0"/>
        <w:bidi w:val="0"/>
        <w:adjustRightInd w:val="0"/>
        <w:snapToGrid w:val="0"/>
        <w:spacing w:line="560" w:lineRule="exact"/>
        <w:ind w:left="2326" w:leftChars="441" w:right="87" w:hanging="1400" w:hangingChars="400"/>
        <w:jc w:val="left"/>
        <w:textAlignment w:val="baseline"/>
        <w:rPr>
          <w:rFonts w:hint="eastAsia" w:ascii="仿宋" w:hAnsi="仿宋" w:eastAsia="仿宋" w:cs="仿宋"/>
          <w:spacing w:val="20"/>
          <w:sz w:val="31"/>
          <w:szCs w:val="31"/>
          <w:lang w:val="en-US" w:eastAsia="zh-CN"/>
        </w:rPr>
      </w:pPr>
      <w:r>
        <w:rPr>
          <w:rFonts w:hint="eastAsia" w:ascii="仿宋" w:hAnsi="仿宋" w:eastAsia="仿宋" w:cs="仿宋"/>
          <w:spacing w:val="20"/>
          <w:sz w:val="31"/>
          <w:szCs w:val="31"/>
          <w:lang w:val="en-US" w:eastAsia="zh-CN"/>
        </w:rPr>
        <w:t>5.</w:t>
      </w:r>
      <w:r>
        <w:rPr>
          <w:rFonts w:hint="eastAsia" w:ascii="仿宋" w:hAnsi="仿宋" w:eastAsia="仿宋" w:cs="仿宋"/>
          <w:spacing w:val="20"/>
          <w:sz w:val="31"/>
          <w:szCs w:val="31"/>
          <w:highlight w:val="none"/>
          <w:lang w:val="en-US" w:eastAsia="zh-CN"/>
        </w:rPr>
        <w:t>哈尔滨市</w:t>
      </w:r>
      <w:r>
        <w:rPr>
          <w:rFonts w:hint="eastAsia" w:ascii="仿宋" w:hAnsi="仿宋" w:eastAsia="仿宋" w:cs="仿宋"/>
          <w:spacing w:val="20"/>
          <w:sz w:val="31"/>
          <w:szCs w:val="31"/>
          <w:lang w:val="en-US" w:eastAsia="zh-CN"/>
        </w:rPr>
        <w:t>医疗保障信用修复确认通知书</w:t>
      </w:r>
    </w:p>
    <w:p>
      <w:pPr>
        <w:pageBreakBefore w:val="0"/>
        <w:wordWrap/>
        <w:overflowPunct w:val="0"/>
        <w:topLinePunct w:val="0"/>
        <w:bidi w:val="0"/>
        <w:spacing w:before="98" w:line="231" w:lineRule="auto"/>
        <w:jc w:val="both"/>
        <w:rPr>
          <w:rFonts w:ascii="黑体" w:hAnsi="黑体" w:eastAsia="黑体" w:cs="黑体"/>
          <w:spacing w:val="18"/>
          <w:sz w:val="30"/>
          <w:szCs w:val="30"/>
        </w:rPr>
      </w:pPr>
      <w:r>
        <w:rPr>
          <w:rFonts w:ascii="黑体" w:hAnsi="黑体" w:eastAsia="黑体" w:cs="黑体"/>
          <w:spacing w:val="18"/>
          <w:sz w:val="30"/>
          <w:szCs w:val="30"/>
        </w:rPr>
        <w:t>附件1</w:t>
      </w:r>
    </w:p>
    <w:p>
      <w:pPr>
        <w:pageBreakBefore w:val="0"/>
        <w:wordWrap/>
        <w:overflowPunct w:val="0"/>
        <w:topLinePunct w:val="0"/>
        <w:bidi w:val="0"/>
        <w:spacing w:before="98" w:line="231" w:lineRule="auto"/>
        <w:jc w:val="both"/>
        <w:rPr>
          <w:rFonts w:ascii="黑体" w:hAnsi="黑体" w:eastAsia="黑体" w:cs="黑体"/>
          <w:spacing w:val="18"/>
          <w:sz w:val="30"/>
          <w:szCs w:val="30"/>
        </w:rPr>
      </w:pPr>
    </w:p>
    <w:p>
      <w:pPr>
        <w:pageBreakBefore w:val="0"/>
        <w:widowControl w:val="0"/>
        <w:wordWrap/>
        <w:overflowPunct w:val="0"/>
        <w:topLinePunct w:val="0"/>
        <w:bidi w:val="0"/>
        <w:adjustRightInd/>
        <w:snapToGrid/>
        <w:spacing w:line="560" w:lineRule="exact"/>
        <w:ind w:left="0" w:leftChars="0" w:right="0"/>
        <w:jc w:val="center"/>
        <w:textAlignment w:val="auto"/>
        <w:rPr>
          <w:rFonts w:hint="eastAsia" w:ascii="方正小标宋简体" w:eastAsia="方正小标宋简体"/>
          <w:sz w:val="40"/>
          <w:szCs w:val="40"/>
        </w:rPr>
      </w:pPr>
      <w:r>
        <w:rPr>
          <w:rFonts w:hint="eastAsia" w:ascii="方正小标宋简体" w:eastAsia="方正小标宋简体"/>
          <w:sz w:val="40"/>
          <w:szCs w:val="40"/>
          <w:lang w:val="en-US" w:eastAsia="zh-CN"/>
        </w:rPr>
        <w:t>哈尔滨市</w:t>
      </w:r>
      <w:r>
        <w:rPr>
          <w:rFonts w:hint="eastAsia" w:ascii="方正小标宋简体" w:eastAsia="方正小标宋简体"/>
          <w:sz w:val="40"/>
          <w:szCs w:val="40"/>
        </w:rPr>
        <w:t>医疗保障信用异议信息处理申请表</w:t>
      </w:r>
    </w:p>
    <w:p>
      <w:pPr>
        <w:rPr>
          <w:sz w:val="24"/>
          <w:szCs w:val="24"/>
        </w:rPr>
      </w:pPr>
    </w:p>
    <w:p>
      <w:pPr>
        <w:spacing w:line="143" w:lineRule="exact"/>
        <w:rPr>
          <w:sz w:val="24"/>
          <w:szCs w:val="24"/>
        </w:rPr>
      </w:pPr>
    </w:p>
    <w:tbl>
      <w:tblPr>
        <w:tblStyle w:val="6"/>
        <w:tblW w:w="8775"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1552"/>
        <w:gridCol w:w="808"/>
        <w:gridCol w:w="3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520"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申请单位(人)</w:t>
            </w:r>
          </w:p>
        </w:tc>
        <w:tc>
          <w:tcPr>
            <w:tcW w:w="6255" w:type="dxa"/>
            <w:gridSpan w:val="3"/>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520"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联系人</w:t>
            </w:r>
          </w:p>
        </w:tc>
        <w:tc>
          <w:tcPr>
            <w:tcW w:w="1552"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tc>
        <w:tc>
          <w:tcPr>
            <w:tcW w:w="808"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联系方式</w:t>
            </w:r>
          </w:p>
        </w:tc>
        <w:tc>
          <w:tcPr>
            <w:tcW w:w="3895"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520"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异议信息描述</w:t>
            </w:r>
          </w:p>
        </w:tc>
        <w:tc>
          <w:tcPr>
            <w:tcW w:w="6255" w:type="dxa"/>
            <w:gridSpan w:val="3"/>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6" w:hRule="atLeast"/>
        </w:trPr>
        <w:tc>
          <w:tcPr>
            <w:tcW w:w="2520"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申请理由</w:t>
            </w: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hint="eastAsia" w:ascii="宋体" w:hAnsi="宋体" w:eastAsia="宋体" w:cs="宋体"/>
                <w:spacing w:val="-10"/>
                <w:sz w:val="32"/>
                <w:szCs w:val="32"/>
                <w:lang w:eastAsia="zh-CN"/>
              </w:rPr>
            </w:pPr>
            <w:r>
              <w:rPr>
                <w:rFonts w:ascii="宋体" w:hAnsi="宋体" w:eastAsia="宋体" w:cs="宋体"/>
                <w:spacing w:val="-10"/>
                <w:sz w:val="32"/>
                <w:szCs w:val="32"/>
              </w:rPr>
              <w:t>(可附页</w:t>
            </w:r>
            <w:r>
              <w:rPr>
                <w:rFonts w:hint="eastAsia" w:ascii="宋体" w:hAnsi="宋体" w:eastAsia="宋体" w:cs="宋体"/>
                <w:spacing w:val="-10"/>
                <w:sz w:val="32"/>
                <w:szCs w:val="32"/>
                <w:lang w:eastAsia="zh-CN"/>
              </w:rPr>
              <w:t>）</w:t>
            </w:r>
          </w:p>
        </w:tc>
        <w:tc>
          <w:tcPr>
            <w:tcW w:w="6255" w:type="dxa"/>
            <w:gridSpan w:val="3"/>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年  月  日</w:t>
            </w: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2520"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信用承诺</w:t>
            </w:r>
          </w:p>
        </w:tc>
        <w:tc>
          <w:tcPr>
            <w:tcW w:w="6255" w:type="dxa"/>
            <w:gridSpan w:val="3"/>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hint="eastAsia" w:ascii="宋体" w:hAnsi="宋体" w:eastAsia="宋体" w:cs="宋体"/>
                <w:spacing w:val="-10"/>
                <w:sz w:val="32"/>
                <w:szCs w:val="32"/>
                <w:lang w:eastAsia="zh-CN"/>
              </w:rPr>
            </w:pPr>
            <w:r>
              <w:rPr>
                <w:rFonts w:ascii="宋体" w:hAnsi="宋体" w:eastAsia="宋体" w:cs="宋体"/>
                <w:spacing w:val="-10"/>
                <w:sz w:val="32"/>
                <w:szCs w:val="32"/>
              </w:rPr>
              <w:t>本单位(人)承诺所填写内容和提交的相关材料真实准确，否则由此产生的相应后果自负</w:t>
            </w:r>
            <w:r>
              <w:rPr>
                <w:rFonts w:hint="eastAsia" w:ascii="宋体" w:hAnsi="宋体" w:eastAsia="宋体" w:cs="宋体"/>
                <w:spacing w:val="-10"/>
                <w:sz w:val="32"/>
                <w:szCs w:val="32"/>
                <w:lang w:eastAsia="zh-CN"/>
              </w:rPr>
              <w:t>。</w:t>
            </w: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签字：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520"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备注</w:t>
            </w:r>
          </w:p>
        </w:tc>
        <w:tc>
          <w:tcPr>
            <w:tcW w:w="6255" w:type="dxa"/>
            <w:gridSpan w:val="3"/>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tc>
      </w:tr>
    </w:tbl>
    <w:p>
      <w:pPr>
        <w:pageBreakBefore w:val="0"/>
        <w:wordWrap/>
        <w:overflowPunct w:val="0"/>
        <w:topLinePunct w:val="0"/>
        <w:bidi w:val="0"/>
        <w:spacing w:line="277" w:lineRule="auto"/>
        <w:jc w:val="both"/>
        <w:rPr>
          <w:rFonts w:ascii="Arial"/>
          <w:sz w:val="21"/>
        </w:rPr>
      </w:pPr>
    </w:p>
    <w:p>
      <w:pPr>
        <w:spacing w:line="314" w:lineRule="auto"/>
        <w:rPr>
          <w:rFonts w:ascii="Arial"/>
          <w:sz w:val="24"/>
          <w:szCs w:val="24"/>
        </w:rPr>
      </w:pPr>
    </w:p>
    <w:p>
      <w:pPr>
        <w:pageBreakBefore w:val="0"/>
        <w:wordWrap/>
        <w:overflowPunct w:val="0"/>
        <w:topLinePunct w:val="0"/>
        <w:bidi w:val="0"/>
        <w:spacing w:before="97" w:line="231" w:lineRule="auto"/>
        <w:jc w:val="both"/>
        <w:rPr>
          <w:rFonts w:ascii="黑体" w:hAnsi="黑体" w:eastAsia="黑体" w:cs="黑体"/>
          <w:spacing w:val="7"/>
          <w:sz w:val="30"/>
          <w:szCs w:val="30"/>
        </w:rPr>
      </w:pPr>
      <w:r>
        <w:rPr>
          <w:rFonts w:ascii="黑体" w:hAnsi="黑体" w:eastAsia="黑体" w:cs="黑体"/>
          <w:spacing w:val="7"/>
          <w:sz w:val="30"/>
          <w:szCs w:val="30"/>
        </w:rPr>
        <w:t>附件2</w:t>
      </w:r>
    </w:p>
    <w:p>
      <w:pPr>
        <w:pageBreakBefore w:val="0"/>
        <w:wordWrap/>
        <w:overflowPunct w:val="0"/>
        <w:topLinePunct w:val="0"/>
        <w:bidi w:val="0"/>
        <w:spacing w:before="97" w:line="231" w:lineRule="auto"/>
        <w:jc w:val="both"/>
        <w:rPr>
          <w:rFonts w:ascii="黑体" w:hAnsi="黑体" w:eastAsia="黑体" w:cs="黑体"/>
          <w:spacing w:val="7"/>
          <w:sz w:val="30"/>
          <w:szCs w:val="30"/>
        </w:rPr>
      </w:pPr>
    </w:p>
    <w:p>
      <w:pPr>
        <w:pageBreakBefore w:val="0"/>
        <w:widowControl w:val="0"/>
        <w:wordWrap/>
        <w:overflowPunct w:val="0"/>
        <w:topLinePunct w:val="0"/>
        <w:bidi w:val="0"/>
        <w:adjustRightInd/>
        <w:snapToGrid/>
        <w:spacing w:line="560" w:lineRule="exact"/>
        <w:ind w:left="0" w:leftChars="0" w:right="0"/>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哈尔滨市</w:t>
      </w:r>
      <w:r>
        <w:rPr>
          <w:rFonts w:hint="eastAsia" w:ascii="方正小标宋简体" w:eastAsia="方正小标宋简体"/>
          <w:sz w:val="36"/>
          <w:szCs w:val="36"/>
        </w:rPr>
        <w:t>医疗保障信用异议信息处理结果反馈单</w:t>
      </w:r>
    </w:p>
    <w:p>
      <w:pPr>
        <w:pageBreakBefore w:val="0"/>
        <w:wordWrap/>
        <w:overflowPunct w:val="0"/>
        <w:topLinePunct w:val="0"/>
        <w:bidi w:val="0"/>
        <w:spacing w:before="97" w:line="231" w:lineRule="auto"/>
        <w:jc w:val="both"/>
        <w:rPr>
          <w:rFonts w:ascii="黑体" w:hAnsi="黑体" w:eastAsia="黑体" w:cs="黑体"/>
          <w:spacing w:val="7"/>
          <w:sz w:val="30"/>
          <w:szCs w:val="30"/>
        </w:rPr>
      </w:pPr>
    </w:p>
    <w:p>
      <w:pPr>
        <w:spacing w:line="164" w:lineRule="exact"/>
        <w:rPr>
          <w:sz w:val="24"/>
          <w:szCs w:val="24"/>
        </w:rPr>
      </w:pPr>
    </w:p>
    <w:tbl>
      <w:tblPr>
        <w:tblStyle w:val="6"/>
        <w:tblW w:w="8760"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4"/>
        <w:gridCol w:w="6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484"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申请单位(人)</w:t>
            </w:r>
          </w:p>
        </w:tc>
        <w:tc>
          <w:tcPr>
            <w:tcW w:w="6276"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2484"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异议信息</w:t>
            </w: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申请内容</w:t>
            </w:r>
          </w:p>
        </w:tc>
        <w:tc>
          <w:tcPr>
            <w:tcW w:w="6276"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trPr>
        <w:tc>
          <w:tcPr>
            <w:tcW w:w="2484"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异议信息</w:t>
            </w: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处理结果</w:t>
            </w:r>
          </w:p>
        </w:tc>
        <w:tc>
          <w:tcPr>
            <w:tcW w:w="6276"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XX医疗保障局</w:t>
            </w:r>
          </w:p>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年 月 日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484"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r>
              <w:rPr>
                <w:rFonts w:ascii="宋体" w:hAnsi="宋体" w:eastAsia="宋体" w:cs="宋体"/>
                <w:spacing w:val="-10"/>
                <w:sz w:val="32"/>
                <w:szCs w:val="32"/>
              </w:rPr>
              <w:t>备注</w:t>
            </w:r>
          </w:p>
        </w:tc>
        <w:tc>
          <w:tcPr>
            <w:tcW w:w="6276" w:type="dxa"/>
            <w:vAlign w:val="top"/>
          </w:tcPr>
          <w:p>
            <w:pPr>
              <w:pageBreakBefore w:val="0"/>
              <w:wordWrap/>
              <w:overflowPunct w:val="0"/>
              <w:topLinePunct w:val="0"/>
              <w:bidi w:val="0"/>
              <w:spacing w:line="277" w:lineRule="auto"/>
              <w:jc w:val="center"/>
              <w:rPr>
                <w:rFonts w:ascii="宋体" w:hAnsi="宋体" w:eastAsia="宋体" w:cs="宋体"/>
                <w:spacing w:val="-10"/>
                <w:sz w:val="32"/>
                <w:szCs w:val="32"/>
              </w:rPr>
            </w:pPr>
          </w:p>
        </w:tc>
      </w:tr>
    </w:tbl>
    <w:p>
      <w:pPr>
        <w:spacing w:line="285" w:lineRule="auto"/>
        <w:rPr>
          <w:rFonts w:ascii="Arial"/>
          <w:sz w:val="24"/>
          <w:szCs w:val="24"/>
        </w:rPr>
      </w:pPr>
    </w:p>
    <w:p>
      <w:pPr>
        <w:spacing w:line="286" w:lineRule="auto"/>
        <w:rPr>
          <w:rFonts w:ascii="Arial"/>
          <w:sz w:val="24"/>
          <w:szCs w:val="24"/>
        </w:rPr>
      </w:pPr>
    </w:p>
    <w:p>
      <w:pPr>
        <w:spacing w:line="286" w:lineRule="auto"/>
        <w:rPr>
          <w:rFonts w:ascii="Arial"/>
          <w:sz w:val="24"/>
          <w:szCs w:val="24"/>
        </w:rPr>
      </w:pPr>
    </w:p>
    <w:p>
      <w:pPr>
        <w:spacing w:line="286" w:lineRule="auto"/>
        <w:rPr>
          <w:rFonts w:ascii="Arial"/>
          <w:sz w:val="24"/>
          <w:szCs w:val="24"/>
        </w:rPr>
      </w:pPr>
    </w:p>
    <w:p>
      <w:pPr>
        <w:spacing w:line="286" w:lineRule="auto"/>
        <w:rPr>
          <w:rFonts w:ascii="Arial"/>
          <w:sz w:val="24"/>
          <w:szCs w:val="24"/>
        </w:rPr>
      </w:pPr>
    </w:p>
    <w:p>
      <w:pPr>
        <w:spacing w:line="270" w:lineRule="auto"/>
        <w:rPr>
          <w:rFonts w:ascii="Arial"/>
          <w:sz w:val="24"/>
          <w:szCs w:val="24"/>
        </w:rPr>
      </w:pPr>
    </w:p>
    <w:p>
      <w:pPr>
        <w:pageBreakBefore w:val="0"/>
        <w:widowControl w:val="0"/>
        <w:wordWrap/>
        <w:overflowPunct w:val="0"/>
        <w:topLinePunct w:val="0"/>
        <w:bidi w:val="0"/>
        <w:adjustRightInd/>
        <w:snapToGrid/>
        <w:spacing w:line="560" w:lineRule="exact"/>
        <w:ind w:left="0" w:leftChars="0" w:right="0"/>
        <w:jc w:val="both"/>
        <w:textAlignment w:val="auto"/>
        <w:outlineLvl w:val="0"/>
        <w:rPr>
          <w:rFonts w:hint="eastAsia" w:ascii="黑体" w:hAnsi="黑体" w:eastAsia="黑体"/>
          <w:sz w:val="32"/>
          <w:szCs w:val="32"/>
        </w:rPr>
      </w:pPr>
      <w:r>
        <w:rPr>
          <w:rFonts w:hint="eastAsia" w:ascii="黑体" w:hAnsi="黑体" w:eastAsia="黑体"/>
          <w:sz w:val="32"/>
          <w:szCs w:val="32"/>
        </w:rPr>
        <w:t>附件3</w:t>
      </w:r>
    </w:p>
    <w:p>
      <w:pPr>
        <w:spacing w:line="380" w:lineRule="auto"/>
        <w:rPr>
          <w:rFonts w:ascii="Arial"/>
          <w:sz w:val="24"/>
          <w:szCs w:val="24"/>
        </w:rPr>
      </w:pPr>
    </w:p>
    <w:p>
      <w:pPr>
        <w:pageBreakBefore w:val="0"/>
        <w:wordWrap/>
        <w:overflowPunct w:val="0"/>
        <w:topLinePunct w:val="0"/>
        <w:bidi w:val="0"/>
        <w:adjustRightInd/>
        <w:snapToGrid/>
        <w:spacing w:line="600" w:lineRule="exact"/>
        <w:ind w:left="0" w:leftChars="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哈尔滨市</w:t>
      </w:r>
      <w:r>
        <w:rPr>
          <w:rFonts w:hint="eastAsia" w:ascii="方正小标宋简体" w:hAnsi="方正小标宋简体" w:eastAsia="方正小标宋简体" w:cs="方正小标宋简体"/>
          <w:sz w:val="44"/>
          <w:szCs w:val="44"/>
        </w:rPr>
        <w:t>医疗保障信用修复申请表</w:t>
      </w:r>
    </w:p>
    <w:p>
      <w:pPr>
        <w:rPr>
          <w:sz w:val="24"/>
          <w:szCs w:val="24"/>
        </w:rPr>
      </w:pPr>
    </w:p>
    <w:p>
      <w:pPr>
        <w:spacing w:line="163" w:lineRule="exact"/>
        <w:rPr>
          <w:sz w:val="24"/>
          <w:szCs w:val="24"/>
        </w:rPr>
      </w:pPr>
    </w:p>
    <w:tbl>
      <w:tblPr>
        <w:tblStyle w:val="6"/>
        <w:tblW w:w="8745"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5"/>
        <w:gridCol w:w="2310"/>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115" w:type="dxa"/>
            <w:vMerge w:val="restart"/>
            <w:tcBorders>
              <w:bottom w:val="nil"/>
            </w:tcBorders>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失信主体基本</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情况</w:t>
            </w:r>
          </w:p>
        </w:tc>
        <w:tc>
          <w:tcPr>
            <w:tcW w:w="2310" w:type="dxa"/>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名称</w:t>
            </w:r>
          </w:p>
        </w:tc>
        <w:tc>
          <w:tcPr>
            <w:tcW w:w="4320" w:type="dxa"/>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(填写法人单位名称或自然人名称)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115" w:type="dxa"/>
            <w:vMerge w:val="continue"/>
            <w:tcBorders>
              <w:top w:val="nil"/>
              <w:bottom w:val="nil"/>
            </w:tcBorders>
            <w:vAlign w:val="top"/>
          </w:tcPr>
          <w:p>
            <w:pPr>
              <w:pageBreakBefore w:val="0"/>
              <w:wordWrap/>
              <w:overflowPunct w:val="0"/>
              <w:topLinePunct w:val="0"/>
              <w:bidi w:val="0"/>
              <w:spacing w:line="277" w:lineRule="auto"/>
              <w:ind w:left="0" w:leftChars="0"/>
              <w:jc w:val="center"/>
              <w:rPr>
                <w:rFonts w:ascii="宋体" w:hAnsi="宋体" w:eastAsia="宋体" w:cs="宋体"/>
                <w:spacing w:val="-10"/>
                <w:sz w:val="24"/>
                <w:szCs w:val="24"/>
              </w:rPr>
            </w:pPr>
          </w:p>
        </w:tc>
        <w:tc>
          <w:tcPr>
            <w:tcW w:w="2310" w:type="dxa"/>
            <w:vAlign w:val="top"/>
          </w:tcPr>
          <w:p>
            <w:pPr>
              <w:pageBreakBefore w:val="0"/>
              <w:wordWrap/>
              <w:overflowPunct w:val="0"/>
              <w:topLinePunct w:val="0"/>
              <w:bidi w:val="0"/>
              <w:spacing w:line="277" w:lineRule="auto"/>
              <w:ind w:left="0" w:leftChars="0"/>
              <w:jc w:val="center"/>
              <w:rPr>
                <w:rFonts w:ascii="宋体" w:hAnsi="宋体" w:eastAsia="宋体" w:cs="宋体"/>
                <w:spacing w:val="-10"/>
                <w:sz w:val="24"/>
                <w:szCs w:val="24"/>
              </w:rPr>
            </w:pPr>
            <w:r>
              <w:rPr>
                <w:rFonts w:ascii="宋体" w:hAnsi="宋体" w:eastAsia="宋体" w:cs="宋体"/>
                <w:spacing w:val="-10"/>
                <w:sz w:val="24"/>
                <w:szCs w:val="24"/>
              </w:rPr>
              <w:t>统一社会信用代码</w:t>
            </w:r>
          </w:p>
        </w:tc>
        <w:tc>
          <w:tcPr>
            <w:tcW w:w="4320" w:type="dxa"/>
            <w:vAlign w:val="top"/>
          </w:tcPr>
          <w:p>
            <w:pPr>
              <w:pageBreakBefore w:val="0"/>
              <w:wordWrap/>
              <w:overflowPunct w:val="0"/>
              <w:topLinePunct w:val="0"/>
              <w:bidi w:val="0"/>
              <w:spacing w:line="277" w:lineRule="auto"/>
              <w:ind w:left="0" w:leftChars="0"/>
              <w:jc w:val="center"/>
              <w:rPr>
                <w:rFonts w:ascii="宋体" w:hAnsi="宋体" w:eastAsia="宋体" w:cs="宋体"/>
                <w:spacing w:val="-10"/>
                <w:sz w:val="24"/>
                <w:szCs w:val="24"/>
              </w:rPr>
            </w:pPr>
            <w:r>
              <w:rPr>
                <w:rFonts w:ascii="宋体" w:hAnsi="宋体" w:eastAsia="宋体" w:cs="宋体"/>
                <w:spacing w:val="-10"/>
                <w:sz w:val="24"/>
                <w:szCs w:val="24"/>
              </w:rPr>
              <w:t>(自然人填写身份证号)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115" w:type="dxa"/>
            <w:vMerge w:val="continue"/>
            <w:tcBorders>
              <w:top w:val="nil"/>
            </w:tcBorders>
            <w:vAlign w:val="top"/>
          </w:tcPr>
          <w:p>
            <w:pPr>
              <w:pageBreakBefore w:val="0"/>
              <w:wordWrap/>
              <w:overflowPunct w:val="0"/>
              <w:topLinePunct w:val="0"/>
              <w:bidi w:val="0"/>
              <w:spacing w:line="277" w:lineRule="auto"/>
              <w:ind w:left="0" w:leftChars="0"/>
              <w:jc w:val="center"/>
              <w:rPr>
                <w:rFonts w:ascii="宋体" w:hAnsi="宋体" w:eastAsia="宋体" w:cs="宋体"/>
                <w:spacing w:val="-10"/>
                <w:sz w:val="24"/>
                <w:szCs w:val="24"/>
              </w:rPr>
            </w:pPr>
          </w:p>
        </w:tc>
        <w:tc>
          <w:tcPr>
            <w:tcW w:w="2310" w:type="dxa"/>
            <w:vAlign w:val="top"/>
          </w:tcPr>
          <w:p>
            <w:pPr>
              <w:pageBreakBefore w:val="0"/>
              <w:wordWrap/>
              <w:overflowPunct w:val="0"/>
              <w:topLinePunct w:val="0"/>
              <w:bidi w:val="0"/>
              <w:spacing w:line="277" w:lineRule="auto"/>
              <w:ind w:left="0" w:leftChars="0"/>
              <w:jc w:val="center"/>
              <w:rPr>
                <w:rFonts w:ascii="宋体" w:hAnsi="宋体" w:eastAsia="宋体" w:cs="宋体"/>
                <w:spacing w:val="-10"/>
                <w:sz w:val="24"/>
                <w:szCs w:val="24"/>
              </w:rPr>
            </w:pPr>
            <w:r>
              <w:rPr>
                <w:rFonts w:ascii="宋体" w:hAnsi="宋体" w:eastAsia="宋体" w:cs="宋体"/>
                <w:spacing w:val="-10"/>
                <w:sz w:val="24"/>
                <w:szCs w:val="24"/>
              </w:rPr>
              <w:t>联系方式</w:t>
            </w:r>
          </w:p>
        </w:tc>
        <w:tc>
          <w:tcPr>
            <w:tcW w:w="4320" w:type="dxa"/>
            <w:vAlign w:val="top"/>
          </w:tcPr>
          <w:p>
            <w:pPr>
              <w:pageBreakBefore w:val="0"/>
              <w:wordWrap/>
              <w:overflowPunct w:val="0"/>
              <w:topLinePunct w:val="0"/>
              <w:bidi w:val="0"/>
              <w:spacing w:line="277" w:lineRule="auto"/>
              <w:ind w:left="0" w:leftChars="0"/>
              <w:jc w:val="center"/>
              <w:rPr>
                <w:rFonts w:ascii="宋体" w:hAnsi="宋体" w:eastAsia="宋体" w:cs="宋体"/>
                <w:spacing w:val="-1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115" w:type="dxa"/>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申请修复的失</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信信息内容</w:t>
            </w:r>
          </w:p>
        </w:tc>
        <w:tc>
          <w:tcPr>
            <w:tcW w:w="2310" w:type="dxa"/>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失信信息内容描述</w:t>
            </w:r>
          </w:p>
        </w:tc>
        <w:tc>
          <w:tcPr>
            <w:tcW w:w="4320" w:type="dxa"/>
            <w:vAlign w:val="top"/>
          </w:tcPr>
          <w:p>
            <w:pPr>
              <w:pageBreakBefore w:val="0"/>
              <w:wordWrap/>
              <w:overflowPunct w:val="0"/>
              <w:topLinePunct w:val="0"/>
              <w:bidi w:val="0"/>
              <w:spacing w:line="277" w:lineRule="auto"/>
              <w:jc w:val="both"/>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XXXX年XX月Xx  日，因****行为被</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处以***罚款或者解除协议等(可提供页</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面打印件或复印件)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115" w:type="dxa"/>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申请信用修复</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的理由</w:t>
            </w:r>
          </w:p>
        </w:tc>
        <w:tc>
          <w:tcPr>
            <w:tcW w:w="2310" w:type="dxa"/>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符合《</w:t>
            </w:r>
            <w:r>
              <w:rPr>
                <w:rFonts w:hint="eastAsia" w:ascii="宋体" w:hAnsi="宋体" w:eastAsia="宋体" w:cs="宋体"/>
                <w:spacing w:val="-10"/>
                <w:sz w:val="24"/>
                <w:szCs w:val="24"/>
                <w:lang w:val="en-US" w:eastAsia="zh-CN"/>
              </w:rPr>
              <w:t>哈尔滨市</w:t>
            </w:r>
            <w:r>
              <w:rPr>
                <w:rFonts w:ascii="宋体" w:hAnsi="宋体" w:eastAsia="宋体" w:cs="宋体"/>
                <w:spacing w:val="-10"/>
                <w:sz w:val="24"/>
                <w:szCs w:val="24"/>
              </w:rPr>
              <w:t>医疗</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保障信用管理暂行</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办法》规定</w:t>
            </w:r>
          </w:p>
        </w:tc>
        <w:tc>
          <w:tcPr>
            <w:tcW w:w="4320" w:type="dxa"/>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第三十五条规定：符合□不符合□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3" w:hRule="atLeast"/>
        </w:trPr>
        <w:tc>
          <w:tcPr>
            <w:tcW w:w="8745" w:type="dxa"/>
            <w:gridSpan w:val="3"/>
            <w:vAlign w:val="top"/>
          </w:tcPr>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本单位(本人)声明，提交的材料真实有效。</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法定代表人(自然人)签字：    (盖章)</w:t>
            </w: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p>
          <w:p>
            <w:pPr>
              <w:pageBreakBefore w:val="0"/>
              <w:wordWrap/>
              <w:overflowPunct w:val="0"/>
              <w:topLinePunct w:val="0"/>
              <w:bidi w:val="0"/>
              <w:spacing w:line="277" w:lineRule="auto"/>
              <w:ind w:left="210" w:leftChars="100"/>
              <w:jc w:val="center"/>
              <w:rPr>
                <w:rFonts w:ascii="宋体" w:hAnsi="宋体" w:eastAsia="宋体" w:cs="宋体"/>
                <w:spacing w:val="-10"/>
                <w:sz w:val="24"/>
                <w:szCs w:val="24"/>
              </w:rPr>
            </w:pPr>
            <w:r>
              <w:rPr>
                <w:rFonts w:ascii="宋体" w:hAnsi="宋体" w:eastAsia="宋体" w:cs="宋体"/>
                <w:spacing w:val="-10"/>
                <w:sz w:val="24"/>
                <w:szCs w:val="24"/>
              </w:rPr>
              <w:t>申请日期：</w:t>
            </w:r>
          </w:p>
        </w:tc>
      </w:tr>
    </w:tbl>
    <w:p>
      <w:pPr>
        <w:spacing w:line="253" w:lineRule="auto"/>
        <w:rPr>
          <w:rFonts w:ascii="Arial"/>
          <w:sz w:val="24"/>
          <w:szCs w:val="24"/>
        </w:rPr>
      </w:pPr>
    </w:p>
    <w:p>
      <w:pPr>
        <w:spacing w:line="254" w:lineRule="auto"/>
        <w:rPr>
          <w:rFonts w:ascii="Arial"/>
          <w:sz w:val="24"/>
          <w:szCs w:val="24"/>
        </w:rPr>
      </w:pPr>
    </w:p>
    <w:p>
      <w:pPr>
        <w:spacing w:line="254" w:lineRule="auto"/>
        <w:rPr>
          <w:rFonts w:ascii="Arial"/>
          <w:sz w:val="24"/>
          <w:szCs w:val="24"/>
        </w:rPr>
      </w:pPr>
    </w:p>
    <w:p>
      <w:pPr>
        <w:spacing w:before="88" w:line="184" w:lineRule="auto"/>
        <w:ind w:left="7040"/>
        <w:rPr>
          <w:sz w:val="24"/>
          <w:szCs w:val="24"/>
        </w:rPr>
        <w:sectPr>
          <w:footerReference r:id="rId5" w:type="default"/>
          <w:pgSz w:w="12130" w:h="16980"/>
          <w:pgMar w:top="1443" w:right="1819" w:bottom="1880" w:left="1619" w:header="0" w:footer="1611" w:gutter="0"/>
          <w:cols w:space="720" w:num="1"/>
        </w:sectPr>
      </w:pPr>
    </w:p>
    <w:p>
      <w:pPr>
        <w:spacing w:before="53"/>
        <w:ind w:left="124" w:right="0" w:firstLine="0"/>
        <w:jc w:val="left"/>
        <w:rPr>
          <w:rFonts w:hint="eastAsia" w:ascii="黑体" w:eastAsia="黑体"/>
          <w:sz w:val="33"/>
        </w:rPr>
      </w:pPr>
      <w:r>
        <w:rPr>
          <w:rFonts w:hint="eastAsia" w:ascii="黑体" w:eastAsia="黑体"/>
          <w:sz w:val="33"/>
        </w:rPr>
        <w:t>附件4</w:t>
      </w:r>
    </w:p>
    <w:p>
      <w:pPr>
        <w:spacing w:line="310" w:lineRule="auto"/>
        <w:rPr>
          <w:rFonts w:ascii="Arial"/>
          <w:sz w:val="24"/>
          <w:szCs w:val="24"/>
        </w:rPr>
      </w:pPr>
    </w:p>
    <w:p>
      <w:pPr>
        <w:spacing w:line="311" w:lineRule="auto"/>
        <w:rPr>
          <w:rFonts w:ascii="Arial"/>
          <w:sz w:val="24"/>
          <w:szCs w:val="24"/>
        </w:rPr>
      </w:pPr>
    </w:p>
    <w:p>
      <w:pPr>
        <w:pageBreakBefore w:val="0"/>
        <w:wordWrap/>
        <w:overflowPunct w:val="0"/>
        <w:topLinePunct w:val="0"/>
        <w:bidi w:val="0"/>
        <w:adjustRightInd/>
        <w:snapToGrid/>
        <w:spacing w:line="600" w:lineRule="exact"/>
        <w:ind w:left="0" w:leftChars="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不予信用修复告知书</w:t>
      </w:r>
    </w:p>
    <w:p>
      <w:pPr>
        <w:spacing w:line="256" w:lineRule="auto"/>
        <w:rPr>
          <w:rFonts w:ascii="Arial"/>
          <w:sz w:val="24"/>
          <w:szCs w:val="24"/>
        </w:rPr>
      </w:pPr>
    </w:p>
    <w:p>
      <w:pPr>
        <w:spacing w:before="354"/>
        <w:ind w:left="119" w:right="0" w:firstLine="0"/>
        <w:jc w:val="left"/>
        <w:rPr>
          <w:rFonts w:hint="eastAsia"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eastAsia="zh-CN"/>
        </w:rPr>
        <w:t>：</w:t>
      </w: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669"/>
        <w:jc w:val="left"/>
        <w:rPr>
          <w:rFonts w:hint="eastAsia" w:ascii="仿宋" w:hAnsi="仿宋" w:eastAsia="仿宋" w:cs="仿宋"/>
          <w:spacing w:val="-5"/>
          <w:sz w:val="33"/>
        </w:rPr>
      </w:pPr>
      <w:r>
        <w:rPr>
          <w:rFonts w:hint="eastAsia" w:ascii="仿宋" w:hAnsi="仿宋" w:eastAsia="仿宋" w:cs="仿宋"/>
          <w:spacing w:val="-5"/>
          <w:sz w:val="33"/>
        </w:rPr>
        <w:t>我局于*年*月*日收到你(单位)提出的申请，经审查，不符合《</w:t>
      </w:r>
      <w:r>
        <w:rPr>
          <w:rFonts w:hint="eastAsia" w:ascii="仿宋" w:hAnsi="仿宋" w:eastAsia="仿宋" w:cs="仿宋"/>
          <w:spacing w:val="-5"/>
          <w:sz w:val="33"/>
          <w:lang w:val="en-US" w:eastAsia="zh-CN"/>
        </w:rPr>
        <w:t>哈尔滨市</w:t>
      </w:r>
      <w:r>
        <w:rPr>
          <w:rFonts w:hint="eastAsia" w:ascii="仿宋" w:hAnsi="仿宋" w:eastAsia="仿宋" w:cs="仿宋"/>
          <w:spacing w:val="-5"/>
          <w:sz w:val="33"/>
        </w:rPr>
        <w:t>医疗保障信用管理办法》规定，决定不予信用修复。</w:t>
      </w:r>
    </w:p>
    <w:p>
      <w:pPr>
        <w:spacing w:before="0" w:line="338" w:lineRule="auto"/>
        <w:ind w:left="119" w:right="226" w:firstLine="669"/>
        <w:jc w:val="left"/>
        <w:rPr>
          <w:rFonts w:hint="eastAsia" w:ascii="仿宋" w:hAnsi="仿宋" w:eastAsia="仿宋" w:cs="仿宋"/>
          <w:spacing w:val="-5"/>
          <w:sz w:val="33"/>
        </w:rPr>
      </w:pPr>
      <w:r>
        <w:rPr>
          <w:rFonts w:hint="eastAsia" w:ascii="仿宋" w:hAnsi="仿宋" w:eastAsia="仿宋" w:cs="仿宋"/>
          <w:spacing w:val="-5"/>
          <w:sz w:val="33"/>
        </w:rPr>
        <w:t>如不服本决定，可以自收到本告知书之日起5个工作日内，向***提出异议申请。</w:t>
      </w: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5814" w:firstLineChars="1817"/>
        <w:jc w:val="left"/>
        <w:rPr>
          <w:rFonts w:hint="eastAsia" w:ascii="仿宋" w:hAnsi="仿宋" w:eastAsia="仿宋" w:cs="仿宋"/>
          <w:spacing w:val="-5"/>
          <w:sz w:val="33"/>
        </w:rPr>
      </w:pPr>
      <w:r>
        <w:rPr>
          <w:rFonts w:hint="eastAsia" w:ascii="仿宋" w:hAnsi="仿宋" w:eastAsia="仿宋" w:cs="仿宋"/>
          <w:spacing w:val="-5"/>
          <w:sz w:val="33"/>
        </w:rPr>
        <w:t>单位名称(盖章)</w:t>
      </w: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6134" w:firstLineChars="1917"/>
        <w:jc w:val="left"/>
        <w:rPr>
          <w:rFonts w:hint="eastAsia" w:ascii="仿宋" w:hAnsi="仿宋" w:eastAsia="仿宋" w:cs="仿宋"/>
          <w:spacing w:val="-5"/>
          <w:sz w:val="33"/>
        </w:rPr>
      </w:pPr>
      <w:r>
        <w:rPr>
          <w:rFonts w:hint="eastAsia" w:ascii="仿宋" w:hAnsi="仿宋" w:eastAsia="仿宋" w:cs="仿宋"/>
          <w:spacing w:val="-5"/>
          <w:sz w:val="33"/>
        </w:rPr>
        <w:t>年 月  日</w:t>
      </w:r>
    </w:p>
    <w:p>
      <w:pPr>
        <w:spacing w:before="0" w:line="338" w:lineRule="auto"/>
        <w:ind w:left="119" w:right="226" w:firstLine="669"/>
        <w:jc w:val="left"/>
        <w:rPr>
          <w:rFonts w:hint="eastAsia" w:ascii="仿宋" w:hAnsi="仿宋" w:eastAsia="仿宋" w:cs="仿宋"/>
          <w:spacing w:val="-5"/>
          <w:sz w:val="33"/>
        </w:rPr>
      </w:pPr>
    </w:p>
    <w:p>
      <w:pPr>
        <w:spacing w:before="0" w:line="338" w:lineRule="auto"/>
        <w:ind w:left="119" w:right="226" w:firstLine="669"/>
        <w:jc w:val="left"/>
        <w:rPr>
          <w:rFonts w:ascii="仿宋" w:hAnsi="仿宋" w:eastAsia="仿宋" w:cs="仿宋"/>
          <w:sz w:val="32"/>
          <w:szCs w:val="32"/>
        </w:rPr>
      </w:pPr>
      <w:r>
        <w:rPr>
          <w:rFonts w:hint="eastAsia" w:ascii="仿宋" w:hAnsi="仿宋" w:eastAsia="仿宋" w:cs="仿宋"/>
          <w:spacing w:val="-5"/>
          <w:sz w:val="33"/>
        </w:rPr>
        <w:t>经办人：                          经办人电话：</w:t>
      </w:r>
    </w:p>
    <w:p>
      <w:pPr>
        <w:spacing w:line="242" w:lineRule="auto"/>
        <w:rPr>
          <w:rFonts w:ascii="Arial"/>
          <w:sz w:val="24"/>
          <w:szCs w:val="24"/>
        </w:rPr>
      </w:pPr>
    </w:p>
    <w:p>
      <w:pPr>
        <w:spacing w:line="242" w:lineRule="auto"/>
        <w:rPr>
          <w:rFonts w:ascii="Arial"/>
          <w:sz w:val="24"/>
          <w:szCs w:val="24"/>
        </w:rPr>
      </w:pPr>
    </w:p>
    <w:p>
      <w:pPr>
        <w:spacing w:line="242" w:lineRule="auto"/>
        <w:rPr>
          <w:rFonts w:ascii="Arial"/>
          <w:sz w:val="24"/>
          <w:szCs w:val="24"/>
        </w:rPr>
      </w:pPr>
    </w:p>
    <w:p>
      <w:pPr>
        <w:spacing w:before="84" w:line="224" w:lineRule="auto"/>
        <w:ind w:left="1350"/>
        <w:rPr>
          <w:rFonts w:ascii="黑体" w:hAnsi="黑体" w:eastAsia="黑体" w:cs="黑体"/>
          <w:spacing w:val="4"/>
          <w:sz w:val="32"/>
          <w:szCs w:val="32"/>
        </w:rPr>
      </w:pPr>
    </w:p>
    <w:p>
      <w:pPr>
        <w:spacing w:before="84" w:line="224" w:lineRule="auto"/>
        <w:ind w:left="1350"/>
        <w:rPr>
          <w:rFonts w:ascii="黑体" w:hAnsi="黑体" w:eastAsia="黑体" w:cs="黑体"/>
          <w:spacing w:val="4"/>
          <w:sz w:val="32"/>
          <w:szCs w:val="32"/>
        </w:rPr>
      </w:pPr>
    </w:p>
    <w:p>
      <w:pPr>
        <w:pageBreakBefore w:val="0"/>
        <w:wordWrap/>
        <w:overflowPunct w:val="0"/>
        <w:topLinePunct w:val="0"/>
        <w:bidi w:val="0"/>
        <w:spacing w:before="104" w:line="230" w:lineRule="auto"/>
        <w:jc w:val="both"/>
        <w:rPr>
          <w:rFonts w:ascii="黑体" w:hAnsi="黑体" w:eastAsia="黑体" w:cs="黑体"/>
          <w:spacing w:val="-13"/>
          <w:sz w:val="32"/>
          <w:szCs w:val="32"/>
        </w:rPr>
      </w:pPr>
      <w:r>
        <w:rPr>
          <w:rFonts w:ascii="黑体" w:hAnsi="黑体" w:eastAsia="黑体" w:cs="黑体"/>
          <w:spacing w:val="-13"/>
          <w:sz w:val="32"/>
          <w:szCs w:val="32"/>
        </w:rPr>
        <w:t>附件5</w:t>
      </w:r>
    </w:p>
    <w:p>
      <w:pPr>
        <w:spacing w:line="397" w:lineRule="auto"/>
        <w:rPr>
          <w:rFonts w:ascii="Arial"/>
          <w:sz w:val="24"/>
          <w:szCs w:val="24"/>
        </w:rPr>
      </w:pPr>
    </w:p>
    <w:p>
      <w:pPr>
        <w:spacing w:before="107" w:line="249" w:lineRule="auto"/>
        <w:ind w:right="1372"/>
        <w:jc w:val="right"/>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 xml:space="preserve">   哈尔滨市</w:t>
      </w:r>
      <w:r>
        <w:rPr>
          <w:rFonts w:hint="eastAsia" w:ascii="方正小标宋简体" w:hAnsi="方正小标宋简体" w:eastAsia="方正小标宋简体" w:cs="方正小标宋简体"/>
          <w:sz w:val="40"/>
          <w:szCs w:val="40"/>
        </w:rPr>
        <w:t>医疗保障信用修复确认通知书</w:t>
      </w:r>
    </w:p>
    <w:p>
      <w:pPr>
        <w:pageBreakBefore w:val="0"/>
        <w:wordWrap/>
        <w:overflowPunct w:val="0"/>
        <w:topLinePunct w:val="0"/>
        <w:bidi w:val="0"/>
        <w:spacing w:line="226" w:lineRule="auto"/>
        <w:ind w:left="5808"/>
        <w:jc w:val="both"/>
        <w:rPr>
          <w:rFonts w:ascii="黑体" w:hAnsi="黑体" w:eastAsia="黑体" w:cs="黑体"/>
          <w:spacing w:val="1"/>
          <w:sz w:val="32"/>
          <w:szCs w:val="32"/>
        </w:rPr>
      </w:pPr>
      <w:r>
        <w:rPr>
          <w:rFonts w:hint="eastAsia" w:ascii="黑体" w:hAnsi="黑体" w:eastAsia="黑体" w:cs="黑体"/>
          <w:spacing w:val="1"/>
          <w:sz w:val="32"/>
          <w:szCs w:val="32"/>
        </w:rPr>
        <w:t xml:space="preserve">编 </w:t>
      </w:r>
      <w:r>
        <w:rPr>
          <w:rFonts w:ascii="黑体" w:hAnsi="黑体" w:eastAsia="黑体" w:cs="黑体"/>
          <w:spacing w:val="1"/>
          <w:sz w:val="32"/>
          <w:szCs w:val="32"/>
        </w:rPr>
        <w:t>号 ：</w:t>
      </w:r>
    </w:p>
    <w:p>
      <w:pPr>
        <w:spacing w:line="60" w:lineRule="exact"/>
        <w:rPr>
          <w:sz w:val="24"/>
          <w:szCs w:val="24"/>
        </w:rPr>
      </w:pPr>
    </w:p>
    <w:tbl>
      <w:tblPr>
        <w:tblStyle w:val="6"/>
        <w:tblW w:w="8718"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953"/>
        <w:gridCol w:w="1101"/>
        <w:gridCol w:w="858"/>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875" w:type="dxa"/>
            <w:vMerge w:val="restart"/>
            <w:tcBorders>
              <w:bottom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申请修复的</w:t>
            </w: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失信主体</w:t>
            </w:r>
          </w:p>
        </w:tc>
        <w:tc>
          <w:tcPr>
            <w:tcW w:w="1953" w:type="dxa"/>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名称</w:t>
            </w:r>
          </w:p>
        </w:tc>
        <w:tc>
          <w:tcPr>
            <w:tcW w:w="4890" w:type="dxa"/>
            <w:gridSpan w:val="3"/>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(填写法人单位名称或自然人名称)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75" w:type="dxa"/>
            <w:vMerge w:val="continue"/>
            <w:tcBorders>
              <w:top w:val="nil"/>
              <w:bottom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tc>
        <w:tc>
          <w:tcPr>
            <w:tcW w:w="1953" w:type="dxa"/>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统一社会信用代码</w:t>
            </w:r>
          </w:p>
        </w:tc>
        <w:tc>
          <w:tcPr>
            <w:tcW w:w="4890" w:type="dxa"/>
            <w:gridSpan w:val="3"/>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(自然人填写身份证号)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75" w:type="dxa"/>
            <w:vMerge w:val="continue"/>
            <w:tcBorders>
              <w:top w:val="nil"/>
              <w:bottom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tc>
        <w:tc>
          <w:tcPr>
            <w:tcW w:w="1953" w:type="dxa"/>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法定代表人</w:t>
            </w:r>
          </w:p>
        </w:tc>
        <w:tc>
          <w:tcPr>
            <w:tcW w:w="1101" w:type="dxa"/>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tc>
        <w:tc>
          <w:tcPr>
            <w:tcW w:w="858" w:type="dxa"/>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联系方式</w:t>
            </w:r>
          </w:p>
        </w:tc>
        <w:tc>
          <w:tcPr>
            <w:tcW w:w="2931" w:type="dxa"/>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875" w:type="dxa"/>
            <w:vMerge w:val="continue"/>
            <w:tcBorders>
              <w:top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tc>
        <w:tc>
          <w:tcPr>
            <w:tcW w:w="1953" w:type="dxa"/>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失信信息内容</w:t>
            </w:r>
          </w:p>
        </w:tc>
        <w:tc>
          <w:tcPr>
            <w:tcW w:w="4890" w:type="dxa"/>
            <w:gridSpan w:val="3"/>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1875" w:type="dxa"/>
            <w:vAlign w:val="top"/>
          </w:tcPr>
          <w:p>
            <w:pPr>
              <w:pageBreakBefore w:val="0"/>
              <w:wordWrap/>
              <w:overflowPunct w:val="0"/>
              <w:topLinePunct w:val="0"/>
              <w:bidi w:val="0"/>
              <w:spacing w:before="265" w:line="228" w:lineRule="auto"/>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医疗保障</w:t>
            </w: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部门意见</w:t>
            </w:r>
          </w:p>
        </w:tc>
        <w:tc>
          <w:tcPr>
            <w:tcW w:w="1953" w:type="dxa"/>
            <w:vAlign w:val="top"/>
          </w:tcPr>
          <w:p>
            <w:pPr>
              <w:pageBreakBefore w:val="0"/>
              <w:wordWrap/>
              <w:overflowPunct w:val="0"/>
              <w:topLinePunct w:val="0"/>
              <w:bidi w:val="0"/>
              <w:spacing w:before="265" w:line="228" w:lineRule="auto"/>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修复条件</w:t>
            </w: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认定情况</w:t>
            </w:r>
          </w:p>
        </w:tc>
        <w:tc>
          <w:tcPr>
            <w:tcW w:w="4890" w:type="dxa"/>
            <w:gridSpan w:val="3"/>
            <w:vAlign w:val="top"/>
          </w:tcPr>
          <w:p>
            <w:pPr>
              <w:pageBreakBefore w:val="0"/>
              <w:wordWrap/>
              <w:overflowPunct w:val="0"/>
              <w:topLinePunct w:val="0"/>
              <w:bidi w:val="0"/>
              <w:spacing w:before="265" w:line="228" w:lineRule="auto"/>
              <w:ind w:left="297"/>
              <w:jc w:val="both"/>
              <w:rPr>
                <w:rFonts w:hint="eastAsia" w:ascii="宋体" w:hAnsi="宋体" w:eastAsia="宋体" w:cs="宋体"/>
                <w:spacing w:val="4"/>
                <w:sz w:val="23"/>
                <w:szCs w:val="23"/>
                <w:lang w:eastAsia="zh-CN"/>
              </w:rPr>
            </w:pPr>
            <w:r>
              <w:rPr>
                <w:rFonts w:ascii="宋体" w:hAnsi="宋体" w:eastAsia="宋体" w:cs="宋体"/>
                <w:spacing w:val="4"/>
                <w:sz w:val="23"/>
                <w:szCs w:val="23"/>
              </w:rPr>
              <w:t>经核实，已履行法定责任和义务，社会不良影响 基本消除，至电请日，失信信息已披露x年x个月，期间未产生新的记入信用档案的同类失信信息</w:t>
            </w:r>
            <w:r>
              <w:rPr>
                <w:rFonts w:hint="eastAsia" w:ascii="宋体" w:hAnsi="宋体" w:eastAsia="宋体" w:cs="宋体"/>
                <w:spacing w:val="4"/>
                <w:sz w:val="23"/>
                <w:szCs w:val="2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875" w:type="dxa"/>
            <w:vMerge w:val="restart"/>
            <w:tcBorders>
              <w:bottom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修复处理</w:t>
            </w: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意见</w:t>
            </w:r>
          </w:p>
        </w:tc>
        <w:tc>
          <w:tcPr>
            <w:tcW w:w="6843" w:type="dxa"/>
            <w:gridSpan w:val="4"/>
            <w:tcBorders>
              <w:bottom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center"/>
              <w:rPr>
                <w:rFonts w:ascii="宋体" w:hAnsi="宋体" w:eastAsia="宋体" w:cs="宋体"/>
                <w:spacing w:val="4"/>
                <w:sz w:val="23"/>
                <w:szCs w:val="23"/>
              </w:rPr>
            </w:pPr>
            <w:r>
              <w:rPr>
                <w:rFonts w:ascii="宋体" w:hAnsi="宋体" w:eastAsia="宋体" w:cs="宋体"/>
                <w:spacing w:val="4"/>
                <w:sz w:val="23"/>
                <w:szCs w:val="23"/>
              </w:rPr>
              <w:t>予以修复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trPr>
        <w:tc>
          <w:tcPr>
            <w:tcW w:w="1875" w:type="dxa"/>
            <w:vMerge w:val="continue"/>
            <w:tcBorders>
              <w:top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tc>
        <w:tc>
          <w:tcPr>
            <w:tcW w:w="3054" w:type="dxa"/>
            <w:gridSpan w:val="2"/>
            <w:tcBorders>
              <w:top w:val="nil"/>
              <w:right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经办人 ：</w:t>
            </w:r>
          </w:p>
        </w:tc>
        <w:tc>
          <w:tcPr>
            <w:tcW w:w="3789" w:type="dxa"/>
            <w:gridSpan w:val="2"/>
            <w:tcBorders>
              <w:top w:val="nil"/>
              <w:left w:val="nil"/>
            </w:tcBorders>
            <w:vAlign w:val="top"/>
          </w:tcPr>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单位(盖章)</w:t>
            </w: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p>
          <w:p>
            <w:pPr>
              <w:pageBreakBefore w:val="0"/>
              <w:wordWrap/>
              <w:overflowPunct w:val="0"/>
              <w:topLinePunct w:val="0"/>
              <w:bidi w:val="0"/>
              <w:spacing w:before="265" w:line="228" w:lineRule="auto"/>
              <w:ind w:left="297"/>
              <w:jc w:val="both"/>
              <w:rPr>
                <w:rFonts w:ascii="宋体" w:hAnsi="宋体" w:eastAsia="宋体" w:cs="宋体"/>
                <w:spacing w:val="4"/>
                <w:sz w:val="23"/>
                <w:szCs w:val="23"/>
              </w:rPr>
            </w:pPr>
            <w:r>
              <w:rPr>
                <w:rFonts w:ascii="宋体" w:hAnsi="宋体" w:eastAsia="宋体" w:cs="宋体"/>
                <w:spacing w:val="4"/>
                <w:sz w:val="23"/>
                <w:szCs w:val="23"/>
              </w:rPr>
              <w:t>年   月      日</w:t>
            </w:r>
          </w:p>
        </w:tc>
      </w:tr>
    </w:tbl>
    <w:p>
      <w:pPr>
        <w:spacing w:line="255" w:lineRule="auto"/>
        <w:rPr>
          <w:rFonts w:ascii="Arial"/>
          <w:sz w:val="24"/>
          <w:szCs w:val="24"/>
        </w:rPr>
      </w:pPr>
    </w:p>
    <w:p>
      <w:pPr>
        <w:spacing w:line="255" w:lineRule="auto"/>
        <w:rPr>
          <w:rFonts w:ascii="Arial"/>
          <w:sz w:val="24"/>
          <w:szCs w:val="24"/>
        </w:rPr>
      </w:pPr>
    </w:p>
    <w:p>
      <w:pPr>
        <w:spacing w:line="255" w:lineRule="auto"/>
        <w:rPr>
          <w:rFonts w:ascii="Arial"/>
          <w:sz w:val="24"/>
          <w:szCs w:val="24"/>
        </w:rPr>
      </w:pPr>
    </w:p>
    <w:p>
      <w:pPr>
        <w:spacing w:line="256" w:lineRule="auto"/>
        <w:rPr>
          <w:rFonts w:ascii="Arial"/>
          <w:sz w:val="24"/>
          <w:szCs w:val="24"/>
        </w:rPr>
      </w:pPr>
    </w:p>
    <w:p>
      <w:pPr>
        <w:spacing w:line="296" w:lineRule="auto"/>
        <w:rPr>
          <w:rFonts w:ascii="Arial"/>
          <w:sz w:val="24"/>
          <w:szCs w:val="24"/>
        </w:rPr>
      </w:pPr>
    </w:p>
    <w:p>
      <w:pPr>
        <w:spacing w:line="296" w:lineRule="auto"/>
        <w:rPr>
          <w:rFonts w:ascii="Arial"/>
          <w:sz w:val="24"/>
          <w:szCs w:val="24"/>
        </w:rPr>
      </w:pPr>
    </w:p>
    <w:p>
      <w:pPr>
        <w:spacing w:line="297" w:lineRule="auto"/>
        <w:rPr>
          <w:rFonts w:ascii="Arial"/>
          <w:sz w:val="24"/>
          <w:szCs w:val="24"/>
        </w:rPr>
      </w:pPr>
    </w:p>
    <w:p>
      <w:pPr>
        <w:spacing w:line="297" w:lineRule="auto"/>
        <w:rPr>
          <w:rFonts w:ascii="Arial"/>
          <w:sz w:val="24"/>
          <w:szCs w:val="24"/>
        </w:rPr>
      </w:pPr>
    </w:p>
    <w:p>
      <w:pPr>
        <w:tabs>
          <w:tab w:val="left" w:pos="288"/>
        </w:tabs>
        <w:spacing w:before="85" w:line="222" w:lineRule="auto"/>
        <w:rPr>
          <w:rFonts w:ascii="仿宋" w:hAnsi="仿宋" w:eastAsia="仿宋" w:cs="仿宋"/>
          <w:sz w:val="32"/>
          <w:szCs w:val="32"/>
        </w:rPr>
      </w:pPr>
    </w:p>
    <w:sectPr>
      <w:footerReference r:id="rId6" w:type="default"/>
      <w:pgSz w:w="12200" w:h="17030"/>
      <w:pgMar w:top="1447" w:right="1689" w:bottom="400" w:left="16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79577"/>
    <w:multiLevelType w:val="singleLevel"/>
    <w:tmpl w:val="9B17957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dkMmEzMDNiZGZiNDZhOTdlZjFjM2ZjNzY1ZGEyNjMifQ=="/>
  </w:docVars>
  <w:rsids>
    <w:rsidRoot w:val="00000000"/>
    <w:rsid w:val="0C8A236B"/>
    <w:rsid w:val="0DC76B70"/>
    <w:rsid w:val="12874FEB"/>
    <w:rsid w:val="25F30C5B"/>
    <w:rsid w:val="37ED6FC5"/>
    <w:rsid w:val="39663F4D"/>
    <w:rsid w:val="3E734D17"/>
    <w:rsid w:val="4E314F79"/>
    <w:rsid w:val="50A04202"/>
    <w:rsid w:val="522C1538"/>
    <w:rsid w:val="58B33FF2"/>
    <w:rsid w:val="67DF0790"/>
    <w:rsid w:val="683C7AA3"/>
    <w:rsid w:val="725D01A1"/>
    <w:rsid w:val="74393307"/>
    <w:rsid w:val="7644195F"/>
    <w:rsid w:val="766A5A07"/>
    <w:rsid w:val="7AC5563D"/>
    <w:rsid w:val="7E786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5331</Words>
  <Characters>5401</Characters>
  <TotalTime>316</TotalTime>
  <ScaleCrop>false</ScaleCrop>
  <LinksUpToDate>false</LinksUpToDate>
  <CharactersWithSpaces>5586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2023-08-17T10:08:00Z</dcterms:created>
  <dc:creator>Kingsoft-PDF</dc:creator>
  <cp:lastModifiedBy>DELL</cp:lastModifiedBy>
  <cp:lastPrinted>2023-10-27T02:48:02Z</cp:lastPrinted>
  <dcterms:modified xsi:type="dcterms:W3CDTF">2023-10-27T02:52:22Z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2023-08-17T10:08:30Z</vt:filetime>
  </property>
  <property fmtid="{D5CDD505-2E9C-101B-9397-08002B2CF9AE}" pid="4" name="UsrData">
    <vt:lpwstr>64dd8111ec219a001f0b4032</vt:lpwstr>
  </property>
  <property fmtid="{D5CDD505-2E9C-101B-9397-08002B2CF9AE}" pid="5" name="KSOProductBuildVer">
    <vt:lpwstr>2052-12.1.0.15712</vt:lpwstr>
  </property>
  <property fmtid="{D5CDD505-2E9C-101B-9397-08002B2CF9AE}" pid="6" name="ICV">
    <vt:lpwstr>CFC333082BD04D2E9C7E092DB7D9FFD6_13</vt:lpwstr>
  </property>
</Properties>
</file>