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深圳市202</w:t>
      </w:r>
      <w:r>
        <w:rPr>
          <w:rFonts w:hint="default"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lang w:val="en-US" w:eastAsia="zh-CN"/>
        </w:rPr>
        <w:t>年医疗机构申报新增医疗服务价格项目</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审核结果公示表</w:t>
      </w:r>
    </w:p>
    <w:bookmarkEnd w:id="0"/>
    <w:tbl>
      <w:tblPr>
        <w:tblStyle w:val="7"/>
        <w:tblW w:w="140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585"/>
        <w:gridCol w:w="2177"/>
        <w:gridCol w:w="5135"/>
        <w:gridCol w:w="1353"/>
        <w:gridCol w:w="915"/>
        <w:gridCol w:w="136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blHeader/>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项目编码</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项目名称</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项目内涵</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除外内容</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计价单位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说明</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u w:val="none"/>
                <w:lang w:val="en"/>
              </w:rPr>
            </w:pPr>
            <w:r>
              <w:rPr>
                <w:rFonts w:hint="eastAsia" w:ascii="宋体" w:hAnsi="宋体" w:eastAsia="宋体" w:cs="宋体"/>
                <w:b/>
                <w:i w:val="0"/>
                <w:color w:val="auto"/>
                <w:kern w:val="0"/>
                <w:sz w:val="20"/>
                <w:szCs w:val="20"/>
                <w:u w:val="none"/>
                <w:lang w:val="en-US" w:eastAsia="zh-CN" w:bidi="ar"/>
              </w:rPr>
              <w:t>审核结果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 w:eastAsia="zh-CN" w:bidi="ar-SA"/>
              </w:rPr>
            </w:pPr>
            <w:r>
              <w:rPr>
                <w:rFonts w:hint="eastAsia" w:asciiTheme="minorEastAsia" w:hAnsiTheme="minorEastAsia" w:eastAsiaTheme="minorEastAsia" w:cstheme="minorEastAsia"/>
                <w:i w:val="0"/>
                <w:color w:val="auto"/>
                <w:sz w:val="20"/>
                <w:szCs w:val="20"/>
                <w:u w:val="none"/>
                <w:lang w:val="en-US" w:eastAsia="zh-CN"/>
              </w:rPr>
              <w:t>220302XXX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i w:val="0"/>
                <w:color w:val="auto"/>
                <w:sz w:val="20"/>
                <w:szCs w:val="20"/>
                <w:u w:val="none"/>
                <w:lang w:val="en-US" w:eastAsia="zh-CN"/>
              </w:rPr>
              <w:t>超声融合成像</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指超声与其他影像融合，针对超声相应区域特点，做出诊断，出具图文报告。</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sz w:val="20"/>
                <w:szCs w:val="20"/>
                <w:u w:val="none"/>
                <w:lang w:val="en-US" w:eastAsia="zh-CN"/>
              </w:rPr>
              <w:t>每部位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 w:eastAsia="zh-CN" w:bidi="ar-SA"/>
              </w:rPr>
            </w:pPr>
            <w:r>
              <w:rPr>
                <w:rFonts w:hint="eastAsia" w:ascii="宋体" w:hAnsi="宋体" w:eastAsia="宋体" w:cs="宋体"/>
                <w:i w:val="0"/>
                <w:color w:val="auto"/>
                <w:sz w:val="20"/>
                <w:szCs w:val="20"/>
                <w:u w:val="none"/>
                <w:lang w:val="en-US" w:eastAsia="zh-CN"/>
              </w:rPr>
              <w:t>270700XXX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前哨淋巴结CK19 mRNA 一步法核酸扩增检测</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指分析CK19基因mRNA表达量，明确淋巴结是否发生癌转移及转移灶大小。</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sz w:val="20"/>
                <w:szCs w:val="20"/>
                <w:u w:val="none"/>
                <w:lang w:val="en-US" w:eastAsia="zh-CN"/>
              </w:rPr>
              <w:t>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sz w:val="20"/>
                <w:szCs w:val="20"/>
                <w:u w:val="none"/>
                <w:lang w:val="en-US" w:eastAsia="zh-CN"/>
              </w:rPr>
              <w:t>每例患者检查4枚前哨淋巴结。</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300000XXX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使用刨削刀加收</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手术中使用刨削刀对异常组织进行刨削或其他操作。</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310100XXX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磁共振引导下聚焦超声颅内治疗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指在磁共振成像系统（MRI）的实时监控和可视引导下，将设备聚焦超声能量以非侵入性方式通过完整的颅骨作用于脑组织，靶向热消融大脑中导致运动障碍症状的指定区域，适用于治疗药物难治性特发性震颤或以震颤为主的帕金森病。</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磁共振引导聚焦超声治疗系统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3103XXXXX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眼部生物测量</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指</w:t>
            </w:r>
            <w:r>
              <w:rPr>
                <w:rFonts w:hint="eastAsia" w:ascii="宋体" w:hAnsi="宋体" w:eastAsia="宋体" w:cs="宋体"/>
                <w:i w:val="0"/>
                <w:color w:val="auto"/>
                <w:sz w:val="20"/>
                <w:szCs w:val="20"/>
                <w:u w:val="none"/>
              </w:rPr>
              <w:t>使用眼科光学生物测量仪分别测定右、左眼眼轴长度、角膜曲率和厚度、瞳孔直径、前房深度、晶体厚度等数据，出具报告。</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default" w:ascii="宋体" w:hAnsi="宋体" w:eastAsia="宋体" w:cs="宋体"/>
                <w:i w:val="0"/>
                <w:color w:val="auto"/>
                <w:sz w:val="20"/>
                <w:szCs w:val="20"/>
                <w:u w:val="none"/>
                <w:lang w:val="en"/>
              </w:rPr>
              <w:t>310403</w:t>
            </w:r>
            <w:r>
              <w:rPr>
                <w:rFonts w:hint="eastAsia" w:ascii="宋体" w:hAnsi="宋体" w:eastAsia="宋体" w:cs="宋体"/>
                <w:i w:val="0"/>
                <w:color w:val="auto"/>
                <w:sz w:val="20"/>
                <w:szCs w:val="20"/>
                <w:u w:val="none"/>
                <w:lang w:val="en-US" w:eastAsia="zh-CN"/>
              </w:rPr>
              <w:t>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电子喉镜下声带注射</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指</w:t>
            </w:r>
            <w:r>
              <w:rPr>
                <w:rFonts w:hint="eastAsia" w:ascii="宋体" w:hAnsi="宋体" w:eastAsia="宋体" w:cs="宋体"/>
                <w:i w:val="0"/>
                <w:color w:val="auto"/>
                <w:sz w:val="20"/>
                <w:szCs w:val="20"/>
                <w:u w:val="none"/>
              </w:rPr>
              <w:t>经电子喉镜腔内声带注射操作</w:t>
            </w:r>
            <w:r>
              <w:rPr>
                <w:rFonts w:hint="eastAsia" w:ascii="宋体" w:hAnsi="宋体" w:eastAsia="宋体" w:cs="宋体"/>
                <w:i w:val="0"/>
                <w:color w:val="auto"/>
                <w:sz w:val="20"/>
                <w:szCs w:val="20"/>
                <w:u w:val="none"/>
                <w:lang w:eastAsia="zh-CN"/>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一次性使用喷洒导管</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一次性使用内镜注射针</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310513XXX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龈牙关系精准微创重建术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指通过数字化设计、3D模型与导板制作、牙龈翻瓣、牙槽骨修整、牙龈成形、缝合、牙周塞治、激光或超声骨刀，解决因生理或非生理原因导致的龈牙关系不协调。</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每牙</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310903XXX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内镜逆行阑尾炎治疗术（ERAT）</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rPr>
              <w:t>指经内镜通道，通过抽吸、冲洗、取石等方式治疗阑尾炎。不含肠镜检查</w:t>
            </w:r>
            <w:r>
              <w:rPr>
                <w:rFonts w:hint="eastAsia" w:ascii="宋体" w:hAnsi="宋体" w:eastAsia="宋体" w:cs="宋体"/>
                <w:i w:val="0"/>
                <w:color w:val="auto"/>
                <w:sz w:val="20"/>
                <w:szCs w:val="20"/>
                <w:u w:val="none"/>
                <w:lang w:eastAsia="zh-CN"/>
              </w:rPr>
              <w:t>、X线引导。</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导管、导丝、切开刀、支架、取石球囊、取石网篮、金属夹、手术膜</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310905XXX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复合式液氮实体肿瘤消融术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采用超低温冷冻消融和高温热消融复合式模式，实现肿瘤消融治疗。不含超声及CT引导费用。</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一次性使用无菌复合式冷热消融针</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每个病灶</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肿瘤病灶最大径≥3cm时，加收不超过60%</w:t>
            </w:r>
            <w:r>
              <w:rPr>
                <w:rFonts w:hint="eastAsia" w:ascii="宋体" w:hAnsi="宋体" w:eastAsia="宋体" w:cs="宋体"/>
                <w:i w:val="0"/>
                <w:color w:val="auto"/>
                <w:sz w:val="20"/>
                <w:szCs w:val="20"/>
                <w:u w:val="none"/>
                <w:lang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 w:eastAsia="zh-CN" w:bidi="ar-SA"/>
              </w:rPr>
            </w:pPr>
            <w:r>
              <w:rPr>
                <w:rFonts w:hint="default" w:ascii="宋体" w:hAnsi="宋体" w:eastAsia="宋体" w:cs="宋体"/>
                <w:i w:val="0"/>
                <w:color w:val="auto"/>
                <w:sz w:val="20"/>
                <w:szCs w:val="20"/>
                <w:u w:val="none"/>
                <w:lang w:val="en"/>
              </w:rPr>
              <w:t>3114000XX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sz w:val="20"/>
                <w:szCs w:val="20"/>
                <w:u w:val="none"/>
              </w:rPr>
              <w:t>皮肤软组织血流灌注测量</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sz w:val="20"/>
                <w:szCs w:val="20"/>
                <w:u w:val="none"/>
              </w:rPr>
              <w:t>使用血流灌注仪测量瘢痕及皮瓣血流灌注，评估皮瓣血流实时动态变化情况，及时发现血管危象，辅助患者提高治疗效果。</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311400XXX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皮肤反射式共聚焦显微镜检查</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采用激光光源，应用共聚焦显微成像技术，用于在体皮肤表皮及真皮浅层组织细胞观察，高分辨率成像。</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部位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311502XXX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清醒维持试验（MWT）</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含4次短暂多导睡眠监测</w:t>
            </w:r>
            <w:r>
              <w:rPr>
                <w:rFonts w:hint="eastAsia" w:ascii="宋体" w:hAnsi="宋体" w:eastAsia="宋体" w:cs="宋体"/>
                <w:i w:val="0"/>
                <w:color w:val="auto"/>
                <w:sz w:val="20"/>
                <w:szCs w:val="20"/>
                <w:u w:val="none"/>
                <w:lang w:eastAsia="zh-CN"/>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311503XXX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经颅直流电刺激治疗（tDCS）</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通过特定的电流刺激调节皮层神经细胞活动的治疗技术。价格构成涵盖低值物耗品、设备、水电、房屋损耗及人力资源消耗。</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default" w:ascii="宋体" w:hAnsi="宋体" w:eastAsia="宋体" w:cs="宋体"/>
                <w:i w:val="0"/>
                <w:color w:val="auto"/>
                <w:sz w:val="20"/>
                <w:szCs w:val="20"/>
                <w:u w:val="none"/>
                <w:lang w:val="en"/>
              </w:rPr>
              <w:t>320600</w:t>
            </w:r>
            <w:r>
              <w:rPr>
                <w:rFonts w:hint="eastAsia" w:ascii="宋体" w:hAnsi="宋体" w:eastAsia="宋体" w:cs="宋体"/>
                <w:i w:val="0"/>
                <w:color w:val="auto"/>
                <w:sz w:val="20"/>
                <w:szCs w:val="20"/>
                <w:u w:val="none"/>
                <w:lang w:val="en-US" w:eastAsia="zh-CN"/>
              </w:rPr>
              <w:t>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神经三维旋转血管造影及三维重建术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对病灶区域血管进行多角度连续捕捉造影，形成清晰三维血管结构影像，指导手术治疗。适用于栓塞动脉瘤、颅内动静脉畸形栓塞和颈动脉狭窄支架置入等神经介入手术治疗。</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highlight w:val="none"/>
                <w:u w:val="none"/>
                <w:lang w:val="en" w:eastAsia="zh-CN" w:bidi="ar-SA"/>
              </w:rPr>
            </w:pPr>
            <w:r>
              <w:rPr>
                <w:rFonts w:hint="default" w:ascii="宋体" w:hAnsi="宋体" w:eastAsia="宋体" w:cs="宋体"/>
                <w:i w:val="0"/>
                <w:color w:val="auto"/>
                <w:sz w:val="20"/>
                <w:szCs w:val="20"/>
                <w:highlight w:val="none"/>
                <w:u w:val="none"/>
                <w:lang w:val="en"/>
              </w:rPr>
              <w:t>33040</w:t>
            </w:r>
            <w:r>
              <w:rPr>
                <w:rFonts w:hint="eastAsia" w:ascii="宋体" w:hAnsi="宋体" w:eastAsia="宋体" w:cs="宋体"/>
                <w:i w:val="0"/>
                <w:color w:val="auto"/>
                <w:sz w:val="20"/>
                <w:szCs w:val="20"/>
                <w:highlight w:val="none"/>
                <w:u w:val="none"/>
                <w:lang w:val="en-US" w:eastAsia="zh-CN"/>
              </w:rPr>
              <w:t>0X</w:t>
            </w:r>
            <w:r>
              <w:rPr>
                <w:rFonts w:hint="default" w:ascii="宋体" w:hAnsi="宋体" w:eastAsia="宋体" w:cs="宋体"/>
                <w:i w:val="0"/>
                <w:color w:val="auto"/>
                <w:sz w:val="20"/>
                <w:szCs w:val="20"/>
                <w:highlight w:val="none"/>
                <w:u w:val="none"/>
                <w:lang w:val="en"/>
              </w:rPr>
              <w:t>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sz w:val="20"/>
                <w:szCs w:val="20"/>
                <w:highlight w:val="none"/>
                <w:u w:val="none"/>
              </w:rPr>
              <w:t>术中使用飞秒激光辅助加收</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sz w:val="20"/>
                <w:szCs w:val="20"/>
                <w:highlight w:val="none"/>
                <w:u w:val="none"/>
                <w:lang w:eastAsia="zh-CN"/>
              </w:rPr>
              <w:t>应用飞秒激光系统辅助完成眼部手术。</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sz w:val="20"/>
                <w:szCs w:val="20"/>
                <w:highlight w:val="none"/>
                <w:u w:val="none"/>
              </w:rPr>
              <w:t>患者接口套包组件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sz w:val="20"/>
                <w:szCs w:val="20"/>
                <w:highlight w:val="none"/>
                <w:u w:val="none"/>
                <w:lang w:eastAsia="zh-CN"/>
              </w:rPr>
              <w:t>次/只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highlight w:val="none"/>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
              </w:rPr>
            </w:pPr>
            <w:r>
              <w:rPr>
                <w:rFonts w:hint="default" w:ascii="宋体" w:hAnsi="宋体" w:eastAsia="宋体" w:cs="宋体"/>
                <w:i w:val="0"/>
                <w:color w:val="auto"/>
                <w:sz w:val="20"/>
                <w:szCs w:val="20"/>
                <w:highlight w:val="none"/>
                <w:u w:val="none"/>
                <w:lang w:val="en"/>
              </w:rPr>
              <w:t>330400XXX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散光性角膜切开术（AK）</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rPr>
              <w:t>应用标记器标记切口位置，行角膜切口，矫正角膜散光</w:t>
            </w:r>
            <w:r>
              <w:rPr>
                <w:rFonts w:hint="eastAsia" w:ascii="宋体" w:hAnsi="宋体" w:eastAsia="宋体" w:cs="宋体"/>
                <w:i w:val="0"/>
                <w:color w:val="auto"/>
                <w:sz w:val="20"/>
                <w:szCs w:val="20"/>
                <w:highlight w:val="none"/>
                <w:u w:val="none"/>
                <w:lang w:eastAsia="zh-CN"/>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一次性角膜定深刀、粘弹剂</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rPr>
              <w:t>次/只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330405XXX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Schlemm管成形术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指</w:t>
            </w:r>
            <w:r>
              <w:rPr>
                <w:rFonts w:hint="eastAsia" w:ascii="宋体" w:hAnsi="宋体" w:eastAsia="宋体" w:cs="宋体"/>
                <w:i w:val="0"/>
                <w:color w:val="auto"/>
                <w:sz w:val="20"/>
                <w:szCs w:val="20"/>
                <w:u w:val="none"/>
              </w:rPr>
              <w:t>通过扩张施莱姆氏管改善房水引流。</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单侧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Schlemm管切开术按此标准收费</w:t>
            </w:r>
            <w:r>
              <w:rPr>
                <w:rFonts w:hint="eastAsia" w:ascii="宋体" w:hAnsi="宋体" w:eastAsia="宋体" w:cs="宋体"/>
                <w:i w:val="0"/>
                <w:color w:val="auto"/>
                <w:sz w:val="20"/>
                <w:szCs w:val="20"/>
                <w:u w:val="none"/>
                <w:lang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default" w:ascii="宋体" w:hAnsi="宋体" w:eastAsia="宋体" w:cs="宋体"/>
                <w:i w:val="0"/>
                <w:color w:val="auto"/>
                <w:sz w:val="20"/>
                <w:szCs w:val="20"/>
                <w:u w:val="none"/>
                <w:lang w:val="en"/>
              </w:rPr>
              <w:t>331008</w:t>
            </w:r>
            <w:r>
              <w:rPr>
                <w:rFonts w:hint="eastAsia" w:ascii="宋体" w:hAnsi="宋体" w:eastAsia="宋体" w:cs="宋体"/>
                <w:i w:val="0"/>
                <w:color w:val="auto"/>
                <w:sz w:val="20"/>
                <w:szCs w:val="20"/>
                <w:u w:val="none"/>
                <w:lang w:val="en-US" w:eastAsia="zh-CN"/>
              </w:rPr>
              <w:t>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腹腔镜肝取活检术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含活检</w:t>
            </w:r>
            <w:r>
              <w:rPr>
                <w:rFonts w:hint="eastAsia" w:ascii="宋体" w:hAnsi="宋体" w:eastAsia="宋体" w:cs="宋体"/>
                <w:i w:val="0"/>
                <w:color w:val="auto"/>
                <w:sz w:val="20"/>
                <w:szCs w:val="20"/>
                <w:u w:val="none"/>
                <w:lang w:eastAsia="zh-CN"/>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331201XXX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经尿道前列腺悬扩术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经尿道植入前列腺束钉，约束膨出的前列腺组织至前列腺外包膜。</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束钉</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default" w:ascii="宋体" w:hAnsi="宋体" w:eastAsia="宋体" w:cs="宋体"/>
                <w:i w:val="0"/>
                <w:color w:val="auto"/>
                <w:sz w:val="20"/>
                <w:szCs w:val="20"/>
                <w:u w:val="none"/>
                <w:lang w:val="en"/>
              </w:rPr>
              <w:t>331303</w:t>
            </w:r>
            <w:r>
              <w:rPr>
                <w:rFonts w:hint="eastAsia" w:ascii="宋体" w:hAnsi="宋体" w:eastAsia="宋体" w:cs="宋体"/>
                <w:i w:val="0"/>
                <w:color w:val="auto"/>
                <w:sz w:val="20"/>
                <w:szCs w:val="20"/>
                <w:u w:val="none"/>
                <w:lang w:val="en-US" w:eastAsia="zh-CN"/>
              </w:rPr>
              <w:t>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广泛宫旁切除术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对全子宫切除术后发现宫颈癌者行广泛宫旁切除，含宫旁组织切除术、阴道上段切除术及盆腔淋巴结术</w:t>
            </w:r>
            <w:r>
              <w:rPr>
                <w:rFonts w:hint="eastAsia" w:ascii="宋体" w:hAnsi="宋体" w:eastAsia="宋体" w:cs="宋体"/>
                <w:i w:val="0"/>
                <w:color w:val="auto"/>
                <w:sz w:val="20"/>
                <w:szCs w:val="20"/>
                <w:u w:val="none"/>
                <w:lang w:eastAsia="zh-CN"/>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eastAsia="zh-CN"/>
              </w:rPr>
            </w:pPr>
            <w:r>
              <w:rPr>
                <w:rFonts w:hint="default" w:ascii="宋体" w:hAnsi="宋体" w:eastAsia="宋体" w:cs="宋体"/>
                <w:i w:val="0"/>
                <w:color w:val="auto"/>
                <w:sz w:val="20"/>
                <w:szCs w:val="20"/>
                <w:u w:val="none"/>
                <w:lang w:val="en"/>
              </w:rPr>
              <w:t>331306</w:t>
            </w:r>
            <w:r>
              <w:rPr>
                <w:rFonts w:hint="eastAsia" w:ascii="宋体" w:hAnsi="宋体" w:eastAsia="宋体" w:cs="宋体"/>
                <w:i w:val="0"/>
                <w:color w:val="auto"/>
                <w:sz w:val="20"/>
                <w:szCs w:val="20"/>
                <w:u w:val="none"/>
                <w:lang w:val="en-US" w:eastAsia="zh-CN"/>
              </w:rPr>
              <w:t>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宫腔镜左炔诺孕酮宫内释放系统（LNG-IUS）缝合固定术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指</w:t>
            </w:r>
            <w:r>
              <w:rPr>
                <w:rFonts w:hint="eastAsia" w:ascii="宋体" w:hAnsi="宋体" w:eastAsia="宋体" w:cs="宋体"/>
                <w:i w:val="0"/>
                <w:color w:val="auto"/>
                <w:sz w:val="20"/>
                <w:szCs w:val="20"/>
                <w:u w:val="none"/>
              </w:rPr>
              <w:t>使用宫腔镜系统将左炔诺孕酮宫内释放系统（LNG-IUS）置入宫腔，使用不可吸收缝线将左炔诺孕酮宫内释放系统（LNG-IUS）缝合固定于宫腔内。</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左炔诺孕酮宫内释放系统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22</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340200XXX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肌骨系统运动损伤术后重返运动评估</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为关节内结构修复重建术后、肌肉损伤和骨折治疗后患者进行重返运动评估，筛查重返运动再损伤风险</w:t>
            </w:r>
            <w:r>
              <w:rPr>
                <w:rFonts w:hint="eastAsia" w:ascii="宋体" w:hAnsi="宋体" w:eastAsia="宋体" w:cs="宋体"/>
                <w:i w:val="0"/>
                <w:color w:val="auto"/>
                <w:sz w:val="20"/>
                <w:szCs w:val="20"/>
                <w:u w:val="none"/>
                <w:lang w:eastAsia="zh-CN"/>
              </w:rPr>
              <w:t>。</w:t>
            </w:r>
            <w:r>
              <w:rPr>
                <w:rFonts w:hint="eastAsia" w:ascii="宋体" w:hAnsi="宋体" w:eastAsia="宋体" w:cs="宋体"/>
                <w:i w:val="0"/>
                <w:color w:val="auto"/>
                <w:sz w:val="20"/>
                <w:szCs w:val="20"/>
                <w:u w:val="none"/>
              </w:rPr>
              <w:t>评估项目包含一般查体及特殊检查、关节活动度和稳定性、肌肉力量、神经肌肉控制能力、平衡能力、心理准备情况、关节功能评估量表、运动专项测试等功能评估，给予患者是否可以重返运动建议，并制定进一步运动康复方案。</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23</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eastAsia" w:ascii="宋体" w:hAnsi="宋体" w:eastAsia="宋体" w:cs="宋体"/>
                <w:i w:val="0"/>
                <w:color w:val="auto"/>
                <w:kern w:val="0"/>
                <w:sz w:val="20"/>
                <w:szCs w:val="20"/>
                <w:u w:val="none"/>
                <w:lang w:val="en-US" w:eastAsia="zh-CN" w:bidi="ar"/>
              </w:rPr>
              <w:t>310508XXX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牙列动态咬合分析</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应用电子咬合测力器对咬合力、合力分布、咬合平衡、早接触、咬合干扰等造成的咬合创伤的因素包括原发性潜在因素进行动态定位/半定量的诊断并行干预后评估、协助治疗计划制定和疗效评估。间接反映颞下颌关节和咀嚼肌问题并益于制定个性化的治疗计划。</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薄膜传感器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每次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每次包括最早/最大接触（位点、力、时间）、前后左右运动的合接触（位点、力、时间）检测、开闭口时间记录与合关系分析</w:t>
            </w:r>
            <w:r>
              <w:rPr>
                <w:rFonts w:hint="eastAsia" w:ascii="宋体" w:hAnsi="宋体" w:eastAsia="宋体" w:cs="宋体"/>
                <w:i w:val="0"/>
                <w:color w:val="auto"/>
                <w:sz w:val="20"/>
                <w:szCs w:val="20"/>
                <w:u w:val="none"/>
                <w:lang w:eastAsia="zh-CN"/>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24</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310604XXX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耐药病原菌个体化精准治疗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将适当浓度的个体化的细菌病毒，雾化/喷洒/局部注射特定耐多药细菌的感染部位治疗。</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25</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310607XXX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高浓度氧射流雾化治疗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高压氧标准治疗中，应用高浓度氧射流雾化装置进行雾化吸入治疗。在不同压力治疗条件下应用。每次治疗后射流雾化装置消毒。</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一次性使用气流雾化器</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26</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eastAsia" w:ascii="宋体" w:hAnsi="宋体" w:eastAsia="宋体" w:cs="宋体"/>
                <w:i w:val="0"/>
                <w:color w:val="auto"/>
                <w:kern w:val="0"/>
                <w:sz w:val="20"/>
                <w:szCs w:val="20"/>
                <w:u w:val="none"/>
                <w:lang w:val="en-US" w:eastAsia="zh-CN" w:bidi="ar"/>
              </w:rPr>
              <w:t>311400XXX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吸入性过敏原注射免疫治疗</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吸入变应原免疫治疗分剂量递增和剂量维持两个阶段，递增阶段注射变应原剂量逐渐由低到高，维持阶段注射固定剂量的变应原注射液。严禁在没有抢救设备和药品的环境进行该项治疗。</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27</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311400XXX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激光生发</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用于消炎、镇痛、体表创面止渗液、生发。</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28</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330400XXX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飞秒激光散光性角膜切开术（FSAK）</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rPr>
              <w:t>调试飞秒激光机，输入患者信息及相关参数，应用飞秒激光系统制作飞秒激光散光性角膜切口矫正角膜散光</w:t>
            </w:r>
            <w:r>
              <w:rPr>
                <w:rFonts w:hint="eastAsia" w:ascii="宋体" w:hAnsi="宋体" w:eastAsia="宋体" w:cs="宋体"/>
                <w:i w:val="0"/>
                <w:color w:val="auto"/>
                <w:sz w:val="20"/>
                <w:szCs w:val="20"/>
                <w:u w:val="none"/>
                <w:lang w:eastAsia="zh-CN"/>
              </w:rPr>
              <w:t>。</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患者接口套包组件</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次/只</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8"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29</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
              </w:rPr>
            </w:pPr>
            <w:r>
              <w:rPr>
                <w:rFonts w:hint="default" w:ascii="宋体" w:hAnsi="宋体" w:eastAsia="宋体" w:cs="宋体"/>
                <w:i w:val="0"/>
                <w:color w:val="auto"/>
                <w:sz w:val="20"/>
                <w:szCs w:val="20"/>
                <w:u w:val="none"/>
                <w:lang w:val="en"/>
              </w:rPr>
              <w:t>340200XXX</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矫形器外固定术</w:t>
            </w:r>
          </w:p>
        </w:tc>
        <w:tc>
          <w:tcPr>
            <w:tcW w:w="5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矫形器外固定术内容含评估技术、矫形器设计方案、测量、医用石膏绷带取型技术、矫形器制作加工技术、适配评估技术，并进行宣教医疗服务。不含耗材医用高分子夹板（又称低温板材），医用外固定夹板等。</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医用高分子夹板（又称低温板材），医用外固定夹板等。</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拟不通过</w:t>
            </w:r>
          </w:p>
        </w:tc>
      </w:tr>
    </w:tbl>
    <w:p>
      <w:pPr>
        <w:jc w:val="left"/>
        <w:rPr>
          <w:rFonts w:hint="eastAsia" w:ascii="黑体" w:hAnsi="黑体" w:eastAsia="黑体" w:cs="黑体"/>
          <w:sz w:val="44"/>
          <w:szCs w:val="44"/>
          <w:lang w:val="en-US" w:eastAsia="zh-CN"/>
        </w:rPr>
      </w:pPr>
    </w:p>
    <w:sectPr>
      <w:footerReference r:id="rId3" w:type="default"/>
      <w:pgSz w:w="16838" w:h="11906" w:orient="landscape"/>
      <w:pgMar w:top="1587" w:right="1984" w:bottom="1474" w:left="209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_GBK">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4868545</wp:posOffset>
              </wp:positionH>
              <wp:positionV relativeFrom="paragraph">
                <wp:posOffset>-125730</wp:posOffset>
              </wp:positionV>
              <wp:extent cx="748030"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803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35pt;margin-top:-9.9pt;height:22.05pt;width:58.9pt;mso-position-horizontal-relative:margin;z-index:251659264;mso-width-relative:page;mso-height-relative:page;" filled="f" stroked="f" coordsize="21600,21600" o:gfxdata="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">
              <v:fill on="f" focussize="0,0"/>
              <v:stroke on="f" weight="0.5pt"/>
              <v:imagedata o:title=""/>
              <o:lock v:ext="edit" aspectratio="f"/>
              <v:textbox inset="0mm,0mm,0mm,0mm">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45234"/>
    <w:rsid w:val="00F603E6"/>
    <w:rsid w:val="0209266A"/>
    <w:rsid w:val="06A505C1"/>
    <w:rsid w:val="06FD2D6F"/>
    <w:rsid w:val="082462F3"/>
    <w:rsid w:val="0D7D7815"/>
    <w:rsid w:val="1299716E"/>
    <w:rsid w:val="160174B8"/>
    <w:rsid w:val="18CB0988"/>
    <w:rsid w:val="19A57683"/>
    <w:rsid w:val="1C3C4D31"/>
    <w:rsid w:val="1D103492"/>
    <w:rsid w:val="1DFD54FF"/>
    <w:rsid w:val="21597131"/>
    <w:rsid w:val="2577240D"/>
    <w:rsid w:val="263970DD"/>
    <w:rsid w:val="28F85569"/>
    <w:rsid w:val="29CD2D65"/>
    <w:rsid w:val="2CA568F2"/>
    <w:rsid w:val="2F180B46"/>
    <w:rsid w:val="2F300262"/>
    <w:rsid w:val="309C6DAC"/>
    <w:rsid w:val="310516E5"/>
    <w:rsid w:val="32193138"/>
    <w:rsid w:val="32A915AC"/>
    <w:rsid w:val="3381734C"/>
    <w:rsid w:val="35C45234"/>
    <w:rsid w:val="3982147F"/>
    <w:rsid w:val="39D878FE"/>
    <w:rsid w:val="3A374296"/>
    <w:rsid w:val="3AC53563"/>
    <w:rsid w:val="3FCDC2B0"/>
    <w:rsid w:val="40E544CF"/>
    <w:rsid w:val="45283A02"/>
    <w:rsid w:val="460C5F71"/>
    <w:rsid w:val="46DC06FB"/>
    <w:rsid w:val="48FB00A2"/>
    <w:rsid w:val="4BC53ED0"/>
    <w:rsid w:val="4BCD0C9C"/>
    <w:rsid w:val="54AE3152"/>
    <w:rsid w:val="55533907"/>
    <w:rsid w:val="57C1733C"/>
    <w:rsid w:val="5DCE2A95"/>
    <w:rsid w:val="5E3BD923"/>
    <w:rsid w:val="5E817A90"/>
    <w:rsid w:val="5F2038C9"/>
    <w:rsid w:val="5F33403F"/>
    <w:rsid w:val="60A7571B"/>
    <w:rsid w:val="65A12B86"/>
    <w:rsid w:val="67160C83"/>
    <w:rsid w:val="67D7B58D"/>
    <w:rsid w:val="6841330B"/>
    <w:rsid w:val="692F292B"/>
    <w:rsid w:val="6D070B38"/>
    <w:rsid w:val="6DD3062F"/>
    <w:rsid w:val="6E095142"/>
    <w:rsid w:val="6E0A4FC7"/>
    <w:rsid w:val="6FA47235"/>
    <w:rsid w:val="72031D92"/>
    <w:rsid w:val="73027D53"/>
    <w:rsid w:val="7385111B"/>
    <w:rsid w:val="74B411E1"/>
    <w:rsid w:val="764C739E"/>
    <w:rsid w:val="773B3353"/>
    <w:rsid w:val="7BFE1933"/>
    <w:rsid w:val="7C2017E8"/>
    <w:rsid w:val="7CFFF464"/>
    <w:rsid w:val="7EB57213"/>
    <w:rsid w:val="7F27BFF2"/>
    <w:rsid w:val="7F5F8A35"/>
    <w:rsid w:val="7FDA3E6C"/>
    <w:rsid w:val="7FEF3C07"/>
    <w:rsid w:val="7FFA7216"/>
    <w:rsid w:val="9DF78A07"/>
    <w:rsid w:val="BF3D95E6"/>
    <w:rsid w:val="BF3EE914"/>
    <w:rsid w:val="BFFDDEEA"/>
    <w:rsid w:val="DFBFE106"/>
    <w:rsid w:val="EE34F84F"/>
    <w:rsid w:val="EF3DC35C"/>
    <w:rsid w:val="EFFE89B1"/>
    <w:rsid w:val="FF8FAA55"/>
    <w:rsid w:val="FFB2165F"/>
    <w:rsid w:val="FFDE86FE"/>
    <w:rsid w:val="FFFD2A2E"/>
    <w:rsid w:val="FFFF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font51"/>
    <w:basedOn w:val="8"/>
    <w:qFormat/>
    <w:uiPriority w:val="0"/>
    <w:rPr>
      <w:rFonts w:hint="eastAsia" w:ascii="仿宋_GB2312" w:eastAsia="仿宋_GB2312" w:cs="仿宋_GB2312"/>
      <w:color w:val="000000"/>
      <w:sz w:val="22"/>
      <w:szCs w:val="22"/>
      <w:u w:val="none"/>
    </w:rPr>
  </w:style>
  <w:style w:type="character" w:customStyle="1" w:styleId="11">
    <w:name w:val="font41"/>
    <w:basedOn w:val="8"/>
    <w:qFormat/>
    <w:uiPriority w:val="0"/>
    <w:rPr>
      <w:rFonts w:hint="eastAsia" w:ascii="仿宋_GB2312" w:eastAsia="仿宋_GB2312" w:cs="仿宋_GB2312"/>
      <w:color w:val="000000"/>
      <w:sz w:val="22"/>
      <w:szCs w:val="22"/>
      <w:u w:val="none"/>
    </w:rPr>
  </w:style>
  <w:style w:type="character" w:customStyle="1" w:styleId="12">
    <w:name w:val="font151"/>
    <w:basedOn w:val="8"/>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2020-11-24T14:33:00Z</dcterms:created>
  <dc:creator>庹世静</dc:creator>
  <cp:lastModifiedBy>相格格</cp:lastModifiedBy>
  <cp:lastPrinted>2023-10-25T06:50:00Z</cp:lastPrinted>
  <dcterms:modified xsi:type="dcterms:W3CDTF">2023-10-27T14:42:19Z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DDFD97F02D350772CB5B3B6593046A9D</vt:lpwstr>
  </property>
</Properties>
</file>