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560" w:lineRule="exact"/>
        <w:jc w:val="center"/>
        <w:rPr>
          <w:rFonts w:hint="eastAsia" w:ascii="方正小标宋简体" w:hAnsi="方正小标宋简体" w:eastAsia="方正小标宋简体" w:cs="方正小标宋简体"/>
          <w:b w:val="0"/>
          <w:bCs w:val="0"/>
          <w:i w:val="0"/>
          <w:iCs w:val="0"/>
          <w:caps w:val="0"/>
          <w:color w:val="auto"/>
          <w:spacing w:val="0"/>
          <w:kern w:val="0"/>
          <w:sz w:val="44"/>
          <w:szCs w:val="44"/>
          <w:highlight w:val="none"/>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highlight w:val="none"/>
          <w:shd w:val="clear" w:color="auto" w:fill="FFFFFF"/>
          <w:lang w:val="en-US" w:eastAsia="zh-CN" w:bidi="ar"/>
        </w:rPr>
        <w:t>关于公开征求《吉林省医疗保障区域点数法总额预算和多元复合式医保支付方式经办管理规程（试行）（征求意见稿）》</w:t>
      </w:r>
    </w:p>
    <w:p>
      <w:pPr>
        <w:keepNext w:val="0"/>
        <w:keepLines w:val="0"/>
        <w:widowControl/>
        <w:suppressLineNumbers w:val="0"/>
        <w:spacing w:line="560" w:lineRule="exact"/>
        <w:jc w:val="center"/>
        <w:rPr>
          <w:rFonts w:hint="eastAsia" w:ascii="方正小标宋简体" w:hAnsi="方正小标宋简体" w:eastAsia="方正小标宋简体" w:cs="方正小标宋简体"/>
          <w:b w:val="0"/>
          <w:bCs w:val="0"/>
          <w:i w:val="0"/>
          <w:iCs w:val="0"/>
          <w:caps w:val="0"/>
          <w:color w:val="auto"/>
          <w:spacing w:val="0"/>
          <w:kern w:val="0"/>
          <w:sz w:val="44"/>
          <w:szCs w:val="44"/>
          <w:highlight w:val="none"/>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highlight w:val="none"/>
          <w:shd w:val="clear" w:color="auto" w:fill="FFFFFF"/>
          <w:lang w:val="en-US" w:eastAsia="zh-CN" w:bidi="ar"/>
        </w:rPr>
        <w:t>意见的公告</w:t>
      </w:r>
    </w:p>
    <w:p>
      <w:pPr>
        <w:ind w:firstLine="640" w:firstLineChars="200"/>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按照《中共中央国务院关于深化医疗保障制度改革的意见》（中发〔2020〕5号）、《关于印发〈吉林省医疗保障区域点数法总额预算和多元复合式医保支付方式暂行办法〉的通知》（吉林省医保发〔2023〕5号）有关要求，为深化医保支付方式改革，积极稳妥做好区域点数法总额预算和多元复合式医保支付方式经办工作，我局牵头起草了《吉林省医疗保障区域点数法总额预算和多元复合式医保支付方式经办管理规程（试行）（征求意见稿）》，现向社会公开征求意见，公众可通过电子邮件或书面信函方式提出意见，意见反馈截止时间为2023年11月</w:t>
      </w:r>
      <w:r>
        <w:rPr>
          <w:rFonts w:hint="default" w:ascii="仿宋" w:hAnsi="仿宋" w:eastAsia="仿宋" w:cs="仿宋"/>
          <w:color w:val="auto"/>
          <w:kern w:val="0"/>
          <w:sz w:val="32"/>
          <w:szCs w:val="32"/>
          <w:highlight w:val="none"/>
          <w:lang w:eastAsia="zh-CN" w:bidi="ar"/>
        </w:rPr>
        <w:t>8</w:t>
      </w:r>
      <w:r>
        <w:rPr>
          <w:rFonts w:hint="eastAsia" w:ascii="仿宋" w:hAnsi="仿宋" w:eastAsia="仿宋" w:cs="仿宋"/>
          <w:color w:val="auto"/>
          <w:kern w:val="0"/>
          <w:sz w:val="32"/>
          <w:szCs w:val="32"/>
          <w:highlight w:val="none"/>
          <w:lang w:val="en-US" w:eastAsia="zh-CN" w:bidi="ar"/>
        </w:rPr>
        <w:t>日。</w:t>
      </w:r>
    </w:p>
    <w:p>
      <w:pPr>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　　电子邮箱：sybyoudi@dingtalk.com，邮件主题请注明“支付方式改革经办规程意见反馈”。</w:t>
      </w:r>
    </w:p>
    <w:p>
      <w:pPr>
        <w:rPr>
          <w:rFonts w:hint="eastAsia" w:ascii="仿宋" w:hAnsi="仿宋" w:eastAsia="仿宋" w:cs="仿宋"/>
          <w:color w:val="auto"/>
          <w:kern w:val="0"/>
          <w:sz w:val="32"/>
          <w:szCs w:val="32"/>
          <w:highlight w:val="none"/>
          <w:lang w:val="en-US" w:eastAsia="zh-CN" w:bidi="ar"/>
        </w:rPr>
      </w:pPr>
    </w:p>
    <w:p>
      <w:pPr>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　　通讯地址：吉林省长春市二道区自由大路3999号省社会医疗保险管理局医药服务部（邮编：130031），并请在信封上注明“支付方式改革经办规程意见反馈”字样。</w:t>
      </w:r>
    </w:p>
    <w:p>
      <w:pPr>
        <w:rPr>
          <w:rFonts w:hint="eastAsia" w:ascii="仿宋" w:hAnsi="仿宋" w:eastAsia="仿宋" w:cs="仿宋"/>
          <w:color w:val="auto"/>
          <w:kern w:val="0"/>
          <w:sz w:val="32"/>
          <w:szCs w:val="32"/>
          <w:highlight w:val="none"/>
          <w:lang w:val="en-US" w:eastAsia="zh-CN" w:bidi="ar"/>
        </w:rPr>
      </w:pPr>
    </w:p>
    <w:p>
      <w:pPr>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　　</w:t>
      </w:r>
    </w:p>
    <w:p>
      <w:pPr>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　　附件：吉林省医疗保障区域点数法总额预算和多元复合式医保支付方式经办管理规程（试行）（征求意见稿）</w:t>
      </w:r>
    </w:p>
    <w:p>
      <w:pPr>
        <w:rPr>
          <w:rFonts w:hint="eastAsia" w:ascii="仿宋" w:hAnsi="仿宋" w:eastAsia="仿宋" w:cs="仿宋"/>
          <w:color w:val="auto"/>
          <w:kern w:val="0"/>
          <w:sz w:val="32"/>
          <w:szCs w:val="32"/>
          <w:highlight w:val="none"/>
          <w:lang w:val="en-US" w:eastAsia="zh-CN" w:bidi="ar"/>
        </w:rPr>
      </w:pPr>
    </w:p>
    <w:p>
      <w:pPr>
        <w:jc w:val="right"/>
        <w:rPr>
          <w:rFonts w:hint="default"/>
          <w:color w:val="auto"/>
          <w:highlight w:val="none"/>
          <w:lang w:val="en-US"/>
        </w:rPr>
      </w:pPr>
      <w:r>
        <w:rPr>
          <w:rFonts w:hint="eastAsia" w:ascii="仿宋" w:hAnsi="仿宋" w:eastAsia="仿宋" w:cs="仿宋"/>
          <w:color w:val="auto"/>
          <w:kern w:val="0"/>
          <w:sz w:val="32"/>
          <w:szCs w:val="32"/>
          <w:highlight w:val="none"/>
          <w:lang w:val="en-US" w:eastAsia="zh-CN" w:bidi="ar"/>
        </w:rPr>
        <w:t>吉林省医疗保障局　                                                2023年10月2</w:t>
      </w:r>
      <w:r>
        <w:rPr>
          <w:rFonts w:hint="default" w:ascii="仿宋" w:hAnsi="仿宋" w:eastAsia="仿宋" w:cs="仿宋"/>
          <w:color w:val="auto"/>
          <w:kern w:val="0"/>
          <w:sz w:val="32"/>
          <w:szCs w:val="32"/>
          <w:highlight w:val="none"/>
          <w:lang w:eastAsia="zh-CN" w:bidi="ar"/>
        </w:rPr>
        <w:t>5</w:t>
      </w:r>
      <w:r>
        <w:rPr>
          <w:rFonts w:hint="eastAsia" w:ascii="仿宋" w:hAnsi="仿宋" w:eastAsia="仿宋" w:cs="仿宋"/>
          <w:color w:val="auto"/>
          <w:kern w:val="0"/>
          <w:sz w:val="32"/>
          <w:szCs w:val="32"/>
          <w:highlight w:val="none"/>
          <w:lang w:val="en-US" w:eastAsia="zh-CN" w:bidi="ar"/>
        </w:rPr>
        <w:t>日</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sectPr>
          <w:pgSz w:w="11906" w:h="16838"/>
          <w:pgMar w:top="2098" w:right="1474" w:bottom="1984" w:left="1587" w:header="851" w:footer="992" w:gutter="0"/>
          <w:pgNumType w:fmt="numberInDash"/>
          <w:cols w:space="425" w:num="1"/>
          <w:docGrid w:type="lines" w:linePitch="312" w:charSpace="0"/>
        </w:sectPr>
      </w:pPr>
    </w:p>
    <w:p>
      <w:pPr>
        <w:spacing w:line="600" w:lineRule="exact"/>
        <w:jc w:val="both"/>
        <w:outlineLvl w:val="0"/>
        <w:rPr>
          <w:rFonts w:hint="eastAsia" w:ascii="方正小标宋简体" w:hAnsi="宋体" w:eastAsia="方正小标宋简体"/>
          <w:bCs/>
          <w:color w:val="auto"/>
          <w:sz w:val="44"/>
          <w:szCs w:val="44"/>
          <w:highlight w:val="none"/>
          <w:lang w:val="en-US" w:eastAsia="zh-CN"/>
        </w:rPr>
      </w:pPr>
    </w:p>
    <w:p>
      <w:pPr>
        <w:spacing w:line="600" w:lineRule="exact"/>
        <w:jc w:val="both"/>
        <w:outlineLvl w:val="0"/>
        <w:rPr>
          <w:rFonts w:hint="eastAsia" w:ascii="方正小标宋简体" w:hAnsi="宋体" w:eastAsia="方正小标宋简体"/>
          <w:bCs/>
          <w:color w:val="auto"/>
          <w:sz w:val="44"/>
          <w:szCs w:val="44"/>
          <w:highlight w:val="none"/>
          <w:lang w:val="en-US" w:eastAsia="zh-CN"/>
        </w:rPr>
      </w:pPr>
    </w:p>
    <w:p>
      <w:pPr>
        <w:spacing w:line="600" w:lineRule="exact"/>
        <w:jc w:val="center"/>
        <w:outlineLvl w:val="0"/>
        <w:rPr>
          <w:rFonts w:hint="eastAsia" w:ascii="方正小标宋简体" w:hAnsi="宋体" w:eastAsia="方正小标宋简体"/>
          <w:bCs/>
          <w:color w:val="auto"/>
          <w:sz w:val="44"/>
          <w:szCs w:val="44"/>
          <w:highlight w:val="none"/>
        </w:rPr>
      </w:pPr>
      <w:r>
        <w:rPr>
          <w:rFonts w:hint="eastAsia" w:ascii="方正小标宋简体" w:hAnsi="宋体" w:eastAsia="方正小标宋简体"/>
          <w:bCs/>
          <w:color w:val="auto"/>
          <w:sz w:val="44"/>
          <w:szCs w:val="44"/>
          <w:highlight w:val="none"/>
        </w:rPr>
        <w:t>吉林省医疗保障区域点数法总额预算</w:t>
      </w:r>
    </w:p>
    <w:p>
      <w:pPr>
        <w:spacing w:line="600" w:lineRule="exact"/>
        <w:jc w:val="center"/>
        <w:outlineLvl w:val="0"/>
        <w:rPr>
          <w:rFonts w:hint="eastAsia" w:ascii="方正小标宋简体" w:hAnsi="宋体" w:eastAsia="方正小标宋简体"/>
          <w:bCs/>
          <w:color w:val="auto"/>
          <w:sz w:val="44"/>
          <w:szCs w:val="44"/>
          <w:highlight w:val="none"/>
        </w:rPr>
      </w:pPr>
      <w:bookmarkStart w:id="0" w:name="_Toc8222"/>
      <w:bookmarkStart w:id="1" w:name="_Toc32191"/>
      <w:r>
        <w:rPr>
          <w:rFonts w:hint="eastAsia" w:ascii="方正小标宋简体" w:hAnsi="宋体" w:eastAsia="方正小标宋简体"/>
          <w:bCs/>
          <w:color w:val="auto"/>
          <w:sz w:val="44"/>
          <w:szCs w:val="44"/>
          <w:highlight w:val="none"/>
        </w:rPr>
        <w:t>和多元复合式医保支付方式</w:t>
      </w:r>
      <w:bookmarkEnd w:id="0"/>
      <w:bookmarkEnd w:id="1"/>
    </w:p>
    <w:p>
      <w:pPr>
        <w:spacing w:line="600" w:lineRule="exact"/>
        <w:jc w:val="center"/>
        <w:outlineLvl w:val="0"/>
        <w:rPr>
          <w:rFonts w:hint="eastAsia" w:ascii="方正小标宋简体" w:hAnsi="宋体" w:eastAsia="方正小标宋简体"/>
          <w:bCs/>
          <w:color w:val="auto"/>
          <w:sz w:val="44"/>
          <w:szCs w:val="44"/>
          <w:highlight w:val="none"/>
        </w:rPr>
      </w:pPr>
      <w:bookmarkStart w:id="2" w:name="_Toc12104"/>
      <w:bookmarkStart w:id="3" w:name="_Toc13200"/>
      <w:r>
        <w:rPr>
          <w:rFonts w:hint="eastAsia" w:ascii="方正小标宋简体" w:hAnsi="宋体" w:eastAsia="方正小标宋简体"/>
          <w:bCs/>
          <w:color w:val="auto"/>
          <w:sz w:val="44"/>
          <w:szCs w:val="44"/>
          <w:highlight w:val="none"/>
        </w:rPr>
        <w:t>经办管理规程（试行）</w:t>
      </w:r>
      <w:bookmarkEnd w:id="2"/>
      <w:bookmarkEnd w:id="3"/>
    </w:p>
    <w:p>
      <w:pPr>
        <w:pStyle w:val="7"/>
        <w:jc w:val="center"/>
        <w:rPr>
          <w:rFonts w:hint="eastAsia" w:eastAsia="方正小标宋简体"/>
          <w:color w:val="auto"/>
          <w:sz w:val="36"/>
          <w:szCs w:val="36"/>
          <w:highlight w:val="none"/>
          <w:lang w:eastAsia="zh-CN"/>
        </w:rPr>
      </w:pPr>
      <w:r>
        <w:rPr>
          <w:rFonts w:hint="eastAsia" w:ascii="方正小标宋简体" w:hAnsi="宋体" w:eastAsia="方正小标宋简体"/>
          <w:bCs/>
          <w:color w:val="auto"/>
          <w:sz w:val="36"/>
          <w:szCs w:val="36"/>
          <w:highlight w:val="none"/>
          <w:lang w:eastAsia="zh-CN"/>
        </w:rPr>
        <w:t>（</w:t>
      </w:r>
      <w:r>
        <w:rPr>
          <w:rFonts w:hint="eastAsia" w:ascii="方正小标宋简体" w:hAnsi="宋体" w:eastAsia="方正小标宋简体"/>
          <w:bCs/>
          <w:color w:val="auto"/>
          <w:sz w:val="36"/>
          <w:szCs w:val="36"/>
          <w:highlight w:val="none"/>
          <w:lang w:val="en-US" w:eastAsia="zh-CN"/>
        </w:rPr>
        <w:t>征求意见稿</w:t>
      </w:r>
      <w:r>
        <w:rPr>
          <w:rFonts w:hint="eastAsia" w:ascii="方正小标宋简体" w:hAnsi="宋体" w:eastAsia="方正小标宋简体"/>
          <w:bCs/>
          <w:color w:val="auto"/>
          <w:sz w:val="36"/>
          <w:szCs w:val="36"/>
          <w:highlight w:val="none"/>
          <w:lang w:eastAsia="zh-CN"/>
        </w:rPr>
        <w:t>）</w:t>
      </w:r>
    </w:p>
    <w:p>
      <w:pPr>
        <w:keepNext w:val="0"/>
        <w:keepLines w:val="0"/>
        <w:pageBreakBefore w:val="0"/>
        <w:widowControl w:val="0"/>
        <w:kinsoku/>
        <w:wordWrap/>
        <w:overflowPunct/>
        <w:topLinePunct w:val="0"/>
        <w:bidi w:val="0"/>
        <w:adjustRightInd/>
        <w:snapToGrid/>
        <w:spacing w:line="560" w:lineRule="exact"/>
        <w:ind w:left="0" w:leftChars="0" w:right="0" w:rightChars="0"/>
        <w:textAlignment w:val="auto"/>
        <w:rPr>
          <w:rFonts w:ascii="仿宋_GB2312" w:eastAsia="仿宋_GB2312"/>
          <w:color w:val="auto"/>
          <w:sz w:val="32"/>
          <w:szCs w:val="32"/>
          <w:highlight w:val="none"/>
        </w:rPr>
      </w:pPr>
    </w:p>
    <w:p>
      <w:pPr>
        <w:pStyle w:val="7"/>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hAnsi="仿宋_GB2312" w:cs="仿宋_GB2312"/>
          <w:color w:val="auto"/>
          <w:kern w:val="0"/>
          <w:sz w:val="32"/>
          <w:szCs w:val="32"/>
          <w:highlight w:val="none"/>
          <w:lang w:val="en-US" w:eastAsia="zh-CN" w:bidi="ar"/>
        </w:rPr>
        <w:t>【</w:t>
      </w:r>
      <w:r>
        <w:rPr>
          <w:rFonts w:hint="eastAsia" w:ascii="黑体" w:hAnsi="黑体" w:eastAsia="黑体" w:cs="黑体"/>
          <w:color w:val="auto"/>
          <w:kern w:val="0"/>
          <w:sz w:val="32"/>
          <w:szCs w:val="32"/>
          <w:highlight w:val="none"/>
          <w:lang w:val="en-US" w:eastAsia="zh-CN" w:bidi="ar"/>
        </w:rPr>
        <w:t>目的和依据</w:t>
      </w:r>
      <w:r>
        <w:rPr>
          <w:rFonts w:hint="eastAsia" w:hAnsi="仿宋_GB2312" w:cs="仿宋_GB2312"/>
          <w:color w:val="auto"/>
          <w:kern w:val="0"/>
          <w:sz w:val="32"/>
          <w:szCs w:val="32"/>
          <w:highlight w:val="none"/>
          <w:lang w:val="en-US" w:eastAsia="zh-CN" w:bidi="ar"/>
        </w:rPr>
        <w:t>】</w:t>
      </w:r>
      <w:r>
        <w:rPr>
          <w:rFonts w:hint="eastAsia" w:ascii="仿宋" w:hAnsi="仿宋" w:eastAsia="仿宋" w:cs="仿宋"/>
          <w:color w:val="auto"/>
          <w:kern w:val="0"/>
          <w:sz w:val="32"/>
          <w:szCs w:val="32"/>
          <w:highlight w:val="none"/>
          <w:lang w:val="en-US" w:eastAsia="zh-CN" w:bidi="ar"/>
        </w:rPr>
        <w:t>为进一步深化医保支付方式改革，发挥医保基金战略性购买作用，推进医疗保障和医药服务高质量协同发展，保障参保人员基本权益，积极稳妥做好区域点数法总额预算和多元复合式医保支付方式经办工作，按照《中共中央国务院关于深化医疗保障制度改革的意见》（中发〔2020〕5号）、《国家医疗保障局办公室关于印发按疾病诊断相关分组（DRG）付费医疗保障经办管理规程（试行）的通知》（医保办发〔2021〕23号）、《国家医疗保障局办公室关于印发按病种分值付费（DIP）医疗保障经办管理规程（试行）的通知》（医保办发〔2021〕27号）、《关于印发〈吉林省医疗保障区域点数法总额预算和多元复合式医保支付方式暂行办法〉的通知》（吉林省医保发〔2023〕5号）等相关文件规定，制定本规程。</w:t>
      </w:r>
    </w:p>
    <w:p>
      <w:pPr>
        <w:pStyle w:val="7"/>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
        </w:rPr>
      </w:pPr>
    </w:p>
    <w:p>
      <w:pPr>
        <w:pStyle w:val="7"/>
        <w:keepNext w:val="0"/>
        <w:keepLines w:val="0"/>
        <w:pageBreakBefore w:val="0"/>
        <w:kinsoku/>
        <w:overflowPunct/>
        <w:topLinePunct w:val="0"/>
        <w:bidi w:val="0"/>
        <w:adjustRightInd/>
        <w:snapToGrid/>
        <w:spacing w:line="560" w:lineRule="exact"/>
        <w:jc w:val="center"/>
        <w:textAlignment w:val="auto"/>
        <w:outlineLvl w:val="0"/>
        <w:rPr>
          <w:rFonts w:hint="eastAsia" w:ascii="黑体" w:hAnsi="黑体" w:eastAsia="黑体" w:cs="黑体"/>
          <w:color w:val="auto"/>
          <w:kern w:val="0"/>
          <w:sz w:val="32"/>
          <w:szCs w:val="32"/>
          <w:highlight w:val="none"/>
          <w:lang w:val="en-US" w:eastAsia="zh-CN" w:bidi="ar"/>
        </w:rPr>
      </w:pPr>
      <w:bookmarkStart w:id="4" w:name="_Toc12736"/>
      <w:bookmarkStart w:id="5" w:name="_Toc8651"/>
      <w:r>
        <w:rPr>
          <w:rFonts w:hint="eastAsia" w:ascii="黑体" w:hAnsi="黑体" w:eastAsia="黑体" w:cs="黑体"/>
          <w:color w:val="auto"/>
          <w:kern w:val="0"/>
          <w:sz w:val="32"/>
          <w:szCs w:val="32"/>
          <w:highlight w:val="none"/>
          <w:lang w:val="en-US" w:eastAsia="zh-CN" w:bidi="ar"/>
        </w:rPr>
        <w:t>第一章  总  则</w:t>
      </w:r>
      <w:bookmarkEnd w:id="4"/>
      <w:bookmarkEnd w:id="5"/>
    </w:p>
    <w:p>
      <w:pPr>
        <w:pStyle w:val="7"/>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第一条  【释义】</w:t>
      </w:r>
      <w:r>
        <w:rPr>
          <w:rFonts w:hint="eastAsia" w:ascii="仿宋" w:hAnsi="仿宋" w:eastAsia="仿宋" w:cs="仿宋"/>
          <w:color w:val="auto"/>
          <w:kern w:val="0"/>
          <w:sz w:val="32"/>
          <w:szCs w:val="32"/>
          <w:highlight w:val="none"/>
          <w:lang w:val="en-US" w:eastAsia="zh-CN" w:bidi="ar"/>
        </w:rPr>
        <w:t>区域点数法总额预算和多元复合式医保支付方式是指将病种（病组）、床日、项目等各种付费单元以点数形式体现相对比价关系，是深化医保支付方式改革的重要组成部分，目标是促进医疗卫生资源合理利用、体现医务人员劳务价值、参保人员待遇水平得以充分保障、医保基金平稳高效运行。</w:t>
      </w:r>
    </w:p>
    <w:p>
      <w:pPr>
        <w:pStyle w:val="7"/>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 xml:space="preserve">第二条 【病种（病组）付费操作规范】条 </w:t>
      </w:r>
      <w:r>
        <w:rPr>
          <w:rFonts w:hint="eastAsia" w:ascii="仿宋" w:hAnsi="仿宋" w:eastAsia="仿宋" w:cs="仿宋"/>
          <w:color w:val="auto"/>
          <w:kern w:val="0"/>
          <w:sz w:val="32"/>
          <w:szCs w:val="32"/>
          <w:highlight w:val="none"/>
          <w:lang w:val="en-US" w:eastAsia="zh-CN" w:bidi="ar"/>
        </w:rPr>
        <w:t>病种（病组）付费（以下简称DRG/DIP）</w:t>
      </w:r>
      <w:r>
        <w:rPr>
          <w:rFonts w:hint="eastAsia" w:ascii="仿宋" w:hAnsi="仿宋" w:eastAsia="仿宋" w:cs="仿宋"/>
          <w:bCs/>
          <w:color w:val="auto"/>
          <w:sz w:val="32"/>
          <w:szCs w:val="32"/>
          <w:highlight w:val="none"/>
          <w:u w:val="none"/>
          <w:lang w:val="en-US" w:eastAsia="zh-CN"/>
        </w:rPr>
        <w:t>分组、目录库等政策按国家技术规范要求执行。</w:t>
      </w:r>
    </w:p>
    <w:p>
      <w:pPr>
        <w:pStyle w:val="7"/>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第三条 【明确经办工作内容】</w:t>
      </w:r>
      <w:r>
        <w:rPr>
          <w:rFonts w:hint="eastAsia" w:ascii="仿宋" w:hAnsi="仿宋" w:eastAsia="仿宋" w:cs="仿宋"/>
          <w:color w:val="auto"/>
          <w:kern w:val="0"/>
          <w:sz w:val="32"/>
          <w:szCs w:val="32"/>
          <w:highlight w:val="none"/>
          <w:lang w:val="en-US" w:eastAsia="zh-CN" w:bidi="ar"/>
        </w:rPr>
        <w:t>医疗保障经办机构（以下简称经办机构）按照国家医疗保障政策要求，积极推进区域点数法总额预算和多元复合式医保支付方式经办管理服务工作，做好协议管理、数据采集，加强医保基金预算清算管理，建立与区域点数法总额预算和多元复合式医保支付方式相适应的激励约束机制、稽查审核机制，完善区域点数法总额预算和多元复合式医保支付方式信息系统建设，加强考核评价，做好协商谈判及争议处理等经办管理工作，为参保人员购买高质量、有效率、能负担的医药服务。</w:t>
      </w:r>
    </w:p>
    <w:p>
      <w:pPr>
        <w:pStyle w:val="7"/>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第四条  【明确经办工作路线及职责】</w:t>
      </w:r>
      <w:r>
        <w:rPr>
          <w:rFonts w:hint="eastAsia" w:ascii="仿宋" w:hAnsi="仿宋" w:eastAsia="仿宋" w:cs="仿宋"/>
          <w:color w:val="auto"/>
          <w:kern w:val="0"/>
          <w:sz w:val="32"/>
          <w:szCs w:val="32"/>
          <w:highlight w:val="none"/>
          <w:lang w:val="en-US" w:eastAsia="zh-CN" w:bidi="ar"/>
        </w:rPr>
        <w:t>省级经办机构负责对本省区域点数法总额预算和多元复合式医保支付方式工作的落实指导和组织实施，并对本省各地区区域点数法总额预算和多元复合式医保支付方式经办运行情况进行监测评估。各级经办机构负责具体实施本统筹区内区域点数法总额预算管理和多元复合式医保支付方式工作。</w:t>
      </w:r>
    </w:p>
    <w:p>
      <w:pPr>
        <w:pStyle w:val="7"/>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黑体" w:hAnsi="黑体" w:eastAsia="黑体" w:cs="黑体"/>
          <w:b w:val="0"/>
          <w:bCs/>
          <w:color w:val="auto"/>
          <w:sz w:val="32"/>
          <w:szCs w:val="32"/>
          <w:highlight w:val="none"/>
          <w:lang w:val="en-US" w:eastAsia="zh-CN" w:bidi="en-US"/>
        </w:rPr>
      </w:pPr>
      <w:bookmarkStart w:id="6" w:name="_Toc6194"/>
      <w:bookmarkStart w:id="7" w:name="_Toc23361"/>
      <w:r>
        <w:rPr>
          <w:rFonts w:hint="eastAsia" w:ascii="黑体" w:hAnsi="黑体" w:eastAsia="黑体" w:cs="黑体"/>
          <w:b w:val="0"/>
          <w:bCs/>
          <w:color w:val="auto"/>
          <w:kern w:val="0"/>
          <w:sz w:val="32"/>
          <w:szCs w:val="32"/>
          <w:highlight w:val="none"/>
          <w:lang w:val="en-US" w:eastAsia="zh-CN" w:bidi="en-US"/>
        </w:rPr>
        <w:t>第二章</w:t>
      </w:r>
      <w:r>
        <w:rPr>
          <w:rFonts w:hint="default" w:ascii="黑体" w:hAnsi="黑体" w:eastAsia="黑体" w:cs="黑体"/>
          <w:b w:val="0"/>
          <w:bCs/>
          <w:color w:val="auto"/>
          <w:sz w:val="32"/>
          <w:szCs w:val="32"/>
          <w:highlight w:val="none"/>
          <w:lang w:val="en-US" w:eastAsia="zh-CN" w:bidi="en-US"/>
        </w:rPr>
        <w:t xml:space="preserve"> 预算管理</w:t>
      </w:r>
      <w:bookmarkEnd w:id="6"/>
      <w:bookmarkEnd w:id="7"/>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0"/>
        <w:rPr>
          <w:rFonts w:hint="default" w:ascii="黑体" w:hAnsi="黑体" w:eastAsia="黑体" w:cs="黑体"/>
          <w:b w:val="0"/>
          <w:bCs/>
          <w:color w:val="auto"/>
          <w:sz w:val="32"/>
          <w:szCs w:val="32"/>
          <w:highlight w:val="none"/>
          <w:lang w:val="en-US" w:eastAsia="zh-CN" w:bidi="en-US"/>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color w:val="auto"/>
          <w:sz w:val="32"/>
          <w:szCs w:val="32"/>
          <w:highlight w:val="none"/>
          <w:lang w:val="en-US" w:eastAsia="zh-CN" w:bidi="en-US"/>
        </w:rPr>
      </w:pPr>
      <w:r>
        <w:rPr>
          <w:rFonts w:hint="default" w:ascii="黑体" w:hAnsi="黑体" w:eastAsia="黑体" w:cs="黑体"/>
          <w:b w:val="0"/>
          <w:bCs/>
          <w:color w:val="auto"/>
          <w:sz w:val="32"/>
          <w:szCs w:val="32"/>
          <w:highlight w:val="none"/>
          <w:lang w:val="en-US" w:eastAsia="zh-CN" w:bidi="en-US"/>
        </w:rPr>
        <w:t>第</w:t>
      </w:r>
      <w:r>
        <w:rPr>
          <w:rFonts w:hint="eastAsia" w:ascii="黑体" w:hAnsi="黑体" w:eastAsia="黑体" w:cs="黑体"/>
          <w:b w:val="0"/>
          <w:bCs/>
          <w:color w:val="auto"/>
          <w:sz w:val="32"/>
          <w:szCs w:val="32"/>
          <w:highlight w:val="none"/>
          <w:lang w:val="en-US" w:eastAsia="zh-CN" w:bidi="en-US"/>
        </w:rPr>
        <w:t>五</w:t>
      </w:r>
      <w:r>
        <w:rPr>
          <w:rFonts w:hint="default" w:ascii="黑体" w:hAnsi="黑体" w:eastAsia="黑体" w:cs="黑体"/>
          <w:b w:val="0"/>
          <w:bCs/>
          <w:color w:val="auto"/>
          <w:sz w:val="32"/>
          <w:szCs w:val="32"/>
          <w:highlight w:val="none"/>
          <w:lang w:val="en-US" w:eastAsia="zh-CN" w:bidi="en-US"/>
        </w:rPr>
        <w:t xml:space="preserve">条 </w:t>
      </w:r>
      <w:r>
        <w:rPr>
          <w:rFonts w:hint="eastAsia" w:ascii="仿宋" w:hAnsi="仿宋" w:eastAsia="仿宋" w:cs="仿宋"/>
          <w:color w:val="auto"/>
          <w:kern w:val="0"/>
          <w:sz w:val="32"/>
          <w:szCs w:val="32"/>
          <w:highlight w:val="none"/>
          <w:lang w:val="en-US" w:eastAsia="zh-CN" w:bidi="ar"/>
        </w:rPr>
        <w:t xml:space="preserve"> </w:t>
      </w:r>
      <w:r>
        <w:rPr>
          <w:rFonts w:hint="default" w:ascii="黑体" w:hAnsi="黑体" w:eastAsia="黑体" w:cs="黑体"/>
          <w:b w:val="0"/>
          <w:bCs/>
          <w:color w:val="auto"/>
          <w:sz w:val="32"/>
          <w:szCs w:val="32"/>
          <w:highlight w:val="none"/>
          <w:lang w:eastAsia="zh-CN" w:bidi="en-US"/>
        </w:rPr>
        <w:t>【</w:t>
      </w:r>
      <w:r>
        <w:rPr>
          <w:rFonts w:hint="eastAsia" w:ascii="黑体" w:hAnsi="黑体" w:eastAsia="黑体" w:cs="黑体"/>
          <w:b w:val="0"/>
          <w:bCs/>
          <w:color w:val="auto"/>
          <w:sz w:val="32"/>
          <w:szCs w:val="32"/>
          <w:highlight w:val="none"/>
          <w:lang w:val="en-US" w:eastAsia="zh-CN" w:bidi="en-US"/>
        </w:rPr>
        <w:t>基金收支</w:t>
      </w:r>
      <w:r>
        <w:rPr>
          <w:rFonts w:hint="default" w:ascii="黑体" w:hAnsi="黑体" w:eastAsia="黑体" w:cs="黑体"/>
          <w:b w:val="0"/>
          <w:bCs/>
          <w:color w:val="auto"/>
          <w:sz w:val="32"/>
          <w:szCs w:val="32"/>
          <w:highlight w:val="none"/>
          <w:lang w:val="en-US" w:eastAsia="zh-CN" w:bidi="en-US"/>
        </w:rPr>
        <w:t>预算</w:t>
      </w:r>
      <w:r>
        <w:rPr>
          <w:rFonts w:hint="default" w:ascii="黑体" w:hAnsi="黑体" w:eastAsia="黑体" w:cs="黑体"/>
          <w:b w:val="0"/>
          <w:bCs/>
          <w:color w:val="auto"/>
          <w:sz w:val="32"/>
          <w:szCs w:val="32"/>
          <w:highlight w:val="none"/>
          <w:lang w:eastAsia="zh-CN" w:bidi="en-US"/>
        </w:rPr>
        <w:t>】</w:t>
      </w:r>
      <w:r>
        <w:rPr>
          <w:rFonts w:hint="eastAsia" w:ascii="仿宋" w:hAnsi="仿宋" w:eastAsia="仿宋" w:cs="仿宋"/>
          <w:color w:val="auto"/>
          <w:kern w:val="0"/>
          <w:sz w:val="32"/>
          <w:szCs w:val="32"/>
          <w:highlight w:val="none"/>
          <w:lang w:val="en-US" w:eastAsia="zh-CN" w:bidi="ar"/>
        </w:rPr>
        <w:t>经办机构按照医保基金收支预算编制范围、原则和要求编制年度医保基金收支总体预算，编制时应按照城镇职工和城乡居民分别编制。</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2312" w:hAnsi="方正仿宋_GB2312" w:eastAsia="方正仿宋_GB2312" w:cs="方正仿宋_GB2312"/>
          <w:color w:val="auto"/>
          <w:sz w:val="32"/>
          <w:szCs w:val="32"/>
          <w:highlight w:val="none"/>
          <w:lang w:val="en-US" w:eastAsia="zh-CN" w:bidi="en-US"/>
        </w:rPr>
      </w:pPr>
      <w:r>
        <w:rPr>
          <w:rFonts w:hint="default" w:ascii="黑体" w:hAnsi="黑体" w:eastAsia="黑体" w:cs="黑体"/>
          <w:b w:val="0"/>
          <w:bCs/>
          <w:color w:val="auto"/>
          <w:sz w:val="32"/>
          <w:szCs w:val="32"/>
          <w:highlight w:val="none"/>
          <w:lang w:val="en-US" w:eastAsia="zh-CN" w:bidi="en-US"/>
        </w:rPr>
        <w:t>第</w:t>
      </w:r>
      <w:r>
        <w:rPr>
          <w:rFonts w:hint="eastAsia" w:ascii="黑体" w:hAnsi="黑体" w:eastAsia="黑体" w:cs="黑体"/>
          <w:b w:val="0"/>
          <w:bCs/>
          <w:color w:val="auto"/>
          <w:sz w:val="32"/>
          <w:szCs w:val="32"/>
          <w:highlight w:val="none"/>
          <w:lang w:val="en-US" w:eastAsia="zh-CN" w:bidi="en-US"/>
        </w:rPr>
        <w:t>六</w:t>
      </w:r>
      <w:r>
        <w:rPr>
          <w:rFonts w:hint="default" w:ascii="黑体" w:hAnsi="黑体" w:eastAsia="黑体" w:cs="黑体"/>
          <w:b w:val="0"/>
          <w:bCs/>
          <w:color w:val="auto"/>
          <w:sz w:val="32"/>
          <w:szCs w:val="32"/>
          <w:highlight w:val="none"/>
          <w:lang w:val="en-US" w:eastAsia="zh-CN" w:bidi="en-US"/>
        </w:rPr>
        <w:t>条</w:t>
      </w:r>
      <w:r>
        <w:rPr>
          <w:rFonts w:hint="eastAsia" w:ascii="黑体" w:hAnsi="黑体" w:eastAsia="黑体" w:cs="黑体"/>
          <w:b w:val="0"/>
          <w:bCs/>
          <w:color w:val="auto"/>
          <w:sz w:val="32"/>
          <w:szCs w:val="32"/>
          <w:highlight w:val="none"/>
          <w:lang w:val="en-US" w:eastAsia="zh-CN" w:bidi="en-US"/>
        </w:rPr>
        <w:t xml:space="preserve"> </w:t>
      </w:r>
      <w:r>
        <w:rPr>
          <w:rFonts w:hint="default" w:ascii="黑体" w:hAnsi="黑体" w:eastAsia="黑体" w:cs="黑体"/>
          <w:b w:val="0"/>
          <w:bCs/>
          <w:color w:val="auto"/>
          <w:sz w:val="32"/>
          <w:szCs w:val="32"/>
          <w:highlight w:val="none"/>
          <w:lang w:eastAsia="zh-CN" w:bidi="en-US"/>
        </w:rPr>
        <w:t>【</w:t>
      </w:r>
      <w:r>
        <w:rPr>
          <w:rFonts w:hint="eastAsia" w:ascii="黑体" w:hAnsi="黑体" w:eastAsia="黑体" w:cs="黑体"/>
          <w:b w:val="0"/>
          <w:bCs/>
          <w:color w:val="auto"/>
          <w:sz w:val="32"/>
          <w:szCs w:val="32"/>
          <w:highlight w:val="none"/>
          <w:lang w:val="en-US" w:eastAsia="zh-CN" w:bidi="en-US"/>
        </w:rPr>
        <w:t>基金支付</w:t>
      </w:r>
      <w:r>
        <w:rPr>
          <w:rFonts w:hint="default" w:ascii="黑体" w:hAnsi="黑体" w:eastAsia="黑体" w:cs="黑体"/>
          <w:b w:val="0"/>
          <w:bCs/>
          <w:color w:val="auto"/>
          <w:sz w:val="32"/>
          <w:szCs w:val="32"/>
          <w:highlight w:val="none"/>
          <w:lang w:val="en-US" w:eastAsia="zh-CN" w:bidi="en-US"/>
        </w:rPr>
        <w:t>预算总额</w:t>
      </w:r>
      <w:r>
        <w:rPr>
          <w:rFonts w:hint="default" w:ascii="黑体" w:hAnsi="黑体" w:eastAsia="黑体" w:cs="黑体"/>
          <w:b w:val="0"/>
          <w:bCs/>
          <w:color w:val="auto"/>
          <w:sz w:val="32"/>
          <w:szCs w:val="32"/>
          <w:highlight w:val="none"/>
          <w:lang w:eastAsia="zh-CN" w:bidi="en-US"/>
        </w:rPr>
        <w:t>】</w:t>
      </w:r>
      <w:r>
        <w:rPr>
          <w:rFonts w:hint="eastAsia" w:ascii="仿宋" w:hAnsi="仿宋" w:eastAsia="仿宋" w:cs="仿宋"/>
          <w:color w:val="auto"/>
          <w:kern w:val="0"/>
          <w:sz w:val="32"/>
          <w:szCs w:val="32"/>
          <w:highlight w:val="none"/>
          <w:lang w:val="en-US" w:eastAsia="zh-CN" w:bidi="ar"/>
        </w:rPr>
        <w:t>统筹区</w:t>
      </w:r>
      <w:r>
        <w:rPr>
          <w:rFonts w:hint="default" w:ascii="仿宋" w:hAnsi="仿宋" w:eastAsia="仿宋" w:cs="仿宋"/>
          <w:color w:val="auto"/>
          <w:kern w:val="0"/>
          <w:sz w:val="32"/>
          <w:szCs w:val="32"/>
          <w:highlight w:val="none"/>
          <w:lang w:val="en-US" w:eastAsia="zh-CN" w:bidi="ar"/>
        </w:rPr>
        <w:t>年度基金支出预算</w:t>
      </w:r>
      <w:r>
        <w:rPr>
          <w:rFonts w:hint="eastAsia" w:ascii="仿宋" w:hAnsi="仿宋" w:eastAsia="仿宋" w:cs="仿宋"/>
          <w:color w:val="auto"/>
          <w:kern w:val="0"/>
          <w:sz w:val="32"/>
          <w:szCs w:val="32"/>
          <w:highlight w:val="none"/>
          <w:lang w:val="en-US" w:eastAsia="zh-CN" w:bidi="ar"/>
        </w:rPr>
        <w:t>编制后</w:t>
      </w:r>
      <w:r>
        <w:rPr>
          <w:rFonts w:hint="default" w:ascii="仿宋" w:hAnsi="仿宋" w:eastAsia="仿宋" w:cs="仿宋"/>
          <w:color w:val="auto"/>
          <w:kern w:val="0"/>
          <w:sz w:val="32"/>
          <w:szCs w:val="32"/>
          <w:highlight w:val="none"/>
          <w:lang w:val="en-US" w:eastAsia="zh-CN" w:bidi="ar"/>
        </w:rPr>
        <w:t>，</w:t>
      </w:r>
      <w:r>
        <w:rPr>
          <w:rFonts w:hint="eastAsia" w:ascii="仿宋" w:hAnsi="仿宋" w:eastAsia="仿宋" w:cs="仿宋"/>
          <w:color w:val="auto"/>
          <w:kern w:val="0"/>
          <w:sz w:val="32"/>
          <w:szCs w:val="32"/>
          <w:highlight w:val="none"/>
          <w:lang w:val="en-US" w:eastAsia="zh-CN" w:bidi="ar"/>
        </w:rPr>
        <w:t>市级经办机构</w:t>
      </w:r>
      <w:r>
        <w:rPr>
          <w:rFonts w:hint="default" w:ascii="仿宋" w:hAnsi="仿宋" w:eastAsia="仿宋" w:cs="仿宋"/>
          <w:color w:val="auto"/>
          <w:kern w:val="0"/>
          <w:sz w:val="32"/>
          <w:szCs w:val="32"/>
          <w:highlight w:val="none"/>
          <w:lang w:val="en-US" w:eastAsia="zh-CN" w:bidi="ar"/>
        </w:rPr>
        <w:t>在充分考虑总预算的前提下，预留一定比例的</w:t>
      </w:r>
      <w:r>
        <w:rPr>
          <w:rFonts w:hint="eastAsia" w:ascii="仿宋" w:hAnsi="仿宋" w:eastAsia="仿宋" w:cs="仿宋"/>
          <w:color w:val="auto"/>
          <w:kern w:val="0"/>
          <w:sz w:val="32"/>
          <w:szCs w:val="32"/>
          <w:highlight w:val="none"/>
          <w:lang w:val="en-US" w:eastAsia="zh-CN" w:bidi="ar"/>
        </w:rPr>
        <w:t>风险调节金、异地结算、零星报销</w:t>
      </w:r>
      <w:r>
        <w:rPr>
          <w:rFonts w:hint="default" w:ascii="仿宋" w:hAnsi="仿宋" w:eastAsia="仿宋" w:cs="仿宋"/>
          <w:color w:val="auto"/>
          <w:kern w:val="0"/>
          <w:sz w:val="32"/>
          <w:szCs w:val="32"/>
          <w:highlight w:val="none"/>
          <w:lang w:val="en-US" w:eastAsia="zh-CN" w:bidi="ar"/>
        </w:rPr>
        <w:t>等情况的医保基金，</w:t>
      </w:r>
      <w:r>
        <w:rPr>
          <w:rFonts w:hint="eastAsia" w:ascii="仿宋" w:hAnsi="仿宋" w:eastAsia="仿宋" w:cs="仿宋"/>
          <w:color w:val="auto"/>
          <w:kern w:val="0"/>
          <w:sz w:val="32"/>
          <w:szCs w:val="32"/>
          <w:highlight w:val="none"/>
          <w:lang w:val="en-US" w:eastAsia="zh-CN" w:bidi="ar"/>
        </w:rPr>
        <w:t>细化</w:t>
      </w:r>
      <w:r>
        <w:rPr>
          <w:rFonts w:hint="default" w:ascii="仿宋" w:hAnsi="仿宋" w:eastAsia="仿宋" w:cs="仿宋"/>
          <w:color w:val="auto"/>
          <w:kern w:val="0"/>
          <w:sz w:val="32"/>
          <w:szCs w:val="32"/>
          <w:highlight w:val="none"/>
          <w:lang w:val="en-US" w:eastAsia="zh-CN" w:bidi="ar"/>
        </w:rPr>
        <w:t>制定</w:t>
      </w:r>
      <w:r>
        <w:rPr>
          <w:rFonts w:hint="eastAsia" w:ascii="仿宋" w:hAnsi="仿宋" w:eastAsia="仿宋" w:cs="仿宋"/>
          <w:color w:val="auto"/>
          <w:kern w:val="0"/>
          <w:sz w:val="32"/>
          <w:szCs w:val="32"/>
          <w:highlight w:val="none"/>
          <w:lang w:val="en-US" w:eastAsia="zh-CN" w:bidi="ar"/>
        </w:rPr>
        <w:t>本统筹区区域总额预算及支付</w:t>
      </w:r>
      <w:r>
        <w:rPr>
          <w:rFonts w:hint="default" w:ascii="仿宋" w:hAnsi="仿宋" w:eastAsia="仿宋" w:cs="仿宋"/>
          <w:color w:val="auto"/>
          <w:kern w:val="0"/>
          <w:sz w:val="32"/>
          <w:szCs w:val="32"/>
          <w:highlight w:val="none"/>
          <w:lang w:val="en-US" w:eastAsia="zh-CN" w:bidi="ar"/>
        </w:rPr>
        <w:t>方案</w:t>
      </w:r>
      <w:r>
        <w:rPr>
          <w:rFonts w:hint="eastAsia" w:ascii="仿宋" w:hAnsi="仿宋" w:eastAsia="仿宋" w:cs="仿宋"/>
          <w:color w:val="auto"/>
          <w:kern w:val="0"/>
          <w:sz w:val="32"/>
          <w:szCs w:val="32"/>
          <w:highlight w:val="none"/>
          <w:lang w:val="en-US" w:eastAsia="zh-CN" w:bidi="ar"/>
        </w:rPr>
        <w:t>。制定时按照城镇职工和城乡居民分别</w:t>
      </w:r>
      <w:r>
        <w:rPr>
          <w:rFonts w:hint="default" w:ascii="仿宋" w:hAnsi="仿宋" w:eastAsia="仿宋" w:cs="仿宋"/>
          <w:color w:val="auto"/>
          <w:kern w:val="0"/>
          <w:sz w:val="32"/>
          <w:szCs w:val="32"/>
          <w:highlight w:val="none"/>
          <w:lang w:val="en-US" w:eastAsia="zh-CN" w:bidi="ar"/>
        </w:rPr>
        <w:t>拟定向全统筹区定点</w:t>
      </w:r>
      <w:r>
        <w:rPr>
          <w:rFonts w:hint="eastAsia" w:ascii="仿宋" w:hAnsi="仿宋" w:eastAsia="仿宋" w:cs="仿宋"/>
          <w:color w:val="auto"/>
          <w:kern w:val="0"/>
          <w:sz w:val="32"/>
          <w:szCs w:val="32"/>
          <w:highlight w:val="none"/>
          <w:lang w:val="en-US" w:eastAsia="zh-CN" w:bidi="ar"/>
        </w:rPr>
        <w:t>服务机构</w:t>
      </w:r>
      <w:r>
        <w:rPr>
          <w:rFonts w:hint="default" w:ascii="仿宋" w:hAnsi="仿宋" w:eastAsia="仿宋" w:cs="仿宋"/>
          <w:color w:val="auto"/>
          <w:kern w:val="0"/>
          <w:sz w:val="32"/>
          <w:szCs w:val="32"/>
          <w:highlight w:val="none"/>
          <w:lang w:val="en-US" w:eastAsia="zh-CN" w:bidi="ar"/>
        </w:rPr>
        <w:t>购买服务的多元复合式医保支付基金支出预算（以下简称“</w:t>
      </w:r>
      <w:r>
        <w:rPr>
          <w:rFonts w:hint="eastAsia" w:ascii="仿宋" w:hAnsi="仿宋" w:eastAsia="仿宋" w:cs="仿宋"/>
          <w:color w:val="auto"/>
          <w:kern w:val="0"/>
          <w:sz w:val="32"/>
          <w:szCs w:val="32"/>
          <w:highlight w:val="none"/>
          <w:lang w:val="en-US" w:eastAsia="zh-CN" w:bidi="ar"/>
        </w:rPr>
        <w:t>统筹区基金支出预算总额</w:t>
      </w:r>
      <w:r>
        <w:rPr>
          <w:rFonts w:hint="default" w:ascii="仿宋" w:hAnsi="仿宋" w:eastAsia="仿宋" w:cs="仿宋"/>
          <w:color w:val="auto"/>
          <w:kern w:val="0"/>
          <w:sz w:val="32"/>
          <w:szCs w:val="32"/>
          <w:highlight w:val="none"/>
          <w:lang w:val="en-US" w:eastAsia="zh-CN" w:bidi="ar"/>
        </w:rPr>
        <w:t>”）。</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2312" w:hAnsi="方正仿宋_GB2312" w:eastAsia="方正仿宋_GB2312" w:cs="方正仿宋_GB2312"/>
          <w:color w:val="auto"/>
          <w:sz w:val="32"/>
          <w:szCs w:val="32"/>
          <w:highlight w:val="none"/>
          <w:lang w:val="en-US" w:eastAsia="zh-CN" w:bidi="en-US"/>
        </w:rPr>
      </w:pPr>
      <w:r>
        <w:rPr>
          <w:rFonts w:hint="default" w:ascii="黑体" w:hAnsi="黑体" w:eastAsia="黑体" w:cs="黑体"/>
          <w:b w:val="0"/>
          <w:bCs/>
          <w:color w:val="auto"/>
          <w:sz w:val="32"/>
          <w:szCs w:val="32"/>
          <w:highlight w:val="none"/>
          <w:lang w:val="en-US" w:eastAsia="zh-CN" w:bidi="en-US"/>
        </w:rPr>
        <w:t>第</w:t>
      </w:r>
      <w:r>
        <w:rPr>
          <w:rFonts w:hint="eastAsia" w:ascii="黑体" w:hAnsi="黑体" w:eastAsia="黑体" w:cs="黑体"/>
          <w:b w:val="0"/>
          <w:bCs/>
          <w:color w:val="auto"/>
          <w:sz w:val="32"/>
          <w:szCs w:val="32"/>
          <w:highlight w:val="none"/>
          <w:lang w:val="en-US" w:eastAsia="zh-CN" w:bidi="en-US"/>
        </w:rPr>
        <w:t>七</w:t>
      </w:r>
      <w:r>
        <w:rPr>
          <w:rFonts w:hint="default" w:ascii="黑体" w:hAnsi="黑体" w:eastAsia="黑体" w:cs="黑体"/>
          <w:b w:val="0"/>
          <w:bCs/>
          <w:color w:val="auto"/>
          <w:sz w:val="32"/>
          <w:szCs w:val="32"/>
          <w:highlight w:val="none"/>
          <w:lang w:val="en-US" w:eastAsia="zh-CN" w:bidi="en-US"/>
        </w:rPr>
        <w:t xml:space="preserve">条 </w:t>
      </w:r>
      <w:r>
        <w:rPr>
          <w:rFonts w:hint="eastAsia" w:ascii="黑体" w:hAnsi="黑体" w:eastAsia="黑体" w:cs="黑体"/>
          <w:b w:val="0"/>
          <w:bCs/>
          <w:color w:val="auto"/>
          <w:sz w:val="32"/>
          <w:szCs w:val="32"/>
          <w:highlight w:val="none"/>
          <w:lang w:val="en-US" w:eastAsia="zh-CN" w:bidi="en-US"/>
        </w:rPr>
        <w:t xml:space="preserve"> </w:t>
      </w:r>
      <w:r>
        <w:rPr>
          <w:rFonts w:hint="default" w:ascii="黑体" w:hAnsi="黑体" w:eastAsia="黑体" w:cs="黑体"/>
          <w:b w:val="0"/>
          <w:bCs/>
          <w:color w:val="auto"/>
          <w:sz w:val="32"/>
          <w:szCs w:val="32"/>
          <w:highlight w:val="none"/>
          <w:lang w:eastAsia="zh-CN" w:bidi="en-US"/>
        </w:rPr>
        <w:t>【</w:t>
      </w:r>
      <w:r>
        <w:rPr>
          <w:rFonts w:hint="eastAsia" w:ascii="黑体" w:hAnsi="黑体" w:eastAsia="黑体" w:cs="黑体"/>
          <w:b w:val="0"/>
          <w:bCs/>
          <w:color w:val="auto"/>
          <w:sz w:val="32"/>
          <w:szCs w:val="32"/>
          <w:highlight w:val="none"/>
          <w:lang w:val="en-US" w:eastAsia="zh-CN" w:bidi="en-US"/>
        </w:rPr>
        <w:t>定点机构</w:t>
      </w:r>
      <w:r>
        <w:rPr>
          <w:rFonts w:hint="default" w:ascii="黑体" w:hAnsi="黑体" w:eastAsia="黑体" w:cs="黑体"/>
          <w:b w:val="0"/>
          <w:bCs/>
          <w:color w:val="auto"/>
          <w:sz w:val="32"/>
          <w:szCs w:val="32"/>
          <w:highlight w:val="none"/>
          <w:lang w:val="en-US" w:eastAsia="zh-CN" w:bidi="en-US"/>
        </w:rPr>
        <w:t>预算总额</w:t>
      </w:r>
      <w:r>
        <w:rPr>
          <w:rFonts w:hint="default" w:ascii="黑体" w:hAnsi="黑体" w:eastAsia="黑体" w:cs="黑体"/>
          <w:b w:val="0"/>
          <w:bCs/>
          <w:color w:val="auto"/>
          <w:sz w:val="32"/>
          <w:szCs w:val="32"/>
          <w:highlight w:val="none"/>
          <w:lang w:eastAsia="zh-CN" w:bidi="en-US"/>
        </w:rPr>
        <w:t>】</w:t>
      </w:r>
      <w:r>
        <w:rPr>
          <w:rFonts w:hint="default" w:ascii="仿宋" w:hAnsi="仿宋" w:eastAsia="仿宋" w:cs="仿宋"/>
          <w:color w:val="auto"/>
          <w:kern w:val="0"/>
          <w:sz w:val="32"/>
          <w:szCs w:val="32"/>
          <w:highlight w:val="none"/>
          <w:lang w:val="en-US" w:eastAsia="zh-CN" w:bidi="ar"/>
        </w:rPr>
        <w:t>根据统筹区基金支出预算总额和往年</w:t>
      </w:r>
      <w:r>
        <w:rPr>
          <w:rFonts w:hint="eastAsia" w:ascii="仿宋" w:hAnsi="仿宋" w:eastAsia="仿宋" w:cs="仿宋"/>
          <w:color w:val="auto"/>
          <w:kern w:val="0"/>
          <w:sz w:val="32"/>
          <w:szCs w:val="32"/>
          <w:highlight w:val="none"/>
          <w:lang w:val="en-US" w:eastAsia="zh-CN" w:bidi="ar"/>
        </w:rPr>
        <w:t>各项医疗保障</w:t>
      </w:r>
      <w:r>
        <w:rPr>
          <w:rFonts w:hint="default" w:ascii="仿宋" w:hAnsi="仿宋" w:eastAsia="仿宋" w:cs="仿宋"/>
          <w:color w:val="auto"/>
          <w:kern w:val="0"/>
          <w:sz w:val="32"/>
          <w:szCs w:val="32"/>
          <w:highlight w:val="none"/>
          <w:lang w:val="en-US" w:eastAsia="zh-CN" w:bidi="ar"/>
        </w:rPr>
        <w:t>基金支付在医保基金和参保人员所支付医疗费用总额中所占比例，综合考虑各类</w:t>
      </w:r>
      <w:r>
        <w:rPr>
          <w:rFonts w:hint="eastAsia" w:ascii="仿宋" w:hAnsi="仿宋" w:eastAsia="仿宋" w:cs="仿宋"/>
          <w:color w:val="auto"/>
          <w:kern w:val="0"/>
          <w:sz w:val="32"/>
          <w:szCs w:val="32"/>
          <w:highlight w:val="none"/>
          <w:lang w:val="en-US" w:eastAsia="zh-CN" w:bidi="ar"/>
        </w:rPr>
        <w:t>服务机构</w:t>
      </w:r>
      <w:r>
        <w:rPr>
          <w:rFonts w:hint="default" w:ascii="仿宋" w:hAnsi="仿宋" w:eastAsia="仿宋" w:cs="仿宋"/>
          <w:color w:val="auto"/>
          <w:kern w:val="0"/>
          <w:sz w:val="32"/>
          <w:szCs w:val="32"/>
          <w:highlight w:val="none"/>
          <w:lang w:val="en-US" w:eastAsia="zh-CN" w:bidi="ar"/>
        </w:rPr>
        <w:t>收治病人数、参保人数及增长预期及医疗消费价格指数增长等指标，按照职工医保和居民医保两个险种，拟订医保基金和参保人员向全统筹区定点</w:t>
      </w:r>
      <w:r>
        <w:rPr>
          <w:rFonts w:hint="eastAsia" w:ascii="仿宋" w:hAnsi="仿宋" w:eastAsia="仿宋" w:cs="仿宋"/>
          <w:color w:val="auto"/>
          <w:kern w:val="0"/>
          <w:sz w:val="32"/>
          <w:szCs w:val="32"/>
          <w:highlight w:val="none"/>
          <w:lang w:val="en-US" w:eastAsia="zh-CN" w:bidi="ar"/>
        </w:rPr>
        <w:t>服务机构</w:t>
      </w:r>
      <w:r>
        <w:rPr>
          <w:rFonts w:hint="default" w:ascii="仿宋" w:hAnsi="仿宋" w:eastAsia="仿宋" w:cs="仿宋"/>
          <w:color w:val="auto"/>
          <w:kern w:val="0"/>
          <w:sz w:val="32"/>
          <w:szCs w:val="32"/>
          <w:highlight w:val="none"/>
          <w:lang w:val="en-US" w:eastAsia="zh-CN" w:bidi="ar"/>
        </w:rPr>
        <w:t>购买服务的年度</w:t>
      </w:r>
      <w:r>
        <w:rPr>
          <w:rFonts w:hint="eastAsia" w:ascii="仿宋" w:hAnsi="仿宋" w:eastAsia="仿宋" w:cs="仿宋"/>
          <w:color w:val="auto"/>
          <w:kern w:val="0"/>
          <w:sz w:val="32"/>
          <w:szCs w:val="32"/>
          <w:highlight w:val="none"/>
          <w:lang w:val="en-US" w:eastAsia="zh-CN" w:bidi="ar"/>
        </w:rPr>
        <w:t>服务机构</w:t>
      </w:r>
      <w:r>
        <w:rPr>
          <w:rFonts w:hint="default" w:ascii="仿宋" w:hAnsi="仿宋" w:eastAsia="仿宋" w:cs="仿宋"/>
          <w:color w:val="auto"/>
          <w:kern w:val="0"/>
          <w:sz w:val="32"/>
          <w:szCs w:val="32"/>
          <w:highlight w:val="none"/>
          <w:lang w:val="en-US" w:eastAsia="zh-CN" w:bidi="ar"/>
        </w:rPr>
        <w:t>医疗费用预算总额（以下简称“</w:t>
      </w:r>
      <w:r>
        <w:rPr>
          <w:rFonts w:hint="eastAsia" w:ascii="仿宋" w:hAnsi="仿宋" w:eastAsia="仿宋" w:cs="仿宋"/>
          <w:color w:val="auto"/>
          <w:kern w:val="0"/>
          <w:sz w:val="32"/>
          <w:szCs w:val="32"/>
          <w:highlight w:val="none"/>
          <w:lang w:val="en-US" w:eastAsia="zh-CN" w:bidi="ar"/>
        </w:rPr>
        <w:t>统筹区定点机构预算总额</w:t>
      </w:r>
      <w:r>
        <w:rPr>
          <w:rFonts w:hint="default" w:ascii="仿宋" w:hAnsi="仿宋" w:eastAsia="仿宋" w:cs="仿宋"/>
          <w:color w:val="auto"/>
          <w:kern w:val="0"/>
          <w:sz w:val="32"/>
          <w:szCs w:val="32"/>
          <w:highlight w:val="none"/>
          <w:lang w:val="en-US" w:eastAsia="zh-CN" w:bidi="ar"/>
        </w:rPr>
        <w:t>”）。</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2312" w:hAnsi="方正仿宋_GB2312" w:eastAsia="方正仿宋_GB2312" w:cs="方正仿宋_GB2312"/>
          <w:color w:val="auto"/>
          <w:sz w:val="32"/>
          <w:szCs w:val="32"/>
          <w:highlight w:val="none"/>
          <w:lang w:val="en-US" w:eastAsia="zh-CN" w:bidi="en-US"/>
        </w:rPr>
      </w:pPr>
      <w:r>
        <w:rPr>
          <w:rFonts w:hint="default" w:ascii="黑体" w:hAnsi="黑体" w:eastAsia="黑体" w:cs="黑体"/>
          <w:b w:val="0"/>
          <w:bCs/>
          <w:color w:val="auto"/>
          <w:sz w:val="32"/>
          <w:szCs w:val="32"/>
          <w:highlight w:val="none"/>
          <w:lang w:val="en-US" w:eastAsia="zh-CN" w:bidi="en-US"/>
        </w:rPr>
        <w:t>第</w:t>
      </w:r>
      <w:r>
        <w:rPr>
          <w:rFonts w:hint="eastAsia" w:ascii="黑体" w:hAnsi="黑体" w:eastAsia="黑体" w:cs="黑体"/>
          <w:b w:val="0"/>
          <w:bCs/>
          <w:color w:val="auto"/>
          <w:sz w:val="32"/>
          <w:szCs w:val="32"/>
          <w:highlight w:val="none"/>
          <w:lang w:val="en-US" w:eastAsia="zh-CN" w:bidi="en-US"/>
        </w:rPr>
        <w:t>八</w:t>
      </w:r>
      <w:r>
        <w:rPr>
          <w:rFonts w:hint="default" w:ascii="黑体" w:hAnsi="黑体" w:eastAsia="黑体" w:cs="黑体"/>
          <w:b w:val="0"/>
          <w:bCs/>
          <w:color w:val="auto"/>
          <w:sz w:val="32"/>
          <w:szCs w:val="32"/>
          <w:highlight w:val="none"/>
          <w:lang w:val="en-US" w:eastAsia="zh-CN" w:bidi="en-US"/>
        </w:rPr>
        <w:t xml:space="preserve">条 </w:t>
      </w:r>
      <w:r>
        <w:rPr>
          <w:rFonts w:hint="eastAsia" w:ascii="黑体" w:hAnsi="黑体" w:eastAsia="黑体" w:cs="黑体"/>
          <w:b w:val="0"/>
          <w:bCs/>
          <w:color w:val="auto"/>
          <w:sz w:val="32"/>
          <w:szCs w:val="32"/>
          <w:highlight w:val="none"/>
          <w:lang w:val="en-US" w:eastAsia="zh-CN" w:bidi="en-US"/>
        </w:rPr>
        <w:t xml:space="preserve"> </w:t>
      </w:r>
      <w:r>
        <w:rPr>
          <w:rFonts w:hint="default" w:ascii="黑体" w:hAnsi="黑体" w:eastAsia="黑体" w:cs="黑体"/>
          <w:b w:val="0"/>
          <w:bCs/>
          <w:color w:val="auto"/>
          <w:sz w:val="32"/>
          <w:szCs w:val="32"/>
          <w:highlight w:val="none"/>
          <w:lang w:eastAsia="zh-CN" w:bidi="en-US"/>
        </w:rPr>
        <w:t>【预算总额细分】</w:t>
      </w:r>
      <w:r>
        <w:rPr>
          <w:rFonts w:hint="default" w:ascii="仿宋" w:hAnsi="仿宋" w:eastAsia="仿宋" w:cs="仿宋"/>
          <w:color w:val="auto"/>
          <w:kern w:val="0"/>
          <w:sz w:val="32"/>
          <w:szCs w:val="32"/>
          <w:highlight w:val="none"/>
          <w:lang w:val="en-US" w:eastAsia="zh-CN" w:bidi="ar"/>
        </w:rPr>
        <w:t>经办机构拟订的统筹区定点机构预算总额按照门诊和住院细分，分配预算时适当向门诊费用倾斜。门诊预算总额包括普通门（急）诊、门诊</w:t>
      </w:r>
      <w:r>
        <w:rPr>
          <w:rFonts w:hint="eastAsia" w:ascii="仿宋" w:hAnsi="仿宋" w:eastAsia="仿宋" w:cs="仿宋"/>
          <w:color w:val="auto"/>
          <w:kern w:val="0"/>
          <w:sz w:val="32"/>
          <w:szCs w:val="32"/>
          <w:highlight w:val="none"/>
          <w:lang w:val="en-US" w:eastAsia="zh-CN" w:bidi="ar"/>
        </w:rPr>
        <w:t>慢性病</w:t>
      </w:r>
      <w:r>
        <w:rPr>
          <w:rFonts w:hint="default" w:ascii="仿宋" w:hAnsi="仿宋" w:eastAsia="仿宋" w:cs="仿宋"/>
          <w:color w:val="auto"/>
          <w:kern w:val="0"/>
          <w:sz w:val="32"/>
          <w:szCs w:val="32"/>
          <w:highlight w:val="none"/>
          <w:lang w:val="en-US" w:eastAsia="zh-CN" w:bidi="ar"/>
        </w:rPr>
        <w:t>、门诊特殊疾病、门诊</w:t>
      </w:r>
      <w:r>
        <w:rPr>
          <w:rFonts w:hint="eastAsia" w:ascii="仿宋" w:hAnsi="仿宋" w:eastAsia="仿宋" w:cs="仿宋"/>
          <w:color w:val="auto"/>
          <w:kern w:val="0"/>
          <w:sz w:val="32"/>
          <w:szCs w:val="32"/>
          <w:highlight w:val="none"/>
          <w:lang w:val="en-US" w:eastAsia="zh-CN" w:bidi="ar"/>
        </w:rPr>
        <w:t>双通道药品</w:t>
      </w:r>
      <w:r>
        <w:rPr>
          <w:rFonts w:hint="default" w:ascii="仿宋" w:hAnsi="仿宋" w:eastAsia="仿宋" w:cs="仿宋"/>
          <w:color w:val="auto"/>
          <w:kern w:val="0"/>
          <w:sz w:val="32"/>
          <w:szCs w:val="32"/>
          <w:highlight w:val="none"/>
          <w:lang w:val="en-US" w:eastAsia="zh-CN" w:bidi="ar"/>
        </w:rPr>
        <w:t>、</w:t>
      </w:r>
      <w:r>
        <w:rPr>
          <w:rFonts w:hint="eastAsia" w:ascii="仿宋" w:hAnsi="仿宋" w:eastAsia="仿宋" w:cs="仿宋"/>
          <w:color w:val="auto"/>
          <w:kern w:val="0"/>
          <w:sz w:val="32"/>
          <w:szCs w:val="32"/>
          <w:highlight w:val="none"/>
          <w:lang w:val="en-US" w:eastAsia="zh-CN" w:bidi="ar"/>
        </w:rPr>
        <w:t>药店购药；住院预算总额包括普通（急）住院、</w:t>
      </w:r>
      <w:r>
        <w:rPr>
          <w:rFonts w:hint="default" w:ascii="仿宋" w:hAnsi="仿宋" w:eastAsia="仿宋" w:cs="仿宋"/>
          <w:color w:val="auto"/>
          <w:kern w:val="0"/>
          <w:sz w:val="32"/>
          <w:szCs w:val="32"/>
          <w:highlight w:val="none"/>
          <w:lang w:val="en-US" w:eastAsia="zh-CN" w:bidi="ar"/>
        </w:rPr>
        <w:t>日间手术</w:t>
      </w:r>
      <w:r>
        <w:rPr>
          <w:rFonts w:hint="eastAsia" w:ascii="仿宋" w:hAnsi="仿宋" w:eastAsia="仿宋" w:cs="仿宋"/>
          <w:color w:val="auto"/>
          <w:kern w:val="0"/>
          <w:sz w:val="32"/>
          <w:szCs w:val="32"/>
          <w:highlight w:val="none"/>
          <w:lang w:val="en-US" w:eastAsia="zh-CN" w:bidi="ar"/>
        </w:rPr>
        <w:t>（含日间病房）等</w:t>
      </w:r>
      <w:r>
        <w:rPr>
          <w:rFonts w:hint="default" w:ascii="仿宋" w:hAnsi="仿宋" w:eastAsia="仿宋" w:cs="仿宋"/>
          <w:color w:val="auto"/>
          <w:kern w:val="0"/>
          <w:sz w:val="32"/>
          <w:szCs w:val="32"/>
          <w:highlight w:val="none"/>
          <w:lang w:val="en-US" w:eastAsia="zh-CN" w:bidi="ar"/>
        </w:rPr>
        <w:t>其他费用。</w:t>
      </w:r>
      <w:r>
        <w:rPr>
          <w:rFonts w:hint="eastAsia" w:ascii="仿宋" w:hAnsi="仿宋" w:eastAsia="仿宋" w:cs="仿宋"/>
          <w:color w:val="auto"/>
          <w:kern w:val="0"/>
          <w:sz w:val="32"/>
          <w:szCs w:val="32"/>
          <w:highlight w:val="none"/>
          <w:lang w:val="en-US" w:eastAsia="zh-CN" w:bidi="ar"/>
        </w:rPr>
        <w:t>经办机构可根据经办工作实际情况，结合定点服务机构类型、等级等因素，进一步进行预算总额细分。</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2312" w:hAnsi="方正仿宋_GB2312" w:eastAsia="方正仿宋_GB2312" w:cs="方正仿宋_GB2312"/>
          <w:color w:val="auto"/>
          <w:sz w:val="32"/>
          <w:szCs w:val="32"/>
          <w:highlight w:val="none"/>
          <w:lang w:val="en-US" w:eastAsia="zh-CN" w:bidi="en-US"/>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黑体" w:hAnsi="黑体" w:eastAsia="黑体" w:cs="黑体"/>
          <w:b w:val="0"/>
          <w:bCs/>
          <w:color w:val="auto"/>
          <w:sz w:val="32"/>
          <w:szCs w:val="32"/>
          <w:highlight w:val="none"/>
          <w:lang w:val="en-US" w:eastAsia="zh-CN" w:bidi="en-US"/>
        </w:rPr>
      </w:pPr>
      <w:bookmarkStart w:id="8" w:name="_Toc22901"/>
      <w:bookmarkStart w:id="9" w:name="_Toc20156"/>
      <w:r>
        <w:rPr>
          <w:rFonts w:hint="eastAsia" w:ascii="黑体" w:hAnsi="黑体" w:eastAsia="黑体" w:cs="黑体"/>
          <w:b w:val="0"/>
          <w:bCs/>
          <w:color w:val="auto"/>
          <w:kern w:val="0"/>
          <w:sz w:val="32"/>
          <w:szCs w:val="32"/>
          <w:highlight w:val="none"/>
          <w:lang w:val="en-US" w:eastAsia="zh-CN" w:bidi="en-US"/>
        </w:rPr>
        <w:t>第三章</w:t>
      </w:r>
      <w:r>
        <w:rPr>
          <w:rFonts w:hint="default" w:ascii="黑体" w:hAnsi="黑体" w:eastAsia="黑体" w:cs="黑体"/>
          <w:b w:val="0"/>
          <w:bCs/>
          <w:color w:val="auto"/>
          <w:sz w:val="32"/>
          <w:szCs w:val="32"/>
          <w:highlight w:val="none"/>
          <w:lang w:val="en-US" w:eastAsia="zh-CN" w:bidi="en-US"/>
        </w:rPr>
        <w:t xml:space="preserve"> 住院支付标准</w:t>
      </w:r>
      <w:bookmarkEnd w:id="8"/>
      <w:bookmarkEnd w:id="9"/>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0"/>
        <w:rPr>
          <w:rFonts w:hint="default" w:ascii="黑体" w:hAnsi="黑体" w:eastAsia="黑体" w:cs="黑体"/>
          <w:b w:val="0"/>
          <w:bCs/>
          <w:color w:val="auto"/>
          <w:sz w:val="32"/>
          <w:szCs w:val="32"/>
          <w:highlight w:val="none"/>
          <w:lang w:val="en-US" w:eastAsia="zh-CN" w:bidi="en-US"/>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2312" w:hAnsi="方正仿宋_GB2312" w:eastAsia="方正仿宋_GB2312" w:cs="方正仿宋_GB2312"/>
          <w:color w:val="auto"/>
          <w:sz w:val="32"/>
          <w:szCs w:val="32"/>
          <w:highlight w:val="none"/>
          <w:lang w:eastAsia="zh-CN" w:bidi="en-US"/>
        </w:rPr>
      </w:pPr>
      <w:r>
        <w:rPr>
          <w:rFonts w:hint="default" w:ascii="黑体" w:hAnsi="黑体" w:eastAsia="黑体" w:cs="黑体"/>
          <w:b w:val="0"/>
          <w:bCs/>
          <w:color w:val="auto"/>
          <w:sz w:val="32"/>
          <w:szCs w:val="32"/>
          <w:highlight w:val="none"/>
          <w:lang w:val="en-US" w:eastAsia="zh-CN" w:bidi="en-US"/>
        </w:rPr>
        <w:t>第</w:t>
      </w:r>
      <w:r>
        <w:rPr>
          <w:rFonts w:hint="eastAsia" w:ascii="黑体" w:hAnsi="黑体" w:eastAsia="黑体" w:cs="黑体"/>
          <w:b w:val="0"/>
          <w:bCs/>
          <w:color w:val="auto"/>
          <w:sz w:val="32"/>
          <w:szCs w:val="32"/>
          <w:highlight w:val="none"/>
          <w:lang w:val="en-US" w:eastAsia="zh-CN" w:bidi="en-US"/>
        </w:rPr>
        <w:t>九</w:t>
      </w:r>
      <w:r>
        <w:rPr>
          <w:rFonts w:hint="default" w:ascii="黑体" w:hAnsi="黑体" w:eastAsia="黑体" w:cs="黑体"/>
          <w:b w:val="0"/>
          <w:bCs/>
          <w:color w:val="auto"/>
          <w:sz w:val="32"/>
          <w:szCs w:val="32"/>
          <w:highlight w:val="none"/>
          <w:lang w:val="en-US" w:eastAsia="zh-CN" w:bidi="en-US"/>
        </w:rPr>
        <w:t xml:space="preserve">条 </w:t>
      </w:r>
      <w:r>
        <w:rPr>
          <w:rFonts w:hint="eastAsia" w:ascii="黑体" w:hAnsi="黑体" w:eastAsia="黑体" w:cs="黑体"/>
          <w:b w:val="0"/>
          <w:bCs/>
          <w:color w:val="auto"/>
          <w:sz w:val="32"/>
          <w:szCs w:val="32"/>
          <w:highlight w:val="none"/>
          <w:lang w:val="en-US" w:eastAsia="zh-CN" w:bidi="en-US"/>
        </w:rPr>
        <w:t xml:space="preserve"> 按病组（种）</w:t>
      </w:r>
      <w:r>
        <w:rPr>
          <w:rFonts w:hint="default" w:ascii="黑体" w:hAnsi="黑体" w:eastAsia="黑体" w:cs="黑体"/>
          <w:b w:val="0"/>
          <w:bCs/>
          <w:color w:val="auto"/>
          <w:sz w:val="32"/>
          <w:szCs w:val="32"/>
          <w:highlight w:val="none"/>
          <w:lang w:val="en-US" w:eastAsia="zh-CN" w:bidi="en-US"/>
        </w:rPr>
        <w:t>住院</w:t>
      </w:r>
      <w:r>
        <w:rPr>
          <w:rFonts w:hint="eastAsia" w:ascii="黑体" w:hAnsi="黑体" w:eastAsia="黑体" w:cs="黑体"/>
          <w:b w:val="0"/>
          <w:bCs/>
          <w:color w:val="auto"/>
          <w:sz w:val="32"/>
          <w:szCs w:val="32"/>
          <w:highlight w:val="none"/>
          <w:lang w:val="en-US" w:eastAsia="zh-CN" w:bidi="en-US"/>
        </w:rPr>
        <w:t>付费</w:t>
      </w:r>
      <w:r>
        <w:rPr>
          <w:rFonts w:hint="default" w:ascii="黑体" w:hAnsi="黑体" w:eastAsia="黑体" w:cs="黑体"/>
          <w:b w:val="0"/>
          <w:bCs/>
          <w:color w:val="auto"/>
          <w:sz w:val="32"/>
          <w:szCs w:val="32"/>
          <w:highlight w:val="none"/>
          <w:lang w:val="en-US" w:eastAsia="zh-CN" w:bidi="en-US"/>
        </w:rPr>
        <w:t>点数计算</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 w:hAnsi="仿宋" w:eastAsia="仿宋" w:cs="仿宋"/>
          <w:color w:val="auto"/>
          <w:kern w:val="0"/>
          <w:sz w:val="32"/>
          <w:szCs w:val="32"/>
          <w:highlight w:val="none"/>
          <w:lang w:val="en-US" w:eastAsia="zh-CN" w:bidi="ar"/>
        </w:rPr>
      </w:pPr>
      <w:r>
        <w:rPr>
          <w:rFonts w:hint="default" w:ascii="仿宋" w:hAnsi="仿宋" w:eastAsia="仿宋" w:cs="仿宋"/>
          <w:color w:val="auto"/>
          <w:kern w:val="0"/>
          <w:sz w:val="32"/>
          <w:szCs w:val="32"/>
          <w:highlight w:val="none"/>
          <w:lang w:val="en-US" w:eastAsia="zh-CN" w:bidi="ar"/>
        </w:rPr>
        <w:t>（一）</w:t>
      </w:r>
      <w:r>
        <w:rPr>
          <w:rFonts w:hint="eastAsia" w:ascii="仿宋" w:hAnsi="仿宋" w:eastAsia="仿宋" w:cs="仿宋"/>
          <w:color w:val="auto"/>
          <w:kern w:val="0"/>
          <w:sz w:val="32"/>
          <w:szCs w:val="32"/>
          <w:highlight w:val="none"/>
          <w:lang w:val="en-US" w:eastAsia="zh-CN" w:bidi="ar"/>
        </w:rPr>
        <w:t>设定</w:t>
      </w:r>
      <w:r>
        <w:rPr>
          <w:rFonts w:hint="default" w:ascii="仿宋" w:hAnsi="仿宋" w:eastAsia="仿宋" w:cs="仿宋"/>
          <w:color w:val="auto"/>
          <w:kern w:val="0"/>
          <w:sz w:val="32"/>
          <w:szCs w:val="32"/>
          <w:highlight w:val="none"/>
          <w:lang w:val="en-US" w:eastAsia="zh-CN" w:bidi="ar"/>
        </w:rPr>
        <w:t>既往三年全部DRG/DIP病组（种）次均住院费用</w:t>
      </w:r>
      <w:r>
        <w:rPr>
          <w:rFonts w:hint="eastAsia" w:ascii="仿宋" w:hAnsi="仿宋" w:eastAsia="仿宋" w:cs="仿宋"/>
          <w:color w:val="auto"/>
          <w:kern w:val="0"/>
          <w:sz w:val="32"/>
          <w:szCs w:val="32"/>
          <w:highlight w:val="none"/>
          <w:lang w:val="en-US" w:eastAsia="zh-CN" w:bidi="ar"/>
        </w:rPr>
        <w:t>为基准费用，基准点数为10000</w:t>
      </w:r>
      <w:r>
        <w:rPr>
          <w:rFonts w:hint="default" w:ascii="仿宋" w:hAnsi="仿宋" w:eastAsia="仿宋" w:cs="仿宋"/>
          <w:color w:val="auto"/>
          <w:kern w:val="0"/>
          <w:sz w:val="32"/>
          <w:szCs w:val="32"/>
          <w:highlight w:val="none"/>
          <w:lang w:val="en-US" w:eastAsia="zh-CN" w:bidi="ar"/>
        </w:rPr>
        <w:t>。</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 w:hAnsi="仿宋" w:eastAsia="仿宋" w:cs="仿宋"/>
          <w:color w:val="auto"/>
          <w:kern w:val="0"/>
          <w:sz w:val="32"/>
          <w:szCs w:val="32"/>
          <w:highlight w:val="none"/>
          <w:lang w:val="en-US" w:eastAsia="zh-CN" w:bidi="ar"/>
        </w:rPr>
      </w:pPr>
      <w:r>
        <w:rPr>
          <w:rFonts w:hint="default" w:ascii="仿宋" w:hAnsi="仿宋" w:eastAsia="仿宋" w:cs="仿宋"/>
          <w:color w:val="auto"/>
          <w:kern w:val="0"/>
          <w:sz w:val="32"/>
          <w:szCs w:val="32"/>
          <w:highlight w:val="none"/>
          <w:lang w:val="en-US" w:eastAsia="zh-CN" w:bidi="ar"/>
        </w:rPr>
        <w:t>DRG/DIP病组（种）的</w:t>
      </w:r>
      <w:r>
        <w:rPr>
          <w:rFonts w:hint="eastAsia" w:ascii="仿宋" w:hAnsi="仿宋" w:eastAsia="仿宋" w:cs="仿宋"/>
          <w:color w:val="auto"/>
          <w:kern w:val="0"/>
          <w:sz w:val="32"/>
          <w:szCs w:val="32"/>
          <w:highlight w:val="none"/>
          <w:lang w:val="en-US" w:eastAsia="zh-CN" w:bidi="ar"/>
        </w:rPr>
        <w:t>基础点数</w:t>
      </w:r>
      <w:r>
        <w:rPr>
          <w:rFonts w:hint="default" w:ascii="仿宋" w:hAnsi="仿宋" w:eastAsia="仿宋" w:cs="仿宋"/>
          <w:color w:val="auto"/>
          <w:kern w:val="0"/>
          <w:sz w:val="32"/>
          <w:szCs w:val="32"/>
          <w:highlight w:val="none"/>
          <w:lang w:val="en-US" w:eastAsia="zh-CN" w:bidi="ar"/>
        </w:rPr>
        <w:t>可用平均医疗费用反映</w:t>
      </w:r>
      <w:r>
        <w:rPr>
          <w:rFonts w:hint="eastAsia" w:ascii="仿宋" w:hAnsi="仿宋" w:eastAsia="仿宋" w:cs="仿宋"/>
          <w:color w:val="auto"/>
          <w:kern w:val="0"/>
          <w:sz w:val="32"/>
          <w:szCs w:val="32"/>
          <w:highlight w:val="none"/>
          <w:lang w:val="en-US" w:eastAsia="zh-CN" w:bidi="ar"/>
        </w:rPr>
        <w:t>，即：</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 w:hAnsi="仿宋" w:eastAsia="仿宋" w:cs="仿宋"/>
          <w:color w:val="auto"/>
          <w:kern w:val="0"/>
          <w:sz w:val="32"/>
          <w:szCs w:val="32"/>
          <w:highlight w:val="none"/>
          <w:lang w:val="en-US" w:eastAsia="zh-CN" w:bidi="ar"/>
        </w:rPr>
      </w:pPr>
      <w:r>
        <w:rPr>
          <w:rFonts w:hint="default" w:ascii="仿宋" w:hAnsi="仿宋" w:eastAsia="仿宋" w:cs="仿宋"/>
          <w:color w:val="auto"/>
          <w:kern w:val="0"/>
          <w:sz w:val="32"/>
          <w:szCs w:val="32"/>
          <w:highlight w:val="none"/>
          <w:lang w:val="en-US" w:eastAsia="zh-CN" w:bidi="ar"/>
        </w:rPr>
        <w:t>某DRG/DIP病组（种）</w:t>
      </w:r>
      <w:r>
        <w:rPr>
          <w:rFonts w:hint="eastAsia" w:ascii="仿宋" w:hAnsi="仿宋" w:eastAsia="仿宋" w:cs="仿宋"/>
          <w:color w:val="auto"/>
          <w:kern w:val="0"/>
          <w:sz w:val="32"/>
          <w:szCs w:val="32"/>
          <w:highlight w:val="none"/>
          <w:lang w:val="en-US" w:eastAsia="zh-CN" w:bidi="ar"/>
        </w:rPr>
        <w:t>基础点数</w:t>
      </w:r>
      <w:r>
        <w:rPr>
          <w:rFonts w:hint="default" w:ascii="仿宋" w:hAnsi="仿宋" w:eastAsia="仿宋" w:cs="仿宋"/>
          <w:color w:val="auto"/>
          <w:kern w:val="0"/>
          <w:sz w:val="32"/>
          <w:szCs w:val="32"/>
          <w:highlight w:val="none"/>
          <w:lang w:val="en-US" w:eastAsia="zh-CN" w:bidi="ar"/>
        </w:rPr>
        <w:t>=既往三年该DRG/DIP病组（种）次均住院费用÷既往三年全部DRG/DIP病组（种）次均住院费用</w:t>
      </w:r>
      <w:r>
        <w:rPr>
          <w:rFonts w:hint="eastAsia" w:ascii="仿宋" w:hAnsi="仿宋" w:eastAsia="仿宋" w:cs="仿宋"/>
          <w:color w:val="auto"/>
          <w:kern w:val="0"/>
          <w:sz w:val="32"/>
          <w:szCs w:val="32"/>
          <w:highlight w:val="none"/>
          <w:lang w:val="en-US" w:eastAsia="zh-CN" w:bidi="ar"/>
        </w:rPr>
        <w:t>*10000</w:t>
      </w:r>
      <w:r>
        <w:rPr>
          <w:rFonts w:hint="default" w:ascii="仿宋" w:hAnsi="仿宋" w:eastAsia="仿宋" w:cs="仿宋"/>
          <w:color w:val="auto"/>
          <w:kern w:val="0"/>
          <w:sz w:val="32"/>
          <w:szCs w:val="32"/>
          <w:highlight w:val="none"/>
          <w:lang w:val="en-US" w:eastAsia="zh-CN" w:bidi="ar"/>
        </w:rPr>
        <w:t>。</w:t>
      </w:r>
      <w:r>
        <w:rPr>
          <w:rFonts w:hint="default" w:ascii="仿宋" w:hAnsi="仿宋" w:eastAsia="仿宋" w:cs="仿宋"/>
          <w:color w:val="auto"/>
          <w:kern w:val="0"/>
          <w:sz w:val="32"/>
          <w:szCs w:val="32"/>
          <w:highlight w:val="none"/>
          <w:lang w:val="en-US" w:eastAsia="zh-CN" w:bidi="ar"/>
        </w:rPr>
        <w:br w:type="textWrapping"/>
      </w:r>
      <w:r>
        <w:rPr>
          <w:rFonts w:hint="eastAsia" w:ascii="仿宋" w:hAnsi="仿宋" w:eastAsia="仿宋" w:cs="仿宋"/>
          <w:color w:val="auto"/>
          <w:kern w:val="0"/>
          <w:sz w:val="32"/>
          <w:szCs w:val="32"/>
          <w:highlight w:val="none"/>
          <w:lang w:val="en-US" w:eastAsia="zh-CN" w:bidi="ar"/>
        </w:rPr>
        <w:t xml:space="preserve">    病例不足三年的，可以采取适当年度病例进行测算。</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 w:hAnsi="仿宋" w:eastAsia="仿宋" w:cs="仿宋"/>
          <w:color w:val="auto"/>
          <w:kern w:val="0"/>
          <w:sz w:val="32"/>
          <w:szCs w:val="32"/>
          <w:highlight w:val="none"/>
          <w:lang w:val="en-US" w:eastAsia="zh-CN" w:bidi="ar"/>
        </w:rPr>
      </w:pPr>
      <w:r>
        <w:rPr>
          <w:rFonts w:hint="default" w:ascii="仿宋" w:hAnsi="仿宋" w:eastAsia="仿宋" w:cs="仿宋"/>
          <w:color w:val="auto"/>
          <w:kern w:val="0"/>
          <w:sz w:val="32"/>
          <w:szCs w:val="32"/>
          <w:highlight w:val="none"/>
          <w:lang w:val="en-US" w:eastAsia="zh-CN" w:bidi="ar"/>
        </w:rPr>
        <w:t>（二）确定</w:t>
      </w:r>
      <w:r>
        <w:rPr>
          <w:rFonts w:hint="eastAsia" w:ascii="仿宋" w:hAnsi="仿宋" w:eastAsia="仿宋" w:cs="仿宋"/>
          <w:color w:val="auto"/>
          <w:kern w:val="0"/>
          <w:sz w:val="32"/>
          <w:szCs w:val="32"/>
          <w:highlight w:val="none"/>
          <w:lang w:val="en-US" w:eastAsia="zh-CN" w:bidi="ar"/>
        </w:rPr>
        <w:t>调节系数</w:t>
      </w:r>
      <w:r>
        <w:rPr>
          <w:rFonts w:hint="default" w:ascii="仿宋" w:hAnsi="仿宋" w:eastAsia="仿宋" w:cs="仿宋"/>
          <w:color w:val="auto"/>
          <w:kern w:val="0"/>
          <w:sz w:val="32"/>
          <w:szCs w:val="32"/>
          <w:highlight w:val="none"/>
          <w:lang w:val="en-US" w:eastAsia="zh-CN" w:bidi="ar"/>
        </w:rPr>
        <w:t>。</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 w:hAnsi="仿宋" w:eastAsia="仿宋" w:cs="仿宋"/>
          <w:color w:val="auto"/>
          <w:kern w:val="0"/>
          <w:sz w:val="32"/>
          <w:szCs w:val="32"/>
          <w:highlight w:val="none"/>
          <w:lang w:val="en-US" w:eastAsia="zh-CN" w:bidi="ar"/>
        </w:rPr>
      </w:pPr>
      <w:r>
        <w:rPr>
          <w:rFonts w:hint="default" w:ascii="仿宋" w:hAnsi="仿宋" w:eastAsia="仿宋" w:cs="仿宋"/>
          <w:color w:val="auto"/>
          <w:kern w:val="0"/>
          <w:sz w:val="32"/>
          <w:szCs w:val="32"/>
          <w:highlight w:val="none"/>
          <w:lang w:val="en-US" w:eastAsia="zh-CN" w:bidi="ar"/>
        </w:rPr>
        <w:t>各统筹区可根据医院等级、区域经济、医疗成本等实际情况设定调节系数，调节系数范围原则上为0-200%，</w:t>
      </w:r>
      <w:r>
        <w:rPr>
          <w:rFonts w:hint="eastAsia" w:ascii="仿宋" w:hAnsi="仿宋" w:eastAsia="仿宋" w:cs="仿宋"/>
          <w:color w:val="auto"/>
          <w:kern w:val="0"/>
          <w:sz w:val="32"/>
          <w:szCs w:val="32"/>
          <w:highlight w:val="none"/>
          <w:lang w:val="en-US" w:eastAsia="zh-CN" w:bidi="ar"/>
        </w:rPr>
        <w:t>设定及变动调节系数应</w:t>
      </w:r>
      <w:r>
        <w:rPr>
          <w:rFonts w:hint="default" w:ascii="仿宋" w:hAnsi="仿宋" w:eastAsia="仿宋" w:cs="仿宋"/>
          <w:color w:val="auto"/>
          <w:kern w:val="0"/>
          <w:sz w:val="32"/>
          <w:szCs w:val="32"/>
          <w:highlight w:val="none"/>
          <w:lang w:val="en-US" w:eastAsia="zh-CN" w:bidi="ar"/>
        </w:rPr>
        <w:t>上报省级医保部门备案。</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 w:hAnsi="仿宋" w:eastAsia="仿宋" w:cs="仿宋"/>
          <w:color w:val="auto"/>
          <w:kern w:val="0"/>
          <w:sz w:val="32"/>
          <w:szCs w:val="32"/>
          <w:highlight w:val="none"/>
          <w:lang w:val="en-US" w:eastAsia="zh-CN" w:bidi="ar"/>
        </w:rPr>
      </w:pPr>
      <w:r>
        <w:rPr>
          <w:rFonts w:hint="default" w:ascii="仿宋" w:hAnsi="仿宋" w:eastAsia="仿宋" w:cs="仿宋"/>
          <w:color w:val="auto"/>
          <w:kern w:val="0"/>
          <w:sz w:val="32"/>
          <w:szCs w:val="32"/>
          <w:highlight w:val="none"/>
          <w:lang w:val="en-US" w:eastAsia="zh-CN" w:bidi="ar"/>
        </w:rPr>
        <w:t>（三）病组（种）</w:t>
      </w:r>
      <w:r>
        <w:rPr>
          <w:rFonts w:hint="eastAsia" w:ascii="仿宋" w:hAnsi="仿宋" w:eastAsia="仿宋" w:cs="仿宋"/>
          <w:color w:val="auto"/>
          <w:kern w:val="0"/>
          <w:sz w:val="32"/>
          <w:szCs w:val="32"/>
          <w:highlight w:val="none"/>
          <w:lang w:val="en-US" w:eastAsia="zh-CN" w:bidi="ar"/>
        </w:rPr>
        <w:t>付费</w:t>
      </w:r>
      <w:r>
        <w:rPr>
          <w:rFonts w:hint="default" w:ascii="仿宋" w:hAnsi="仿宋" w:eastAsia="仿宋" w:cs="仿宋"/>
          <w:color w:val="auto"/>
          <w:kern w:val="0"/>
          <w:sz w:val="32"/>
          <w:szCs w:val="32"/>
          <w:highlight w:val="none"/>
          <w:lang w:val="en-US" w:eastAsia="zh-CN" w:bidi="ar"/>
        </w:rPr>
        <w:t>点数确定。病组（种）点数为</w:t>
      </w:r>
      <w:r>
        <w:rPr>
          <w:rFonts w:hint="eastAsia" w:ascii="仿宋" w:hAnsi="仿宋" w:eastAsia="仿宋" w:cs="仿宋"/>
          <w:color w:val="auto"/>
          <w:kern w:val="0"/>
          <w:sz w:val="32"/>
          <w:szCs w:val="32"/>
          <w:highlight w:val="none"/>
          <w:lang w:val="en-US" w:eastAsia="zh-CN" w:bidi="ar"/>
        </w:rPr>
        <w:t>基础点数</w:t>
      </w:r>
      <w:r>
        <w:rPr>
          <w:rFonts w:hint="default" w:ascii="仿宋" w:hAnsi="仿宋" w:eastAsia="仿宋" w:cs="仿宋"/>
          <w:color w:val="auto"/>
          <w:kern w:val="0"/>
          <w:sz w:val="32"/>
          <w:szCs w:val="32"/>
          <w:highlight w:val="none"/>
          <w:lang w:val="en-US" w:eastAsia="zh-CN" w:bidi="ar"/>
        </w:rPr>
        <w:t>与</w:t>
      </w:r>
      <w:r>
        <w:rPr>
          <w:rFonts w:hint="eastAsia" w:ascii="仿宋" w:hAnsi="仿宋" w:eastAsia="仿宋" w:cs="仿宋"/>
          <w:color w:val="auto"/>
          <w:kern w:val="0"/>
          <w:sz w:val="32"/>
          <w:szCs w:val="32"/>
          <w:highlight w:val="none"/>
          <w:lang w:val="en-US" w:eastAsia="zh-CN" w:bidi="ar"/>
        </w:rPr>
        <w:t>调节系数</w:t>
      </w:r>
      <w:r>
        <w:rPr>
          <w:rFonts w:hint="default" w:ascii="仿宋" w:hAnsi="仿宋" w:eastAsia="仿宋" w:cs="仿宋"/>
          <w:color w:val="auto"/>
          <w:kern w:val="0"/>
          <w:sz w:val="32"/>
          <w:szCs w:val="32"/>
          <w:highlight w:val="none"/>
          <w:lang w:val="en-US" w:eastAsia="zh-CN" w:bidi="ar"/>
        </w:rPr>
        <w:t>的乘积。</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 w:hAnsi="仿宋" w:eastAsia="仿宋" w:cs="仿宋"/>
          <w:color w:val="auto"/>
          <w:kern w:val="0"/>
          <w:sz w:val="32"/>
          <w:szCs w:val="32"/>
          <w:highlight w:val="none"/>
          <w:lang w:val="en-US" w:eastAsia="zh-CN" w:bidi="ar"/>
        </w:rPr>
      </w:pPr>
      <w:r>
        <w:rPr>
          <w:rFonts w:hint="default" w:ascii="仿宋" w:hAnsi="仿宋" w:eastAsia="仿宋" w:cs="仿宋"/>
          <w:color w:val="auto"/>
          <w:kern w:val="0"/>
          <w:sz w:val="32"/>
          <w:szCs w:val="32"/>
          <w:highlight w:val="none"/>
          <w:lang w:val="en-US" w:eastAsia="zh-CN" w:bidi="ar"/>
        </w:rPr>
        <w:t>某DRG/DIP病组（种）的</w:t>
      </w:r>
      <w:r>
        <w:rPr>
          <w:rFonts w:hint="eastAsia" w:ascii="仿宋" w:hAnsi="仿宋" w:eastAsia="仿宋" w:cs="仿宋"/>
          <w:color w:val="auto"/>
          <w:kern w:val="0"/>
          <w:sz w:val="32"/>
          <w:szCs w:val="32"/>
          <w:highlight w:val="none"/>
          <w:lang w:val="en-US" w:eastAsia="zh-CN" w:bidi="ar"/>
        </w:rPr>
        <w:t>付费</w:t>
      </w:r>
      <w:r>
        <w:rPr>
          <w:rFonts w:hint="default" w:ascii="仿宋" w:hAnsi="仿宋" w:eastAsia="仿宋" w:cs="仿宋"/>
          <w:color w:val="auto"/>
          <w:kern w:val="0"/>
          <w:sz w:val="32"/>
          <w:szCs w:val="32"/>
          <w:highlight w:val="none"/>
          <w:lang w:val="en-US" w:eastAsia="zh-CN" w:bidi="ar"/>
        </w:rPr>
        <w:t>点数=某DRG/DIP病组（种）</w:t>
      </w:r>
      <w:r>
        <w:rPr>
          <w:rFonts w:hint="eastAsia" w:ascii="仿宋" w:hAnsi="仿宋" w:eastAsia="仿宋" w:cs="仿宋"/>
          <w:color w:val="auto"/>
          <w:kern w:val="0"/>
          <w:sz w:val="32"/>
          <w:szCs w:val="32"/>
          <w:highlight w:val="none"/>
          <w:lang w:val="en-US" w:eastAsia="zh-CN" w:bidi="ar"/>
        </w:rPr>
        <w:t>基础点数</w:t>
      </w:r>
      <w:r>
        <w:rPr>
          <w:rFonts w:hint="default" w:ascii="仿宋" w:hAnsi="仿宋" w:eastAsia="仿宋" w:cs="仿宋"/>
          <w:color w:val="auto"/>
          <w:kern w:val="0"/>
          <w:sz w:val="32"/>
          <w:szCs w:val="32"/>
          <w:highlight w:val="none"/>
          <w:lang w:val="en-US" w:eastAsia="zh-CN" w:bidi="ar"/>
        </w:rPr>
        <w:t>×调节系数</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2312" w:hAnsi="方正仿宋_GB2312" w:eastAsia="方正仿宋_GB2312" w:cs="方正仿宋_GB2312"/>
          <w:color w:val="auto"/>
          <w:sz w:val="32"/>
          <w:szCs w:val="32"/>
          <w:highlight w:val="none"/>
          <w:lang w:val="en-US" w:eastAsia="zh-CN" w:bidi="en-US"/>
        </w:rPr>
      </w:pPr>
      <w:r>
        <w:rPr>
          <w:rFonts w:hint="default" w:ascii="仿宋" w:hAnsi="仿宋" w:eastAsia="仿宋" w:cs="仿宋"/>
          <w:color w:val="auto"/>
          <w:kern w:val="0"/>
          <w:sz w:val="32"/>
          <w:szCs w:val="32"/>
          <w:highlight w:val="none"/>
          <w:lang w:val="en-US" w:eastAsia="zh-CN" w:bidi="ar"/>
        </w:rPr>
        <w:t>（四）病组（种）总</w:t>
      </w:r>
      <w:r>
        <w:rPr>
          <w:rFonts w:hint="eastAsia" w:ascii="仿宋" w:hAnsi="仿宋" w:eastAsia="仿宋" w:cs="仿宋"/>
          <w:color w:val="auto"/>
          <w:kern w:val="0"/>
          <w:sz w:val="32"/>
          <w:szCs w:val="32"/>
          <w:highlight w:val="none"/>
          <w:lang w:val="en-US" w:eastAsia="zh-CN" w:bidi="ar"/>
        </w:rPr>
        <w:t>付费</w:t>
      </w:r>
      <w:r>
        <w:rPr>
          <w:rFonts w:hint="default" w:ascii="仿宋" w:hAnsi="仿宋" w:eastAsia="仿宋" w:cs="仿宋"/>
          <w:color w:val="auto"/>
          <w:kern w:val="0"/>
          <w:sz w:val="32"/>
          <w:szCs w:val="32"/>
          <w:highlight w:val="none"/>
          <w:lang w:val="en-US" w:eastAsia="zh-CN" w:bidi="ar"/>
        </w:rPr>
        <w:t>点数确定。病组（种）总</w:t>
      </w:r>
      <w:r>
        <w:rPr>
          <w:rFonts w:hint="eastAsia" w:ascii="仿宋" w:hAnsi="仿宋" w:eastAsia="仿宋" w:cs="仿宋"/>
          <w:color w:val="auto"/>
          <w:kern w:val="0"/>
          <w:sz w:val="32"/>
          <w:szCs w:val="32"/>
          <w:highlight w:val="none"/>
          <w:lang w:val="en-US" w:eastAsia="zh-CN" w:bidi="ar"/>
        </w:rPr>
        <w:t>付费</w:t>
      </w:r>
      <w:r>
        <w:rPr>
          <w:rFonts w:hint="default" w:ascii="仿宋" w:hAnsi="仿宋" w:eastAsia="仿宋" w:cs="仿宋"/>
          <w:color w:val="auto"/>
          <w:kern w:val="0"/>
          <w:sz w:val="32"/>
          <w:szCs w:val="32"/>
          <w:highlight w:val="none"/>
          <w:lang w:val="en-US" w:eastAsia="zh-CN" w:bidi="ar"/>
        </w:rPr>
        <w:t>点数为各病组（种）点数与实际发生病例数乘积之和。</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黑体" w:hAnsi="黑体" w:eastAsia="黑体" w:cs="黑体"/>
          <w:b w:val="0"/>
          <w:bCs/>
          <w:color w:val="auto"/>
          <w:sz w:val="32"/>
          <w:szCs w:val="32"/>
          <w:highlight w:val="none"/>
          <w:lang w:eastAsia="zh-CN" w:bidi="en-US"/>
        </w:rPr>
      </w:pPr>
      <w:r>
        <w:rPr>
          <w:rFonts w:hint="eastAsia" w:ascii="方正仿宋_GB2312" w:hAnsi="方正仿宋_GB2312" w:eastAsia="方正仿宋_GB2312" w:cs="方正仿宋_GB2312"/>
          <w:color w:val="auto"/>
          <w:sz w:val="32"/>
          <w:szCs w:val="32"/>
          <w:highlight w:val="none"/>
          <w:lang w:val="en-US" w:eastAsia="zh-CN" w:bidi="en-US"/>
        </w:rPr>
        <w:t xml:space="preserve"> </w:t>
      </w:r>
      <w:r>
        <w:rPr>
          <w:rFonts w:hint="default" w:ascii="黑体" w:hAnsi="黑体" w:eastAsia="黑体" w:cs="黑体"/>
          <w:b w:val="0"/>
          <w:bCs/>
          <w:color w:val="auto"/>
          <w:sz w:val="32"/>
          <w:szCs w:val="32"/>
          <w:highlight w:val="none"/>
          <w:lang w:val="en-US" w:eastAsia="zh-CN" w:bidi="en-US"/>
        </w:rPr>
        <w:t>第</w:t>
      </w:r>
      <w:r>
        <w:rPr>
          <w:rFonts w:hint="eastAsia" w:ascii="黑体" w:hAnsi="黑体" w:eastAsia="黑体" w:cs="黑体"/>
          <w:b w:val="0"/>
          <w:bCs/>
          <w:color w:val="auto"/>
          <w:sz w:val="32"/>
          <w:szCs w:val="32"/>
          <w:highlight w:val="none"/>
          <w:lang w:val="en-US" w:eastAsia="zh-CN" w:bidi="en-US"/>
        </w:rPr>
        <w:t>十</w:t>
      </w:r>
      <w:r>
        <w:rPr>
          <w:rFonts w:hint="default" w:ascii="黑体" w:hAnsi="黑体" w:eastAsia="黑体" w:cs="黑体"/>
          <w:b w:val="0"/>
          <w:bCs/>
          <w:color w:val="auto"/>
          <w:sz w:val="32"/>
          <w:szCs w:val="32"/>
          <w:highlight w:val="none"/>
          <w:lang w:val="en-US" w:eastAsia="zh-CN" w:bidi="en-US"/>
        </w:rPr>
        <w:t>条  床日付费住院</w:t>
      </w:r>
      <w:r>
        <w:rPr>
          <w:rFonts w:hint="eastAsia" w:ascii="黑体" w:hAnsi="黑体" w:eastAsia="黑体" w:cs="黑体"/>
          <w:b w:val="0"/>
          <w:bCs/>
          <w:color w:val="auto"/>
          <w:sz w:val="32"/>
          <w:szCs w:val="32"/>
          <w:highlight w:val="none"/>
          <w:lang w:val="en-US" w:eastAsia="zh-CN" w:bidi="en-US"/>
        </w:rPr>
        <w:t>付费</w:t>
      </w:r>
      <w:r>
        <w:rPr>
          <w:rFonts w:hint="default" w:ascii="黑体" w:hAnsi="黑体" w:eastAsia="黑体" w:cs="黑体"/>
          <w:b w:val="0"/>
          <w:bCs/>
          <w:color w:val="auto"/>
          <w:sz w:val="32"/>
          <w:szCs w:val="32"/>
          <w:highlight w:val="none"/>
          <w:lang w:val="en-US" w:eastAsia="zh-CN" w:bidi="en-US"/>
        </w:rPr>
        <w:t>点数计算</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（一）设定</w:t>
      </w:r>
      <w:r>
        <w:rPr>
          <w:rFonts w:hint="default" w:ascii="仿宋" w:hAnsi="仿宋" w:eastAsia="仿宋" w:cs="仿宋"/>
          <w:color w:val="auto"/>
          <w:kern w:val="0"/>
          <w:sz w:val="32"/>
          <w:szCs w:val="32"/>
          <w:highlight w:val="none"/>
          <w:lang w:val="en-US" w:eastAsia="zh-CN" w:bidi="ar"/>
        </w:rPr>
        <w:t>既往三年全部DRG/DIP病组（种）次均住院费用</w:t>
      </w:r>
      <w:r>
        <w:rPr>
          <w:rFonts w:hint="eastAsia" w:ascii="仿宋" w:hAnsi="仿宋" w:eastAsia="仿宋" w:cs="仿宋"/>
          <w:color w:val="auto"/>
          <w:kern w:val="0"/>
          <w:sz w:val="32"/>
          <w:szCs w:val="32"/>
          <w:highlight w:val="none"/>
          <w:lang w:val="en-US" w:eastAsia="zh-CN" w:bidi="ar"/>
        </w:rPr>
        <w:t>为基准费用，基准点数为10000</w:t>
      </w:r>
      <w:r>
        <w:rPr>
          <w:rFonts w:hint="default" w:ascii="仿宋" w:hAnsi="仿宋" w:eastAsia="仿宋" w:cs="仿宋"/>
          <w:color w:val="auto"/>
          <w:kern w:val="0"/>
          <w:sz w:val="32"/>
          <w:szCs w:val="32"/>
          <w:highlight w:val="none"/>
          <w:lang w:val="en-US" w:eastAsia="zh-CN" w:bidi="ar"/>
        </w:rPr>
        <w:t>。</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 xml:space="preserve"> </w:t>
      </w:r>
      <w:r>
        <w:rPr>
          <w:rFonts w:hint="default" w:ascii="仿宋" w:hAnsi="仿宋" w:eastAsia="仿宋" w:cs="仿宋"/>
          <w:color w:val="auto"/>
          <w:kern w:val="0"/>
          <w:sz w:val="32"/>
          <w:szCs w:val="32"/>
          <w:highlight w:val="none"/>
          <w:lang w:val="en-US" w:eastAsia="zh-CN" w:bidi="ar"/>
        </w:rPr>
        <w:t>某</w:t>
      </w:r>
      <w:r>
        <w:rPr>
          <w:rFonts w:hint="eastAsia" w:ascii="仿宋" w:hAnsi="仿宋" w:eastAsia="仿宋" w:cs="仿宋"/>
          <w:color w:val="auto"/>
          <w:kern w:val="0"/>
          <w:sz w:val="32"/>
          <w:szCs w:val="32"/>
          <w:highlight w:val="none"/>
          <w:lang w:val="en-US" w:eastAsia="zh-CN" w:bidi="ar"/>
        </w:rPr>
        <w:t>床日病例付费点数</w:t>
      </w:r>
      <w:r>
        <w:rPr>
          <w:rFonts w:hint="default" w:ascii="仿宋" w:hAnsi="仿宋" w:eastAsia="仿宋" w:cs="仿宋"/>
          <w:color w:val="auto"/>
          <w:kern w:val="0"/>
          <w:sz w:val="32"/>
          <w:szCs w:val="32"/>
          <w:highlight w:val="none"/>
          <w:lang w:val="en-US" w:eastAsia="zh-CN" w:bidi="ar"/>
        </w:rPr>
        <w:t>=</w:t>
      </w:r>
      <w:r>
        <w:rPr>
          <w:rFonts w:hint="eastAsia" w:ascii="仿宋" w:hAnsi="仿宋" w:eastAsia="仿宋" w:cs="仿宋"/>
          <w:color w:val="auto"/>
          <w:kern w:val="0"/>
          <w:sz w:val="32"/>
          <w:szCs w:val="32"/>
          <w:highlight w:val="none"/>
          <w:lang w:val="en-US" w:eastAsia="zh-CN" w:bidi="ar"/>
        </w:rPr>
        <w:t>该</w:t>
      </w:r>
      <w:r>
        <w:rPr>
          <w:rFonts w:hint="default" w:ascii="仿宋" w:hAnsi="仿宋" w:eastAsia="仿宋" w:cs="仿宋"/>
          <w:color w:val="auto"/>
          <w:kern w:val="0"/>
          <w:sz w:val="32"/>
          <w:szCs w:val="32"/>
          <w:highlight w:val="none"/>
          <w:lang w:val="en-US" w:eastAsia="zh-CN" w:bidi="ar"/>
        </w:rPr>
        <w:t>床日</w:t>
      </w:r>
      <w:r>
        <w:rPr>
          <w:rFonts w:hint="eastAsia" w:ascii="仿宋" w:hAnsi="仿宋" w:eastAsia="仿宋" w:cs="仿宋"/>
          <w:color w:val="auto"/>
          <w:kern w:val="0"/>
          <w:sz w:val="32"/>
          <w:szCs w:val="32"/>
          <w:highlight w:val="none"/>
          <w:lang w:val="en-US" w:eastAsia="zh-CN" w:bidi="ar"/>
        </w:rPr>
        <w:t>病例基金</w:t>
      </w:r>
      <w:r>
        <w:rPr>
          <w:rFonts w:hint="default" w:ascii="仿宋" w:hAnsi="仿宋" w:eastAsia="仿宋" w:cs="仿宋"/>
          <w:color w:val="auto"/>
          <w:kern w:val="0"/>
          <w:sz w:val="32"/>
          <w:szCs w:val="32"/>
          <w:highlight w:val="none"/>
          <w:lang w:val="en-US" w:eastAsia="zh-CN" w:bidi="ar"/>
        </w:rPr>
        <w:t>支付</w:t>
      </w:r>
      <w:r>
        <w:rPr>
          <w:rFonts w:hint="eastAsia" w:ascii="仿宋" w:hAnsi="仿宋" w:eastAsia="仿宋" w:cs="仿宋"/>
          <w:color w:val="auto"/>
          <w:kern w:val="0"/>
          <w:sz w:val="32"/>
          <w:szCs w:val="32"/>
          <w:highlight w:val="none"/>
          <w:lang w:val="en-US" w:eastAsia="zh-CN" w:bidi="ar"/>
        </w:rPr>
        <w:t>标准/平均报销比例*床日天数</w:t>
      </w:r>
      <w:r>
        <w:rPr>
          <w:rFonts w:hint="default" w:ascii="仿宋" w:hAnsi="仿宋" w:eastAsia="仿宋" w:cs="仿宋"/>
          <w:color w:val="auto"/>
          <w:kern w:val="0"/>
          <w:sz w:val="32"/>
          <w:szCs w:val="32"/>
          <w:highlight w:val="none"/>
          <w:lang w:val="en-US" w:eastAsia="zh-CN" w:bidi="ar"/>
        </w:rPr>
        <w:t>÷既往三年全部DRG/DIP病组（种）次均住院费用</w:t>
      </w:r>
      <w:r>
        <w:rPr>
          <w:rFonts w:hint="eastAsia" w:ascii="仿宋" w:hAnsi="仿宋" w:eastAsia="仿宋" w:cs="仿宋"/>
          <w:color w:val="auto"/>
          <w:kern w:val="0"/>
          <w:sz w:val="32"/>
          <w:szCs w:val="32"/>
          <w:highlight w:val="none"/>
          <w:lang w:val="en-US" w:eastAsia="zh-CN" w:bidi="ar"/>
        </w:rPr>
        <w:t>*10000；</w:t>
      </w:r>
      <w:r>
        <w:rPr>
          <w:rFonts w:hint="default" w:ascii="仿宋" w:hAnsi="仿宋" w:eastAsia="仿宋" w:cs="仿宋"/>
          <w:color w:val="auto"/>
          <w:kern w:val="0"/>
          <w:sz w:val="32"/>
          <w:szCs w:val="32"/>
          <w:highlight w:val="none"/>
          <w:lang w:val="en-US" w:eastAsia="zh-CN" w:bidi="ar"/>
        </w:rPr>
        <w:br w:type="textWrapping"/>
      </w:r>
      <w:r>
        <w:rPr>
          <w:rFonts w:hint="eastAsia" w:ascii="仿宋" w:hAnsi="仿宋" w:eastAsia="仿宋" w:cs="仿宋"/>
          <w:color w:val="auto"/>
          <w:kern w:val="0"/>
          <w:sz w:val="32"/>
          <w:szCs w:val="32"/>
          <w:highlight w:val="none"/>
          <w:lang w:val="en-US" w:eastAsia="zh-CN" w:bidi="ar"/>
        </w:rPr>
        <w:t xml:space="preserve">     </w:t>
      </w:r>
      <w:r>
        <w:rPr>
          <w:rFonts w:hint="default" w:ascii="仿宋" w:hAnsi="仿宋" w:eastAsia="仿宋" w:cs="仿宋"/>
          <w:color w:val="auto"/>
          <w:kern w:val="0"/>
          <w:sz w:val="32"/>
          <w:szCs w:val="32"/>
          <w:highlight w:val="none"/>
          <w:lang w:val="en-US" w:eastAsia="zh-CN" w:bidi="ar"/>
        </w:rPr>
        <w:t>（</w:t>
      </w:r>
      <w:r>
        <w:rPr>
          <w:rFonts w:hint="eastAsia" w:ascii="仿宋" w:hAnsi="仿宋" w:eastAsia="仿宋" w:cs="仿宋"/>
          <w:color w:val="auto"/>
          <w:kern w:val="0"/>
          <w:sz w:val="32"/>
          <w:szCs w:val="32"/>
          <w:highlight w:val="none"/>
          <w:lang w:val="en-US" w:eastAsia="zh-CN" w:bidi="ar"/>
        </w:rPr>
        <w:t>二</w:t>
      </w:r>
      <w:r>
        <w:rPr>
          <w:rFonts w:hint="default" w:ascii="仿宋" w:hAnsi="仿宋" w:eastAsia="仿宋" w:cs="仿宋"/>
          <w:color w:val="auto"/>
          <w:kern w:val="0"/>
          <w:sz w:val="32"/>
          <w:szCs w:val="32"/>
          <w:highlight w:val="none"/>
          <w:lang w:val="en-US" w:eastAsia="zh-CN" w:bidi="ar"/>
        </w:rPr>
        <w:t>）床日付费点数。</w:t>
      </w:r>
      <w:r>
        <w:rPr>
          <w:rFonts w:hint="eastAsia" w:ascii="仿宋" w:hAnsi="仿宋" w:eastAsia="仿宋" w:cs="仿宋"/>
          <w:color w:val="auto"/>
          <w:kern w:val="0"/>
          <w:sz w:val="32"/>
          <w:szCs w:val="32"/>
          <w:highlight w:val="none"/>
          <w:lang w:val="en-US" w:eastAsia="zh-CN" w:bidi="ar"/>
        </w:rPr>
        <w:t>床日</w:t>
      </w:r>
      <w:r>
        <w:rPr>
          <w:rFonts w:hint="default" w:ascii="仿宋" w:hAnsi="仿宋" w:eastAsia="仿宋" w:cs="仿宋"/>
          <w:color w:val="auto"/>
          <w:kern w:val="0"/>
          <w:sz w:val="32"/>
          <w:szCs w:val="32"/>
          <w:highlight w:val="none"/>
          <w:lang w:val="en-US" w:eastAsia="zh-CN" w:bidi="ar"/>
        </w:rPr>
        <w:t>病组（种）总点数为各</w:t>
      </w:r>
      <w:r>
        <w:rPr>
          <w:rFonts w:hint="eastAsia" w:ascii="仿宋" w:hAnsi="仿宋" w:eastAsia="仿宋" w:cs="仿宋"/>
          <w:color w:val="auto"/>
          <w:kern w:val="0"/>
          <w:sz w:val="32"/>
          <w:szCs w:val="32"/>
          <w:highlight w:val="none"/>
          <w:lang w:val="en-US" w:eastAsia="zh-CN" w:bidi="ar"/>
        </w:rPr>
        <w:t>床日病例</w:t>
      </w:r>
      <w:r>
        <w:rPr>
          <w:rFonts w:hint="default" w:ascii="仿宋" w:hAnsi="仿宋" w:eastAsia="仿宋" w:cs="仿宋"/>
          <w:color w:val="auto"/>
          <w:kern w:val="0"/>
          <w:sz w:val="32"/>
          <w:szCs w:val="32"/>
          <w:highlight w:val="none"/>
          <w:lang w:val="en-US" w:eastAsia="zh-CN" w:bidi="ar"/>
        </w:rPr>
        <w:t>点数之和。</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黑体" w:hAnsi="黑体" w:eastAsia="黑体" w:cs="黑体"/>
          <w:b w:val="0"/>
          <w:bCs/>
          <w:color w:val="auto"/>
          <w:sz w:val="32"/>
          <w:szCs w:val="32"/>
          <w:highlight w:val="none"/>
          <w:lang w:eastAsia="zh-CN" w:bidi="en-US"/>
        </w:rPr>
      </w:pPr>
      <w:r>
        <w:rPr>
          <w:rFonts w:hint="default" w:ascii="黑体" w:hAnsi="黑体" w:eastAsia="黑体" w:cs="黑体"/>
          <w:b w:val="0"/>
          <w:bCs/>
          <w:color w:val="auto"/>
          <w:sz w:val="32"/>
          <w:szCs w:val="32"/>
          <w:highlight w:val="none"/>
          <w:lang w:val="en-US" w:eastAsia="zh-CN" w:bidi="en-US"/>
        </w:rPr>
        <w:t>第</w:t>
      </w:r>
      <w:r>
        <w:rPr>
          <w:rFonts w:hint="eastAsia" w:ascii="黑体" w:hAnsi="黑体" w:eastAsia="黑体" w:cs="黑体"/>
          <w:b w:val="0"/>
          <w:bCs/>
          <w:color w:val="auto"/>
          <w:sz w:val="32"/>
          <w:szCs w:val="32"/>
          <w:highlight w:val="none"/>
          <w:lang w:val="en-US" w:eastAsia="zh-CN" w:bidi="en-US"/>
        </w:rPr>
        <w:t>十一</w:t>
      </w:r>
      <w:r>
        <w:rPr>
          <w:rFonts w:hint="default" w:ascii="黑体" w:hAnsi="黑体" w:eastAsia="黑体" w:cs="黑体"/>
          <w:b w:val="0"/>
          <w:bCs/>
          <w:color w:val="auto"/>
          <w:sz w:val="32"/>
          <w:szCs w:val="32"/>
          <w:highlight w:val="none"/>
          <w:lang w:val="en-US" w:eastAsia="zh-CN" w:bidi="en-US"/>
        </w:rPr>
        <w:t>条  项目付费住院</w:t>
      </w:r>
      <w:r>
        <w:rPr>
          <w:rFonts w:hint="eastAsia" w:ascii="黑体" w:hAnsi="黑体" w:eastAsia="黑体" w:cs="黑体"/>
          <w:b w:val="0"/>
          <w:bCs/>
          <w:color w:val="auto"/>
          <w:sz w:val="32"/>
          <w:szCs w:val="32"/>
          <w:highlight w:val="none"/>
          <w:lang w:val="en-US" w:eastAsia="zh-CN" w:bidi="en-US"/>
        </w:rPr>
        <w:t>付费</w:t>
      </w:r>
      <w:r>
        <w:rPr>
          <w:rFonts w:hint="default" w:ascii="黑体" w:hAnsi="黑体" w:eastAsia="黑体" w:cs="黑体"/>
          <w:b w:val="0"/>
          <w:bCs/>
          <w:color w:val="auto"/>
          <w:sz w:val="32"/>
          <w:szCs w:val="32"/>
          <w:highlight w:val="none"/>
          <w:lang w:val="en-US" w:eastAsia="zh-CN" w:bidi="en-US"/>
        </w:rPr>
        <w:t>点数计算</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 w:hAnsi="仿宋" w:eastAsia="仿宋" w:cs="仿宋"/>
          <w:color w:val="auto"/>
          <w:kern w:val="0"/>
          <w:sz w:val="32"/>
          <w:szCs w:val="32"/>
          <w:highlight w:val="none"/>
          <w:lang w:val="en-US" w:eastAsia="zh-CN" w:bidi="ar"/>
        </w:rPr>
      </w:pPr>
      <w:r>
        <w:rPr>
          <w:rFonts w:hint="default" w:ascii="仿宋" w:hAnsi="仿宋" w:eastAsia="仿宋" w:cs="仿宋"/>
          <w:color w:val="auto"/>
          <w:kern w:val="0"/>
          <w:sz w:val="32"/>
          <w:szCs w:val="32"/>
          <w:highlight w:val="none"/>
          <w:lang w:val="en-US" w:eastAsia="zh-CN" w:bidi="ar"/>
        </w:rPr>
        <w:t>（一）</w:t>
      </w:r>
      <w:r>
        <w:rPr>
          <w:rFonts w:hint="eastAsia" w:ascii="仿宋" w:hAnsi="仿宋" w:eastAsia="仿宋" w:cs="仿宋"/>
          <w:color w:val="auto"/>
          <w:kern w:val="0"/>
          <w:sz w:val="32"/>
          <w:szCs w:val="32"/>
          <w:highlight w:val="none"/>
          <w:lang w:val="en-US" w:eastAsia="zh-CN" w:bidi="ar"/>
        </w:rPr>
        <w:t>设定</w:t>
      </w:r>
      <w:r>
        <w:rPr>
          <w:rFonts w:hint="default" w:ascii="仿宋" w:hAnsi="仿宋" w:eastAsia="仿宋" w:cs="仿宋"/>
          <w:color w:val="auto"/>
          <w:kern w:val="0"/>
          <w:sz w:val="32"/>
          <w:szCs w:val="32"/>
          <w:highlight w:val="none"/>
          <w:lang w:val="en-US" w:eastAsia="zh-CN" w:bidi="ar"/>
        </w:rPr>
        <w:t>既往三年全部DRG/DIP病组（种）次均住院费用</w:t>
      </w:r>
      <w:r>
        <w:rPr>
          <w:rFonts w:hint="eastAsia" w:ascii="仿宋" w:hAnsi="仿宋" w:eastAsia="仿宋" w:cs="仿宋"/>
          <w:color w:val="auto"/>
          <w:kern w:val="0"/>
          <w:sz w:val="32"/>
          <w:szCs w:val="32"/>
          <w:highlight w:val="none"/>
          <w:lang w:val="en-US" w:eastAsia="zh-CN" w:bidi="ar"/>
        </w:rPr>
        <w:t>为基准费用，基准点数为10000</w:t>
      </w:r>
      <w:r>
        <w:rPr>
          <w:rFonts w:hint="default" w:ascii="仿宋" w:hAnsi="仿宋" w:eastAsia="仿宋" w:cs="仿宋"/>
          <w:color w:val="auto"/>
          <w:kern w:val="0"/>
          <w:sz w:val="32"/>
          <w:szCs w:val="32"/>
          <w:highlight w:val="none"/>
          <w:lang w:val="en-US" w:eastAsia="zh-CN" w:bidi="ar"/>
        </w:rPr>
        <w:t>。</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黑体" w:hAnsi="黑体" w:eastAsia="黑体" w:cs="黑体"/>
          <w:b w:val="0"/>
          <w:bCs/>
          <w:color w:val="auto"/>
          <w:sz w:val="32"/>
          <w:szCs w:val="32"/>
          <w:highlight w:val="none"/>
          <w:lang w:eastAsia="zh-CN" w:bidi="en-US"/>
        </w:rPr>
      </w:pPr>
      <w:r>
        <w:rPr>
          <w:rFonts w:hint="eastAsia" w:ascii="仿宋" w:hAnsi="仿宋" w:eastAsia="仿宋" w:cs="仿宋"/>
          <w:color w:val="auto"/>
          <w:kern w:val="0"/>
          <w:sz w:val="32"/>
          <w:szCs w:val="32"/>
          <w:highlight w:val="none"/>
          <w:lang w:val="en-US" w:eastAsia="zh-CN" w:bidi="ar"/>
        </w:rPr>
        <w:t xml:space="preserve"> </w:t>
      </w:r>
      <w:r>
        <w:rPr>
          <w:rFonts w:hint="default" w:ascii="仿宋" w:hAnsi="仿宋" w:eastAsia="仿宋" w:cs="仿宋"/>
          <w:color w:val="auto"/>
          <w:kern w:val="0"/>
          <w:sz w:val="32"/>
          <w:szCs w:val="32"/>
          <w:highlight w:val="none"/>
          <w:lang w:val="en-US" w:eastAsia="zh-CN" w:bidi="ar"/>
        </w:rPr>
        <w:t>某</w:t>
      </w:r>
      <w:r>
        <w:rPr>
          <w:rFonts w:hint="eastAsia" w:ascii="仿宋" w:hAnsi="仿宋" w:eastAsia="仿宋" w:cs="仿宋"/>
          <w:color w:val="auto"/>
          <w:kern w:val="0"/>
          <w:sz w:val="32"/>
          <w:szCs w:val="32"/>
          <w:highlight w:val="none"/>
          <w:lang w:val="en-US" w:eastAsia="zh-CN" w:bidi="ar"/>
        </w:rPr>
        <w:t>按项目付费病例付费点数</w:t>
      </w:r>
      <w:r>
        <w:rPr>
          <w:rFonts w:hint="default" w:ascii="仿宋" w:hAnsi="仿宋" w:eastAsia="仿宋" w:cs="仿宋"/>
          <w:color w:val="auto"/>
          <w:kern w:val="0"/>
          <w:sz w:val="32"/>
          <w:szCs w:val="32"/>
          <w:highlight w:val="none"/>
          <w:lang w:val="en-US" w:eastAsia="zh-CN" w:bidi="ar"/>
        </w:rPr>
        <w:t>=</w:t>
      </w:r>
      <w:r>
        <w:rPr>
          <w:rFonts w:hint="eastAsia" w:ascii="仿宋" w:hAnsi="仿宋" w:eastAsia="仿宋" w:cs="仿宋"/>
          <w:color w:val="auto"/>
          <w:kern w:val="0"/>
          <w:sz w:val="32"/>
          <w:szCs w:val="32"/>
          <w:highlight w:val="none"/>
          <w:lang w:val="en-US" w:eastAsia="zh-CN" w:bidi="ar"/>
        </w:rPr>
        <w:t xml:space="preserve"> 该按项目付费</w:t>
      </w:r>
      <w:r>
        <w:rPr>
          <w:rFonts w:hint="default" w:ascii="仿宋" w:hAnsi="仿宋" w:eastAsia="仿宋" w:cs="仿宋"/>
          <w:color w:val="auto"/>
          <w:kern w:val="0"/>
          <w:sz w:val="32"/>
          <w:szCs w:val="32"/>
          <w:highlight w:val="none"/>
          <w:lang w:val="en-US" w:eastAsia="zh-CN" w:bidi="ar"/>
        </w:rPr>
        <w:t>病</w:t>
      </w:r>
      <w:r>
        <w:rPr>
          <w:rFonts w:hint="eastAsia" w:ascii="仿宋" w:hAnsi="仿宋" w:eastAsia="仿宋" w:cs="仿宋"/>
          <w:color w:val="auto"/>
          <w:kern w:val="0"/>
          <w:sz w:val="32"/>
          <w:szCs w:val="32"/>
          <w:highlight w:val="none"/>
          <w:lang w:val="en-US" w:eastAsia="zh-CN" w:bidi="ar"/>
        </w:rPr>
        <w:t>例实际发生住院费用</w:t>
      </w:r>
      <w:r>
        <w:rPr>
          <w:rFonts w:hint="default" w:ascii="仿宋" w:hAnsi="仿宋" w:eastAsia="仿宋" w:cs="仿宋"/>
          <w:color w:val="auto"/>
          <w:kern w:val="0"/>
          <w:sz w:val="32"/>
          <w:szCs w:val="32"/>
          <w:highlight w:val="none"/>
          <w:lang w:val="en-US" w:eastAsia="zh-CN" w:bidi="ar"/>
        </w:rPr>
        <w:t>÷既往三年全部DRG/DIP病组（种）次均住院费用</w:t>
      </w:r>
      <w:r>
        <w:rPr>
          <w:rFonts w:hint="eastAsia" w:ascii="仿宋" w:hAnsi="仿宋" w:eastAsia="仿宋" w:cs="仿宋"/>
          <w:color w:val="auto"/>
          <w:kern w:val="0"/>
          <w:sz w:val="32"/>
          <w:szCs w:val="32"/>
          <w:highlight w:val="none"/>
          <w:lang w:val="en-US" w:eastAsia="zh-CN" w:bidi="ar"/>
        </w:rPr>
        <w:t>*10000</w:t>
      </w:r>
      <w:r>
        <w:rPr>
          <w:rFonts w:hint="default" w:ascii="仿宋" w:hAnsi="仿宋" w:eastAsia="仿宋" w:cs="仿宋"/>
          <w:color w:val="auto"/>
          <w:kern w:val="0"/>
          <w:sz w:val="32"/>
          <w:szCs w:val="32"/>
          <w:highlight w:val="none"/>
          <w:lang w:val="en-US" w:eastAsia="zh-CN" w:bidi="ar"/>
        </w:rPr>
        <w:t>。</w:t>
      </w:r>
      <w:r>
        <w:rPr>
          <w:rFonts w:hint="default" w:ascii="仿宋" w:hAnsi="仿宋" w:eastAsia="仿宋" w:cs="仿宋"/>
          <w:color w:val="auto"/>
          <w:kern w:val="0"/>
          <w:sz w:val="32"/>
          <w:szCs w:val="32"/>
          <w:highlight w:val="none"/>
          <w:lang w:val="en-US" w:eastAsia="zh-CN" w:bidi="ar"/>
        </w:rPr>
        <w:br w:type="textWrapping"/>
      </w:r>
      <w:r>
        <w:rPr>
          <w:rFonts w:hint="eastAsia" w:ascii="仿宋" w:hAnsi="仿宋" w:eastAsia="仿宋" w:cs="仿宋"/>
          <w:color w:val="auto"/>
          <w:kern w:val="0"/>
          <w:sz w:val="32"/>
          <w:szCs w:val="32"/>
          <w:highlight w:val="none"/>
          <w:lang w:val="en-US" w:eastAsia="zh-CN" w:bidi="ar"/>
        </w:rPr>
        <w:t xml:space="preserve">    （二）按项目付费</w:t>
      </w:r>
      <w:r>
        <w:rPr>
          <w:rFonts w:hint="default" w:ascii="仿宋" w:hAnsi="仿宋" w:eastAsia="仿宋" w:cs="仿宋"/>
          <w:color w:val="auto"/>
          <w:kern w:val="0"/>
          <w:sz w:val="32"/>
          <w:szCs w:val="32"/>
          <w:highlight w:val="none"/>
          <w:lang w:val="en-US" w:eastAsia="zh-CN" w:bidi="ar"/>
        </w:rPr>
        <w:t>病</w:t>
      </w:r>
      <w:r>
        <w:rPr>
          <w:rFonts w:hint="eastAsia" w:ascii="仿宋" w:hAnsi="仿宋" w:eastAsia="仿宋" w:cs="仿宋"/>
          <w:color w:val="auto"/>
          <w:kern w:val="0"/>
          <w:sz w:val="32"/>
          <w:szCs w:val="32"/>
          <w:highlight w:val="none"/>
          <w:lang w:val="en-US" w:eastAsia="zh-CN" w:bidi="ar"/>
        </w:rPr>
        <w:t>例</w:t>
      </w:r>
      <w:r>
        <w:rPr>
          <w:rFonts w:hint="default" w:ascii="仿宋" w:hAnsi="仿宋" w:eastAsia="仿宋" w:cs="仿宋"/>
          <w:color w:val="auto"/>
          <w:kern w:val="0"/>
          <w:sz w:val="32"/>
          <w:szCs w:val="32"/>
          <w:highlight w:val="none"/>
          <w:lang w:val="en-US" w:eastAsia="zh-CN" w:bidi="ar"/>
        </w:rPr>
        <w:t>总点数确定。</w:t>
      </w:r>
      <w:r>
        <w:rPr>
          <w:rFonts w:hint="eastAsia" w:ascii="仿宋" w:hAnsi="仿宋" w:eastAsia="仿宋" w:cs="仿宋"/>
          <w:color w:val="auto"/>
          <w:kern w:val="0"/>
          <w:sz w:val="32"/>
          <w:szCs w:val="32"/>
          <w:highlight w:val="none"/>
          <w:lang w:val="en-US" w:eastAsia="zh-CN" w:bidi="ar"/>
        </w:rPr>
        <w:t>按项目付费</w:t>
      </w:r>
      <w:r>
        <w:rPr>
          <w:rFonts w:hint="default" w:ascii="仿宋" w:hAnsi="仿宋" w:eastAsia="仿宋" w:cs="仿宋"/>
          <w:color w:val="auto"/>
          <w:kern w:val="0"/>
          <w:sz w:val="32"/>
          <w:szCs w:val="32"/>
          <w:highlight w:val="none"/>
          <w:lang w:val="en-US" w:eastAsia="zh-CN" w:bidi="ar"/>
        </w:rPr>
        <w:t>病</w:t>
      </w:r>
      <w:r>
        <w:rPr>
          <w:rFonts w:hint="eastAsia" w:ascii="仿宋" w:hAnsi="仿宋" w:eastAsia="仿宋" w:cs="仿宋"/>
          <w:color w:val="auto"/>
          <w:kern w:val="0"/>
          <w:sz w:val="32"/>
          <w:szCs w:val="32"/>
          <w:highlight w:val="none"/>
          <w:lang w:val="en-US" w:eastAsia="zh-CN" w:bidi="ar"/>
        </w:rPr>
        <w:t>例</w:t>
      </w:r>
      <w:r>
        <w:rPr>
          <w:rFonts w:hint="default" w:ascii="仿宋" w:hAnsi="仿宋" w:eastAsia="仿宋" w:cs="仿宋"/>
          <w:color w:val="auto"/>
          <w:kern w:val="0"/>
          <w:sz w:val="32"/>
          <w:szCs w:val="32"/>
          <w:highlight w:val="none"/>
          <w:lang w:val="en-US" w:eastAsia="zh-CN" w:bidi="ar"/>
        </w:rPr>
        <w:t>总点数为各</w:t>
      </w:r>
      <w:r>
        <w:rPr>
          <w:rFonts w:hint="eastAsia" w:ascii="仿宋" w:hAnsi="仿宋" w:eastAsia="仿宋" w:cs="仿宋"/>
          <w:color w:val="auto"/>
          <w:kern w:val="0"/>
          <w:sz w:val="32"/>
          <w:szCs w:val="32"/>
          <w:highlight w:val="none"/>
          <w:lang w:val="en-US" w:eastAsia="zh-CN" w:bidi="ar"/>
        </w:rPr>
        <w:t>按项目付费</w:t>
      </w:r>
      <w:r>
        <w:rPr>
          <w:rFonts w:hint="default" w:ascii="仿宋" w:hAnsi="仿宋" w:eastAsia="仿宋" w:cs="仿宋"/>
          <w:color w:val="auto"/>
          <w:kern w:val="0"/>
          <w:sz w:val="32"/>
          <w:szCs w:val="32"/>
          <w:highlight w:val="none"/>
          <w:lang w:val="en-US" w:eastAsia="zh-CN" w:bidi="ar"/>
        </w:rPr>
        <w:t>病</w:t>
      </w:r>
      <w:r>
        <w:rPr>
          <w:rFonts w:hint="eastAsia" w:ascii="仿宋" w:hAnsi="仿宋" w:eastAsia="仿宋" w:cs="仿宋"/>
          <w:color w:val="auto"/>
          <w:kern w:val="0"/>
          <w:sz w:val="32"/>
          <w:szCs w:val="32"/>
          <w:highlight w:val="none"/>
          <w:lang w:val="en-US" w:eastAsia="zh-CN" w:bidi="ar"/>
        </w:rPr>
        <w:t>例付费</w:t>
      </w:r>
      <w:r>
        <w:rPr>
          <w:rFonts w:hint="default" w:ascii="仿宋" w:hAnsi="仿宋" w:eastAsia="仿宋" w:cs="仿宋"/>
          <w:color w:val="auto"/>
          <w:kern w:val="0"/>
          <w:sz w:val="32"/>
          <w:szCs w:val="32"/>
          <w:highlight w:val="none"/>
          <w:lang w:val="en-US" w:eastAsia="zh-CN" w:bidi="ar"/>
        </w:rPr>
        <w:t>点数之和。</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黑体" w:hAnsi="黑体" w:eastAsia="黑体" w:cs="黑体"/>
          <w:b w:val="0"/>
          <w:bCs/>
          <w:color w:val="auto"/>
          <w:sz w:val="32"/>
          <w:szCs w:val="32"/>
          <w:highlight w:val="none"/>
          <w:lang w:eastAsia="zh-CN" w:bidi="en-US"/>
        </w:rPr>
      </w:pPr>
      <w:r>
        <w:rPr>
          <w:rFonts w:hint="default" w:ascii="黑体" w:hAnsi="黑体" w:eastAsia="黑体" w:cs="黑体"/>
          <w:b w:val="0"/>
          <w:bCs/>
          <w:color w:val="auto"/>
          <w:sz w:val="32"/>
          <w:szCs w:val="32"/>
          <w:highlight w:val="none"/>
          <w:lang w:val="en-US" w:eastAsia="zh-CN" w:bidi="en-US"/>
        </w:rPr>
        <w:t>第</w:t>
      </w:r>
      <w:r>
        <w:rPr>
          <w:rFonts w:hint="eastAsia" w:ascii="黑体" w:hAnsi="黑体" w:eastAsia="黑体" w:cs="黑体"/>
          <w:b w:val="0"/>
          <w:bCs/>
          <w:color w:val="auto"/>
          <w:sz w:val="32"/>
          <w:szCs w:val="32"/>
          <w:highlight w:val="none"/>
          <w:lang w:val="en-US" w:eastAsia="zh-CN" w:bidi="en-US"/>
        </w:rPr>
        <w:t>十二</w:t>
      </w:r>
      <w:r>
        <w:rPr>
          <w:rFonts w:hint="default" w:ascii="黑体" w:hAnsi="黑体" w:eastAsia="黑体" w:cs="黑体"/>
          <w:b w:val="0"/>
          <w:bCs/>
          <w:color w:val="auto"/>
          <w:sz w:val="32"/>
          <w:szCs w:val="32"/>
          <w:highlight w:val="none"/>
          <w:lang w:val="en-US" w:eastAsia="zh-CN" w:bidi="en-US"/>
        </w:rPr>
        <w:t>条  住院</w:t>
      </w:r>
      <w:r>
        <w:rPr>
          <w:rFonts w:hint="eastAsia" w:ascii="黑体" w:hAnsi="黑体" w:eastAsia="黑体" w:cs="黑体"/>
          <w:b w:val="0"/>
          <w:bCs/>
          <w:color w:val="auto"/>
          <w:sz w:val="32"/>
          <w:szCs w:val="32"/>
          <w:highlight w:val="none"/>
          <w:lang w:val="en-US" w:eastAsia="zh-CN" w:bidi="en-US"/>
        </w:rPr>
        <w:t>总付费</w:t>
      </w:r>
      <w:r>
        <w:rPr>
          <w:rFonts w:hint="default" w:ascii="黑体" w:hAnsi="黑体" w:eastAsia="黑体" w:cs="黑体"/>
          <w:b w:val="0"/>
          <w:bCs/>
          <w:color w:val="auto"/>
          <w:sz w:val="32"/>
          <w:szCs w:val="32"/>
          <w:highlight w:val="none"/>
          <w:lang w:val="en-US" w:eastAsia="zh-CN" w:bidi="en-US"/>
        </w:rPr>
        <w:t>点值计算</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 w:hAnsi="仿宋" w:eastAsia="仿宋" w:cs="仿宋"/>
          <w:color w:val="auto"/>
          <w:kern w:val="0"/>
          <w:sz w:val="32"/>
          <w:szCs w:val="32"/>
          <w:highlight w:val="none"/>
          <w:lang w:val="en-US" w:eastAsia="zh-CN" w:bidi="ar"/>
        </w:rPr>
      </w:pPr>
      <w:r>
        <w:rPr>
          <w:rFonts w:hint="default" w:ascii="仿宋" w:hAnsi="仿宋" w:eastAsia="仿宋" w:cs="仿宋"/>
          <w:color w:val="auto"/>
          <w:kern w:val="0"/>
          <w:sz w:val="32"/>
          <w:szCs w:val="32"/>
          <w:highlight w:val="none"/>
          <w:lang w:val="en-US" w:eastAsia="zh-CN" w:bidi="ar"/>
        </w:rPr>
        <w:t>（一）某个</w:t>
      </w:r>
      <w:r>
        <w:rPr>
          <w:rFonts w:hint="eastAsia" w:ascii="仿宋" w:hAnsi="仿宋" w:eastAsia="仿宋" w:cs="仿宋"/>
          <w:color w:val="auto"/>
          <w:kern w:val="0"/>
          <w:sz w:val="32"/>
          <w:szCs w:val="32"/>
          <w:highlight w:val="none"/>
          <w:lang w:val="en-US" w:eastAsia="zh-CN" w:bidi="ar"/>
        </w:rPr>
        <w:t>服务机构</w:t>
      </w:r>
      <w:r>
        <w:rPr>
          <w:rFonts w:hint="default" w:ascii="仿宋" w:hAnsi="仿宋" w:eastAsia="仿宋" w:cs="仿宋"/>
          <w:color w:val="auto"/>
          <w:kern w:val="0"/>
          <w:sz w:val="32"/>
          <w:szCs w:val="32"/>
          <w:highlight w:val="none"/>
          <w:lang w:val="en-US" w:eastAsia="zh-CN" w:bidi="ar"/>
        </w:rPr>
        <w:t>住院</w:t>
      </w:r>
      <w:r>
        <w:rPr>
          <w:rFonts w:hint="eastAsia" w:ascii="仿宋" w:hAnsi="仿宋" w:eastAsia="仿宋" w:cs="仿宋"/>
          <w:color w:val="auto"/>
          <w:kern w:val="0"/>
          <w:sz w:val="32"/>
          <w:szCs w:val="32"/>
          <w:highlight w:val="none"/>
          <w:lang w:val="en-US" w:eastAsia="zh-CN" w:bidi="ar"/>
        </w:rPr>
        <w:t>付费</w:t>
      </w:r>
      <w:r>
        <w:rPr>
          <w:rFonts w:hint="default" w:ascii="仿宋" w:hAnsi="仿宋" w:eastAsia="仿宋" w:cs="仿宋"/>
          <w:color w:val="auto"/>
          <w:kern w:val="0"/>
          <w:sz w:val="32"/>
          <w:szCs w:val="32"/>
          <w:highlight w:val="none"/>
          <w:lang w:val="en-US" w:eastAsia="zh-CN" w:bidi="ar"/>
        </w:rPr>
        <w:t>点数=该</w:t>
      </w:r>
      <w:r>
        <w:rPr>
          <w:rFonts w:hint="eastAsia" w:ascii="仿宋" w:hAnsi="仿宋" w:eastAsia="仿宋" w:cs="仿宋"/>
          <w:color w:val="auto"/>
          <w:kern w:val="0"/>
          <w:sz w:val="32"/>
          <w:szCs w:val="32"/>
          <w:highlight w:val="none"/>
          <w:lang w:val="en-US" w:eastAsia="zh-CN" w:bidi="ar"/>
        </w:rPr>
        <w:t>服务机构</w:t>
      </w:r>
      <w:r>
        <w:rPr>
          <w:rFonts w:hint="default" w:ascii="仿宋" w:hAnsi="仿宋" w:eastAsia="仿宋" w:cs="仿宋"/>
          <w:color w:val="auto"/>
          <w:kern w:val="0"/>
          <w:sz w:val="32"/>
          <w:szCs w:val="32"/>
          <w:highlight w:val="none"/>
          <w:lang w:val="en-US" w:eastAsia="zh-CN" w:bidi="ar"/>
        </w:rPr>
        <w:t>DRG/DIP住院点数+床日付费住院点数+项目付费住院点数</w:t>
      </w:r>
      <w:r>
        <w:rPr>
          <w:rFonts w:hint="eastAsia" w:ascii="仿宋" w:hAnsi="仿宋" w:eastAsia="仿宋" w:cs="仿宋"/>
          <w:color w:val="auto"/>
          <w:kern w:val="0"/>
          <w:sz w:val="32"/>
          <w:szCs w:val="32"/>
          <w:highlight w:val="none"/>
          <w:lang w:val="en-US" w:eastAsia="zh-CN" w:bidi="ar"/>
        </w:rPr>
        <w:t>。</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 w:hAnsi="仿宋" w:eastAsia="仿宋" w:cs="仿宋"/>
          <w:color w:val="auto"/>
          <w:kern w:val="0"/>
          <w:sz w:val="32"/>
          <w:szCs w:val="32"/>
          <w:highlight w:val="none"/>
          <w:lang w:val="en-US" w:eastAsia="zh-CN" w:bidi="ar"/>
        </w:rPr>
      </w:pPr>
      <w:r>
        <w:rPr>
          <w:rFonts w:hint="default" w:ascii="仿宋" w:hAnsi="仿宋" w:eastAsia="仿宋" w:cs="仿宋"/>
          <w:color w:val="auto"/>
          <w:kern w:val="0"/>
          <w:sz w:val="32"/>
          <w:szCs w:val="32"/>
          <w:highlight w:val="none"/>
          <w:lang w:val="en-US" w:eastAsia="zh-CN" w:bidi="ar"/>
        </w:rPr>
        <w:t>（</w:t>
      </w:r>
      <w:r>
        <w:rPr>
          <w:rFonts w:hint="eastAsia" w:ascii="仿宋" w:hAnsi="仿宋" w:eastAsia="仿宋" w:cs="仿宋"/>
          <w:color w:val="auto"/>
          <w:kern w:val="0"/>
          <w:sz w:val="32"/>
          <w:szCs w:val="32"/>
          <w:highlight w:val="none"/>
          <w:lang w:val="en-US" w:eastAsia="zh-CN" w:bidi="ar"/>
        </w:rPr>
        <w:t>二</w:t>
      </w:r>
      <w:r>
        <w:rPr>
          <w:rFonts w:hint="default" w:ascii="仿宋" w:hAnsi="仿宋" w:eastAsia="仿宋" w:cs="仿宋"/>
          <w:color w:val="auto"/>
          <w:kern w:val="0"/>
          <w:sz w:val="32"/>
          <w:szCs w:val="32"/>
          <w:highlight w:val="none"/>
          <w:lang w:val="en-US" w:eastAsia="zh-CN" w:bidi="ar"/>
        </w:rPr>
        <w:t>）统筹区内所有医院住院总</w:t>
      </w:r>
      <w:r>
        <w:rPr>
          <w:rFonts w:hint="eastAsia" w:ascii="仿宋" w:hAnsi="仿宋" w:eastAsia="仿宋" w:cs="仿宋"/>
          <w:color w:val="auto"/>
          <w:kern w:val="0"/>
          <w:sz w:val="32"/>
          <w:szCs w:val="32"/>
          <w:highlight w:val="none"/>
          <w:lang w:val="en-US" w:eastAsia="zh-CN" w:bidi="ar"/>
        </w:rPr>
        <w:t>付费</w:t>
      </w:r>
      <w:r>
        <w:rPr>
          <w:rFonts w:hint="default" w:ascii="仿宋" w:hAnsi="仿宋" w:eastAsia="仿宋" w:cs="仿宋"/>
          <w:color w:val="auto"/>
          <w:kern w:val="0"/>
          <w:sz w:val="32"/>
          <w:szCs w:val="32"/>
          <w:highlight w:val="none"/>
          <w:lang w:val="en-US" w:eastAsia="zh-CN" w:bidi="ar"/>
        </w:rPr>
        <w:t>点数之和为统筹区住院总</w:t>
      </w:r>
      <w:r>
        <w:rPr>
          <w:rFonts w:hint="eastAsia" w:ascii="仿宋" w:hAnsi="仿宋" w:eastAsia="仿宋" w:cs="仿宋"/>
          <w:color w:val="auto"/>
          <w:kern w:val="0"/>
          <w:sz w:val="32"/>
          <w:szCs w:val="32"/>
          <w:highlight w:val="none"/>
          <w:lang w:val="en-US" w:eastAsia="zh-CN" w:bidi="ar"/>
        </w:rPr>
        <w:t>付费</w:t>
      </w:r>
      <w:r>
        <w:rPr>
          <w:rFonts w:hint="default" w:ascii="仿宋" w:hAnsi="仿宋" w:eastAsia="仿宋" w:cs="仿宋"/>
          <w:color w:val="auto"/>
          <w:kern w:val="0"/>
          <w:sz w:val="32"/>
          <w:szCs w:val="32"/>
          <w:highlight w:val="none"/>
          <w:lang w:val="en-US" w:eastAsia="zh-CN" w:bidi="ar"/>
        </w:rPr>
        <w:t>点数。</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2312" w:hAnsi="方正仿宋_GB2312" w:eastAsia="方正仿宋_GB2312" w:cs="方正仿宋_GB2312"/>
          <w:color w:val="auto"/>
          <w:sz w:val="32"/>
          <w:szCs w:val="32"/>
          <w:highlight w:val="none"/>
          <w:lang w:val="en-US" w:eastAsia="zh-CN" w:bidi="en-US"/>
        </w:rPr>
      </w:pPr>
      <w:r>
        <w:rPr>
          <w:rFonts w:hint="default" w:ascii="仿宋" w:hAnsi="仿宋" w:eastAsia="仿宋" w:cs="仿宋"/>
          <w:color w:val="auto"/>
          <w:kern w:val="0"/>
          <w:sz w:val="32"/>
          <w:szCs w:val="32"/>
          <w:highlight w:val="none"/>
          <w:lang w:val="en-US" w:eastAsia="zh-CN" w:bidi="ar"/>
        </w:rPr>
        <w:t>（</w:t>
      </w:r>
      <w:r>
        <w:rPr>
          <w:rFonts w:hint="eastAsia" w:ascii="仿宋" w:hAnsi="仿宋" w:eastAsia="仿宋" w:cs="仿宋"/>
          <w:color w:val="auto"/>
          <w:kern w:val="0"/>
          <w:sz w:val="32"/>
          <w:szCs w:val="32"/>
          <w:highlight w:val="none"/>
          <w:lang w:val="en-US" w:eastAsia="zh-CN" w:bidi="ar"/>
        </w:rPr>
        <w:t>三</w:t>
      </w:r>
      <w:r>
        <w:rPr>
          <w:rFonts w:hint="default" w:ascii="仿宋" w:hAnsi="仿宋" w:eastAsia="仿宋" w:cs="仿宋"/>
          <w:color w:val="auto"/>
          <w:kern w:val="0"/>
          <w:sz w:val="32"/>
          <w:szCs w:val="32"/>
          <w:highlight w:val="none"/>
          <w:lang w:val="en-US" w:eastAsia="zh-CN" w:bidi="ar"/>
        </w:rPr>
        <w:t>）</w:t>
      </w:r>
      <w:r>
        <w:rPr>
          <w:rFonts w:hint="eastAsia" w:ascii="仿宋" w:hAnsi="仿宋" w:eastAsia="仿宋" w:cs="仿宋"/>
          <w:color w:val="auto"/>
          <w:kern w:val="0"/>
          <w:sz w:val="32"/>
          <w:szCs w:val="32"/>
          <w:highlight w:val="none"/>
          <w:lang w:val="en-US" w:eastAsia="zh-CN" w:bidi="ar"/>
        </w:rPr>
        <w:t>预付</w:t>
      </w:r>
      <w:r>
        <w:rPr>
          <w:rFonts w:hint="default" w:ascii="仿宋" w:hAnsi="仿宋" w:eastAsia="仿宋" w:cs="仿宋"/>
          <w:color w:val="auto"/>
          <w:kern w:val="0"/>
          <w:sz w:val="32"/>
          <w:szCs w:val="32"/>
          <w:highlight w:val="none"/>
          <w:lang w:val="en-US" w:eastAsia="zh-CN" w:bidi="ar"/>
        </w:rPr>
        <w:t>点值=统筹区</w:t>
      </w:r>
      <w:r>
        <w:rPr>
          <w:rFonts w:hint="eastAsia" w:ascii="仿宋" w:hAnsi="仿宋" w:eastAsia="仿宋" w:cs="仿宋"/>
          <w:color w:val="auto"/>
          <w:kern w:val="0"/>
          <w:sz w:val="32"/>
          <w:szCs w:val="32"/>
          <w:highlight w:val="none"/>
          <w:lang w:val="en-US" w:eastAsia="zh-CN" w:bidi="ar"/>
        </w:rPr>
        <w:t>定点</w:t>
      </w:r>
      <w:r>
        <w:rPr>
          <w:rFonts w:hint="default" w:ascii="仿宋" w:hAnsi="仿宋" w:eastAsia="仿宋" w:cs="仿宋"/>
          <w:color w:val="auto"/>
          <w:kern w:val="0"/>
          <w:sz w:val="32"/>
          <w:szCs w:val="32"/>
          <w:highlight w:val="none"/>
          <w:lang w:val="en-US" w:eastAsia="zh-CN" w:bidi="ar"/>
        </w:rPr>
        <w:t>机构住院预算总额÷统筹区住院总</w:t>
      </w:r>
      <w:r>
        <w:rPr>
          <w:rFonts w:hint="eastAsia" w:ascii="仿宋" w:hAnsi="仿宋" w:eastAsia="仿宋" w:cs="仿宋"/>
          <w:color w:val="auto"/>
          <w:kern w:val="0"/>
          <w:sz w:val="32"/>
          <w:szCs w:val="32"/>
          <w:highlight w:val="none"/>
          <w:lang w:val="en-US" w:eastAsia="zh-CN" w:bidi="ar"/>
        </w:rPr>
        <w:t>付费</w:t>
      </w:r>
      <w:r>
        <w:rPr>
          <w:rFonts w:hint="default" w:ascii="仿宋" w:hAnsi="仿宋" w:eastAsia="仿宋" w:cs="仿宋"/>
          <w:color w:val="auto"/>
          <w:kern w:val="0"/>
          <w:sz w:val="32"/>
          <w:szCs w:val="32"/>
          <w:highlight w:val="none"/>
          <w:lang w:val="en-US" w:eastAsia="zh-CN" w:bidi="ar"/>
        </w:rPr>
        <w:t>点数</w:t>
      </w:r>
      <w:r>
        <w:rPr>
          <w:rFonts w:hint="eastAsia" w:ascii="仿宋" w:hAnsi="仿宋" w:eastAsia="仿宋" w:cs="仿宋"/>
          <w:color w:val="auto"/>
          <w:kern w:val="0"/>
          <w:sz w:val="32"/>
          <w:szCs w:val="32"/>
          <w:highlight w:val="none"/>
          <w:lang w:val="en-US" w:eastAsia="zh-CN" w:bidi="ar"/>
        </w:rPr>
        <w:t>。</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黑体" w:hAnsi="黑体" w:eastAsia="黑体" w:cs="黑体"/>
          <w:b w:val="0"/>
          <w:bCs/>
          <w:color w:val="auto"/>
          <w:sz w:val="32"/>
          <w:szCs w:val="32"/>
          <w:highlight w:val="none"/>
          <w:lang w:eastAsia="zh-CN" w:bidi="en-US"/>
        </w:rPr>
      </w:pPr>
      <w:r>
        <w:rPr>
          <w:rFonts w:hint="default" w:ascii="黑体" w:hAnsi="黑体" w:eastAsia="黑体" w:cs="黑体"/>
          <w:b w:val="0"/>
          <w:bCs/>
          <w:color w:val="auto"/>
          <w:sz w:val="32"/>
          <w:szCs w:val="32"/>
          <w:highlight w:val="none"/>
          <w:lang w:val="en-US" w:eastAsia="zh-CN" w:bidi="en-US"/>
        </w:rPr>
        <w:t>第</w:t>
      </w:r>
      <w:r>
        <w:rPr>
          <w:rFonts w:hint="eastAsia" w:ascii="黑体" w:hAnsi="黑体" w:eastAsia="黑体" w:cs="黑体"/>
          <w:b w:val="0"/>
          <w:bCs/>
          <w:color w:val="auto"/>
          <w:sz w:val="32"/>
          <w:szCs w:val="32"/>
          <w:highlight w:val="none"/>
          <w:lang w:val="en-US" w:eastAsia="zh-CN" w:bidi="en-US"/>
        </w:rPr>
        <w:t>十三</w:t>
      </w:r>
      <w:r>
        <w:rPr>
          <w:rFonts w:hint="default" w:ascii="黑体" w:hAnsi="黑体" w:eastAsia="黑体" w:cs="黑体"/>
          <w:b w:val="0"/>
          <w:bCs/>
          <w:color w:val="auto"/>
          <w:sz w:val="32"/>
          <w:szCs w:val="32"/>
          <w:highlight w:val="none"/>
          <w:lang w:val="en-US" w:eastAsia="zh-CN" w:bidi="en-US"/>
        </w:rPr>
        <w:t>条  住院结算额度和基金结算额度</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服务机构</w:t>
      </w:r>
      <w:r>
        <w:rPr>
          <w:rFonts w:hint="default" w:ascii="仿宋" w:hAnsi="仿宋" w:eastAsia="仿宋" w:cs="仿宋"/>
          <w:color w:val="auto"/>
          <w:kern w:val="0"/>
          <w:sz w:val="32"/>
          <w:szCs w:val="32"/>
          <w:highlight w:val="none"/>
          <w:lang w:val="en-US" w:eastAsia="zh-CN" w:bidi="ar"/>
        </w:rPr>
        <w:t>住院结算额度=</w:t>
      </w:r>
      <w:r>
        <w:rPr>
          <w:rFonts w:hint="eastAsia" w:ascii="仿宋" w:hAnsi="仿宋" w:eastAsia="仿宋" w:cs="仿宋"/>
          <w:color w:val="auto"/>
          <w:kern w:val="0"/>
          <w:sz w:val="32"/>
          <w:szCs w:val="32"/>
          <w:highlight w:val="none"/>
          <w:lang w:val="en-US" w:eastAsia="zh-CN" w:bidi="ar"/>
        </w:rPr>
        <w:t>预付</w:t>
      </w:r>
      <w:r>
        <w:rPr>
          <w:rFonts w:hint="default" w:ascii="仿宋" w:hAnsi="仿宋" w:eastAsia="仿宋" w:cs="仿宋"/>
          <w:color w:val="auto"/>
          <w:kern w:val="0"/>
          <w:sz w:val="32"/>
          <w:szCs w:val="32"/>
          <w:highlight w:val="none"/>
          <w:lang w:val="en-US" w:eastAsia="zh-CN" w:bidi="ar"/>
        </w:rPr>
        <w:t>点值×该</w:t>
      </w:r>
      <w:r>
        <w:rPr>
          <w:rFonts w:hint="eastAsia" w:ascii="仿宋" w:hAnsi="仿宋" w:eastAsia="仿宋" w:cs="仿宋"/>
          <w:color w:val="auto"/>
          <w:kern w:val="0"/>
          <w:sz w:val="32"/>
          <w:szCs w:val="32"/>
          <w:highlight w:val="none"/>
          <w:lang w:val="en-US" w:eastAsia="zh-CN" w:bidi="ar"/>
        </w:rPr>
        <w:t>服务机构</w:t>
      </w:r>
      <w:r>
        <w:rPr>
          <w:rFonts w:hint="default" w:ascii="仿宋" w:hAnsi="仿宋" w:eastAsia="仿宋" w:cs="仿宋"/>
          <w:color w:val="auto"/>
          <w:kern w:val="0"/>
          <w:sz w:val="32"/>
          <w:szCs w:val="32"/>
          <w:highlight w:val="none"/>
          <w:lang w:val="en-US" w:eastAsia="zh-CN" w:bidi="ar"/>
        </w:rPr>
        <w:t>住院</w:t>
      </w:r>
      <w:r>
        <w:rPr>
          <w:rFonts w:hint="eastAsia" w:ascii="仿宋" w:hAnsi="仿宋" w:eastAsia="仿宋" w:cs="仿宋"/>
          <w:color w:val="auto"/>
          <w:kern w:val="0"/>
          <w:sz w:val="32"/>
          <w:szCs w:val="32"/>
          <w:highlight w:val="none"/>
          <w:lang w:val="en-US" w:eastAsia="zh-CN" w:bidi="ar"/>
        </w:rPr>
        <w:t>付费</w:t>
      </w:r>
      <w:r>
        <w:rPr>
          <w:rFonts w:hint="default" w:ascii="仿宋" w:hAnsi="仿宋" w:eastAsia="仿宋" w:cs="仿宋"/>
          <w:color w:val="auto"/>
          <w:kern w:val="0"/>
          <w:sz w:val="32"/>
          <w:szCs w:val="32"/>
          <w:highlight w:val="none"/>
          <w:lang w:val="en-US" w:eastAsia="zh-CN" w:bidi="ar"/>
        </w:rPr>
        <w:t>总点数</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2312" w:hAnsi="方正仿宋_GB2312" w:eastAsia="方正仿宋_GB2312" w:cs="方正仿宋_GB2312"/>
          <w:color w:val="auto"/>
          <w:sz w:val="32"/>
          <w:szCs w:val="32"/>
          <w:highlight w:val="none"/>
          <w:lang w:val="en-US" w:eastAsia="zh-CN" w:bidi="en-US"/>
        </w:rPr>
      </w:pPr>
      <w:r>
        <w:rPr>
          <w:rFonts w:hint="eastAsia" w:ascii="仿宋" w:hAnsi="仿宋" w:eastAsia="仿宋" w:cs="仿宋"/>
          <w:color w:val="auto"/>
          <w:kern w:val="0"/>
          <w:sz w:val="32"/>
          <w:szCs w:val="32"/>
          <w:highlight w:val="none"/>
          <w:lang w:val="en-US" w:eastAsia="zh-CN" w:bidi="ar"/>
        </w:rPr>
        <w:t>服务机构</w:t>
      </w:r>
      <w:r>
        <w:rPr>
          <w:rFonts w:hint="default" w:ascii="仿宋" w:hAnsi="仿宋" w:eastAsia="仿宋" w:cs="仿宋"/>
          <w:color w:val="auto"/>
          <w:kern w:val="0"/>
          <w:sz w:val="32"/>
          <w:szCs w:val="32"/>
          <w:highlight w:val="none"/>
          <w:lang w:val="en-US" w:eastAsia="zh-CN" w:bidi="ar"/>
        </w:rPr>
        <w:t>住院基金结算额度=</w:t>
      </w:r>
      <w:r>
        <w:rPr>
          <w:rFonts w:hint="eastAsia" w:ascii="仿宋" w:hAnsi="仿宋" w:eastAsia="仿宋" w:cs="仿宋"/>
          <w:color w:val="auto"/>
          <w:kern w:val="0"/>
          <w:sz w:val="32"/>
          <w:szCs w:val="32"/>
          <w:highlight w:val="none"/>
          <w:lang w:val="en-US" w:eastAsia="zh-CN" w:bidi="ar"/>
        </w:rPr>
        <w:t>服务机构</w:t>
      </w:r>
      <w:r>
        <w:rPr>
          <w:rFonts w:hint="default" w:ascii="仿宋" w:hAnsi="仿宋" w:eastAsia="仿宋" w:cs="仿宋"/>
          <w:color w:val="auto"/>
          <w:kern w:val="0"/>
          <w:sz w:val="32"/>
          <w:szCs w:val="32"/>
          <w:highlight w:val="none"/>
          <w:lang w:val="en-US" w:eastAsia="zh-CN" w:bidi="ar"/>
        </w:rPr>
        <w:t>住院结算额度</w:t>
      </w:r>
      <w:r>
        <w:rPr>
          <w:rFonts w:hint="eastAsia" w:ascii="仿宋" w:hAnsi="仿宋" w:eastAsia="仿宋" w:cs="仿宋"/>
          <w:color w:val="auto"/>
          <w:kern w:val="0"/>
          <w:sz w:val="32"/>
          <w:szCs w:val="32"/>
          <w:highlight w:val="none"/>
          <w:lang w:val="en-US" w:eastAsia="zh-CN" w:bidi="ar"/>
        </w:rPr>
        <w:t>-个人负担费用</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2312" w:hAnsi="方正仿宋_GB2312" w:eastAsia="方正仿宋_GB2312" w:cs="方正仿宋_GB2312"/>
          <w:color w:val="auto"/>
          <w:sz w:val="32"/>
          <w:szCs w:val="32"/>
          <w:highlight w:val="none"/>
          <w:lang w:val="en-US" w:eastAsia="zh-CN" w:bidi="en-US"/>
        </w:rPr>
      </w:pPr>
      <w:r>
        <w:rPr>
          <w:rFonts w:hint="default" w:ascii="黑体" w:hAnsi="黑体" w:eastAsia="黑体" w:cs="黑体"/>
          <w:b w:val="0"/>
          <w:bCs/>
          <w:color w:val="auto"/>
          <w:sz w:val="32"/>
          <w:szCs w:val="32"/>
          <w:highlight w:val="none"/>
          <w:lang w:val="en-US" w:eastAsia="zh-CN" w:bidi="en-US"/>
        </w:rPr>
        <w:t>第</w:t>
      </w:r>
      <w:r>
        <w:rPr>
          <w:rFonts w:hint="eastAsia" w:ascii="黑体" w:hAnsi="黑体" w:eastAsia="黑体" w:cs="黑体"/>
          <w:b w:val="0"/>
          <w:bCs/>
          <w:color w:val="auto"/>
          <w:sz w:val="32"/>
          <w:szCs w:val="32"/>
          <w:highlight w:val="none"/>
          <w:lang w:val="en-US" w:eastAsia="zh-CN" w:bidi="en-US"/>
        </w:rPr>
        <w:t>十四</w:t>
      </w:r>
      <w:r>
        <w:rPr>
          <w:rFonts w:hint="default" w:ascii="黑体" w:hAnsi="黑体" w:eastAsia="黑体" w:cs="黑体"/>
          <w:b w:val="0"/>
          <w:bCs/>
          <w:color w:val="auto"/>
          <w:sz w:val="32"/>
          <w:szCs w:val="32"/>
          <w:highlight w:val="none"/>
          <w:lang w:val="en-US" w:eastAsia="zh-CN" w:bidi="en-US"/>
        </w:rPr>
        <w:t xml:space="preserve">条  </w:t>
      </w:r>
      <w:r>
        <w:rPr>
          <w:rFonts w:hint="default" w:ascii="黑体" w:hAnsi="黑体" w:eastAsia="黑体" w:cs="黑体"/>
          <w:b w:val="0"/>
          <w:bCs/>
          <w:color w:val="auto"/>
          <w:sz w:val="32"/>
          <w:szCs w:val="32"/>
          <w:highlight w:val="none"/>
          <w:lang w:eastAsia="zh-CN" w:bidi="en-US"/>
        </w:rPr>
        <w:t>【年度住院点数和结算额度】</w:t>
      </w:r>
      <w:r>
        <w:rPr>
          <w:rFonts w:hint="default" w:ascii="仿宋" w:hAnsi="仿宋" w:eastAsia="仿宋" w:cs="仿宋"/>
          <w:color w:val="auto"/>
          <w:kern w:val="0"/>
          <w:sz w:val="32"/>
          <w:szCs w:val="32"/>
          <w:highlight w:val="none"/>
          <w:lang w:val="en-US" w:eastAsia="zh-CN" w:bidi="ar"/>
        </w:rPr>
        <w:t>计算年度住院点数和结算额度时，日期范围为一个自然年度。</w:t>
      </w:r>
      <w:r>
        <w:rPr>
          <w:rFonts w:hint="eastAsia" w:ascii="仿宋" w:hAnsi="仿宋" w:eastAsia="仿宋" w:cs="仿宋"/>
          <w:color w:val="auto"/>
          <w:kern w:val="0"/>
          <w:sz w:val="32"/>
          <w:szCs w:val="32"/>
          <w:highlight w:val="none"/>
          <w:lang w:val="en-US" w:eastAsia="zh-CN" w:bidi="ar"/>
        </w:rPr>
        <w:t>年度住院结算实际付费点值=年度结算住院基金决算额度÷年度住院实际平均报销比÷年度住院总付费点数。（年度住院实际平均报销比指纳入点数法计算的所有基金项的住院年度决算额度与住院年度医疗总费用的比值）</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2312" w:hAnsi="方正仿宋_GB2312" w:eastAsia="方正仿宋_GB2312" w:cs="方正仿宋_GB2312"/>
          <w:color w:val="auto"/>
          <w:sz w:val="32"/>
          <w:szCs w:val="32"/>
          <w:highlight w:val="none"/>
          <w:lang w:val="en-US" w:eastAsia="zh-CN" w:bidi="en-US"/>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黑体" w:hAnsi="黑体" w:eastAsia="黑体" w:cs="黑体"/>
          <w:b w:val="0"/>
          <w:bCs/>
          <w:color w:val="auto"/>
          <w:sz w:val="32"/>
          <w:szCs w:val="32"/>
          <w:highlight w:val="none"/>
          <w:lang w:val="en-US" w:eastAsia="zh-CN" w:bidi="en-US"/>
        </w:rPr>
      </w:pPr>
      <w:bookmarkStart w:id="10" w:name="_Toc28141"/>
      <w:bookmarkStart w:id="11" w:name="_Toc13790"/>
      <w:r>
        <w:rPr>
          <w:rFonts w:hint="default" w:ascii="黑体" w:hAnsi="黑体" w:eastAsia="黑体" w:cs="黑体"/>
          <w:b w:val="0"/>
          <w:bCs/>
          <w:color w:val="auto"/>
          <w:sz w:val="32"/>
          <w:szCs w:val="32"/>
          <w:highlight w:val="none"/>
          <w:lang w:val="en-US" w:eastAsia="zh-CN" w:bidi="en-US"/>
        </w:rPr>
        <w:t>第</w:t>
      </w:r>
      <w:r>
        <w:rPr>
          <w:rFonts w:hint="eastAsia" w:ascii="黑体" w:hAnsi="黑体" w:eastAsia="黑体" w:cs="黑体"/>
          <w:b w:val="0"/>
          <w:bCs/>
          <w:color w:val="auto"/>
          <w:sz w:val="32"/>
          <w:szCs w:val="32"/>
          <w:highlight w:val="none"/>
          <w:lang w:val="en-US" w:eastAsia="zh-CN" w:bidi="en-US"/>
        </w:rPr>
        <w:t>四</w:t>
      </w:r>
      <w:r>
        <w:rPr>
          <w:rFonts w:hint="default" w:ascii="黑体" w:hAnsi="黑体" w:eastAsia="黑体" w:cs="黑体"/>
          <w:b w:val="0"/>
          <w:bCs/>
          <w:color w:val="auto"/>
          <w:sz w:val="32"/>
          <w:szCs w:val="32"/>
          <w:highlight w:val="none"/>
          <w:lang w:val="en-US" w:eastAsia="zh-CN" w:bidi="en-US"/>
        </w:rPr>
        <w:t>章  门诊支付标准</w:t>
      </w:r>
      <w:bookmarkEnd w:id="10"/>
      <w:bookmarkEnd w:id="11"/>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黑体" w:hAnsi="黑体" w:eastAsia="黑体" w:cs="黑体"/>
          <w:b w:val="0"/>
          <w:bCs/>
          <w:color w:val="auto"/>
          <w:sz w:val="32"/>
          <w:szCs w:val="32"/>
          <w:highlight w:val="none"/>
          <w:lang w:val="en-US" w:eastAsia="zh-CN" w:bidi="en-US"/>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2312" w:hAnsi="方正仿宋_GB2312" w:eastAsia="方正仿宋_GB2312" w:cs="方正仿宋_GB2312"/>
          <w:color w:val="auto"/>
          <w:sz w:val="32"/>
          <w:szCs w:val="32"/>
          <w:highlight w:val="none"/>
          <w:lang w:val="en-US" w:eastAsia="zh-CN" w:bidi="en-US"/>
        </w:rPr>
      </w:pPr>
      <w:r>
        <w:rPr>
          <w:rFonts w:hint="default" w:ascii="黑体" w:hAnsi="黑体" w:eastAsia="黑体" w:cs="黑体"/>
          <w:b w:val="0"/>
          <w:bCs/>
          <w:color w:val="auto"/>
          <w:sz w:val="32"/>
          <w:szCs w:val="32"/>
          <w:highlight w:val="none"/>
          <w:lang w:val="en-US" w:eastAsia="zh-CN" w:bidi="en-US"/>
        </w:rPr>
        <w:t>第</w:t>
      </w:r>
      <w:r>
        <w:rPr>
          <w:rFonts w:hint="eastAsia" w:ascii="黑体" w:hAnsi="黑体" w:eastAsia="黑体" w:cs="黑体"/>
          <w:b w:val="0"/>
          <w:bCs/>
          <w:color w:val="auto"/>
          <w:sz w:val="32"/>
          <w:szCs w:val="32"/>
          <w:highlight w:val="none"/>
          <w:lang w:val="en-US" w:eastAsia="zh-CN" w:bidi="en-US"/>
        </w:rPr>
        <w:t>十五</w:t>
      </w:r>
      <w:r>
        <w:rPr>
          <w:rFonts w:hint="default" w:ascii="黑体" w:hAnsi="黑体" w:eastAsia="黑体" w:cs="黑体"/>
          <w:b w:val="0"/>
          <w:bCs/>
          <w:color w:val="auto"/>
          <w:sz w:val="32"/>
          <w:szCs w:val="32"/>
          <w:highlight w:val="none"/>
          <w:lang w:val="en-US" w:eastAsia="zh-CN" w:bidi="en-US"/>
        </w:rPr>
        <w:t xml:space="preserve">条  </w:t>
      </w:r>
      <w:r>
        <w:rPr>
          <w:rFonts w:hint="default" w:ascii="黑体" w:hAnsi="黑体" w:eastAsia="黑体" w:cs="黑体"/>
          <w:b w:val="0"/>
          <w:bCs/>
          <w:color w:val="auto"/>
          <w:sz w:val="32"/>
          <w:szCs w:val="32"/>
          <w:highlight w:val="none"/>
          <w:lang w:eastAsia="zh-CN" w:bidi="en-US"/>
        </w:rPr>
        <w:t>【</w:t>
      </w:r>
      <w:r>
        <w:rPr>
          <w:rFonts w:hint="default" w:ascii="黑体" w:hAnsi="黑体" w:eastAsia="黑体" w:cs="黑体"/>
          <w:b w:val="0"/>
          <w:bCs/>
          <w:color w:val="auto"/>
          <w:sz w:val="32"/>
          <w:szCs w:val="32"/>
          <w:highlight w:val="none"/>
          <w:lang w:val="en-US" w:eastAsia="zh-CN" w:bidi="en-US"/>
        </w:rPr>
        <w:t>人头付费门诊点数计算</w:t>
      </w:r>
      <w:r>
        <w:rPr>
          <w:rFonts w:hint="default" w:ascii="黑体" w:hAnsi="黑体" w:eastAsia="黑体" w:cs="黑体"/>
          <w:b w:val="0"/>
          <w:bCs/>
          <w:color w:val="auto"/>
          <w:sz w:val="32"/>
          <w:szCs w:val="32"/>
          <w:highlight w:val="none"/>
          <w:lang w:eastAsia="zh-CN" w:bidi="en-US"/>
        </w:rPr>
        <w:t>】</w:t>
      </w:r>
      <w:r>
        <w:rPr>
          <w:rFonts w:hint="default" w:ascii="仿宋" w:hAnsi="仿宋" w:eastAsia="仿宋" w:cs="仿宋"/>
          <w:color w:val="auto"/>
          <w:kern w:val="0"/>
          <w:sz w:val="32"/>
          <w:szCs w:val="32"/>
          <w:highlight w:val="none"/>
          <w:lang w:val="en-US" w:eastAsia="zh-CN" w:bidi="ar"/>
        </w:rPr>
        <w:t>以经办机构与定点</w:t>
      </w:r>
      <w:r>
        <w:rPr>
          <w:rFonts w:hint="eastAsia" w:ascii="仿宋" w:hAnsi="仿宋" w:eastAsia="仿宋" w:cs="仿宋"/>
          <w:color w:val="auto"/>
          <w:kern w:val="0"/>
          <w:sz w:val="32"/>
          <w:szCs w:val="32"/>
          <w:highlight w:val="none"/>
          <w:lang w:val="en-US" w:eastAsia="zh-CN" w:bidi="ar"/>
        </w:rPr>
        <w:t>服务机构</w:t>
      </w:r>
      <w:r>
        <w:rPr>
          <w:rFonts w:hint="default" w:ascii="仿宋" w:hAnsi="仿宋" w:eastAsia="仿宋" w:cs="仿宋"/>
          <w:color w:val="auto"/>
          <w:kern w:val="0"/>
          <w:sz w:val="32"/>
          <w:szCs w:val="32"/>
          <w:highlight w:val="none"/>
          <w:lang w:val="en-US" w:eastAsia="zh-CN" w:bidi="ar"/>
        </w:rPr>
        <w:t>约定的按人头付费标准为基础，核算出</w:t>
      </w:r>
      <w:r>
        <w:rPr>
          <w:rFonts w:hint="eastAsia" w:ascii="仿宋" w:hAnsi="仿宋" w:eastAsia="仿宋" w:cs="仿宋"/>
          <w:color w:val="auto"/>
          <w:kern w:val="0"/>
          <w:sz w:val="32"/>
          <w:szCs w:val="32"/>
          <w:highlight w:val="none"/>
          <w:lang w:val="en-US" w:eastAsia="zh-CN" w:bidi="ar"/>
        </w:rPr>
        <w:t>人头</w:t>
      </w:r>
      <w:r>
        <w:rPr>
          <w:rFonts w:hint="default" w:ascii="仿宋" w:hAnsi="仿宋" w:eastAsia="仿宋" w:cs="仿宋"/>
          <w:color w:val="auto"/>
          <w:kern w:val="0"/>
          <w:sz w:val="32"/>
          <w:szCs w:val="32"/>
          <w:highlight w:val="none"/>
          <w:lang w:val="en-US" w:eastAsia="zh-CN" w:bidi="ar"/>
        </w:rPr>
        <w:t>付费支付费用，结合基本医保统筹基金支付在医保基金和参保人员所支付医疗费用总额中所占比例核算出门诊</w:t>
      </w:r>
      <w:r>
        <w:rPr>
          <w:rFonts w:hint="eastAsia" w:ascii="仿宋" w:hAnsi="仿宋" w:eastAsia="仿宋" w:cs="仿宋"/>
          <w:color w:val="auto"/>
          <w:kern w:val="0"/>
          <w:sz w:val="32"/>
          <w:szCs w:val="32"/>
          <w:highlight w:val="none"/>
          <w:lang w:val="en-US" w:eastAsia="zh-CN" w:bidi="ar"/>
        </w:rPr>
        <w:t>人头</w:t>
      </w:r>
      <w:r>
        <w:rPr>
          <w:rFonts w:hint="default" w:ascii="仿宋" w:hAnsi="仿宋" w:eastAsia="仿宋" w:cs="仿宋"/>
          <w:color w:val="auto"/>
          <w:kern w:val="0"/>
          <w:sz w:val="32"/>
          <w:szCs w:val="32"/>
          <w:highlight w:val="none"/>
          <w:lang w:val="en-US" w:eastAsia="zh-CN" w:bidi="ar"/>
        </w:rPr>
        <w:t>付费总医药价格，</w:t>
      </w:r>
      <w:r>
        <w:rPr>
          <w:rFonts w:hint="eastAsia" w:ascii="仿宋" w:hAnsi="仿宋" w:eastAsia="仿宋" w:cs="仿宋"/>
          <w:color w:val="auto"/>
          <w:kern w:val="0"/>
          <w:sz w:val="32"/>
          <w:szCs w:val="32"/>
          <w:highlight w:val="none"/>
          <w:lang w:val="en-US" w:eastAsia="zh-CN" w:bidi="ar"/>
        </w:rPr>
        <w:t>人头</w:t>
      </w:r>
      <w:r>
        <w:rPr>
          <w:rFonts w:hint="default" w:ascii="仿宋" w:hAnsi="仿宋" w:eastAsia="仿宋" w:cs="仿宋"/>
          <w:color w:val="auto"/>
          <w:kern w:val="0"/>
          <w:sz w:val="32"/>
          <w:szCs w:val="32"/>
          <w:highlight w:val="none"/>
          <w:lang w:val="en-US" w:eastAsia="zh-CN" w:bidi="ar"/>
        </w:rPr>
        <w:t>付费总医药价格</w:t>
      </w:r>
      <w:r>
        <w:rPr>
          <w:rFonts w:hint="eastAsia" w:ascii="仿宋" w:hAnsi="仿宋" w:eastAsia="仿宋" w:cs="仿宋"/>
          <w:color w:val="auto"/>
          <w:kern w:val="0"/>
          <w:sz w:val="32"/>
          <w:szCs w:val="32"/>
          <w:highlight w:val="none"/>
          <w:lang w:val="en-US" w:eastAsia="zh-CN" w:bidi="ar"/>
        </w:rPr>
        <w:t>原则上</w:t>
      </w:r>
      <w:r>
        <w:rPr>
          <w:rFonts w:hint="default" w:ascii="仿宋" w:hAnsi="仿宋" w:eastAsia="仿宋" w:cs="仿宋"/>
          <w:color w:val="auto"/>
          <w:kern w:val="0"/>
          <w:sz w:val="32"/>
          <w:szCs w:val="32"/>
          <w:highlight w:val="none"/>
          <w:lang w:val="en-US" w:eastAsia="zh-CN" w:bidi="ar"/>
        </w:rPr>
        <w:t>按照1：1的比价关系转化为付费点数</w:t>
      </w:r>
      <w:r>
        <w:rPr>
          <w:rFonts w:hint="eastAsia" w:ascii="仿宋" w:hAnsi="仿宋" w:eastAsia="仿宋" w:cs="仿宋"/>
          <w:color w:val="auto"/>
          <w:kern w:val="0"/>
          <w:sz w:val="32"/>
          <w:szCs w:val="32"/>
          <w:highlight w:val="none"/>
          <w:lang w:val="en-US" w:eastAsia="zh-CN" w:bidi="ar"/>
        </w:rPr>
        <w:t>，可采用固定点值法，统筹区可根据本统筹区实际情况设定比价关系</w:t>
      </w:r>
      <w:r>
        <w:rPr>
          <w:rFonts w:hint="default" w:ascii="仿宋" w:hAnsi="仿宋" w:eastAsia="仿宋" w:cs="仿宋"/>
          <w:color w:val="auto"/>
          <w:kern w:val="0"/>
          <w:sz w:val="32"/>
          <w:szCs w:val="32"/>
          <w:highlight w:val="none"/>
          <w:lang w:val="en-US" w:eastAsia="zh-CN" w:bidi="ar"/>
        </w:rPr>
        <w:t>。</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2312" w:hAnsi="方正仿宋_GB2312" w:eastAsia="方正仿宋_GB2312" w:cs="方正仿宋_GB2312"/>
          <w:color w:val="auto"/>
          <w:sz w:val="32"/>
          <w:szCs w:val="32"/>
          <w:highlight w:val="none"/>
          <w:lang w:val="en-US" w:eastAsia="zh-CN" w:bidi="en-US"/>
        </w:rPr>
      </w:pPr>
      <w:r>
        <w:rPr>
          <w:rFonts w:hint="default" w:ascii="黑体" w:hAnsi="黑体" w:eastAsia="黑体" w:cs="黑体"/>
          <w:b w:val="0"/>
          <w:bCs/>
          <w:color w:val="auto"/>
          <w:sz w:val="32"/>
          <w:szCs w:val="32"/>
          <w:highlight w:val="none"/>
          <w:lang w:val="en-US" w:eastAsia="zh-CN" w:bidi="en-US"/>
        </w:rPr>
        <w:t>第</w:t>
      </w:r>
      <w:r>
        <w:rPr>
          <w:rFonts w:hint="eastAsia" w:ascii="黑体" w:hAnsi="黑体" w:eastAsia="黑体" w:cs="黑体"/>
          <w:b w:val="0"/>
          <w:bCs/>
          <w:color w:val="auto"/>
          <w:sz w:val="32"/>
          <w:szCs w:val="32"/>
          <w:highlight w:val="none"/>
          <w:lang w:val="en-US" w:eastAsia="zh-CN" w:bidi="en-US"/>
        </w:rPr>
        <w:t>十六</w:t>
      </w:r>
      <w:r>
        <w:rPr>
          <w:rFonts w:hint="default" w:ascii="黑体" w:hAnsi="黑体" w:eastAsia="黑体" w:cs="黑体"/>
          <w:b w:val="0"/>
          <w:bCs/>
          <w:color w:val="auto"/>
          <w:sz w:val="32"/>
          <w:szCs w:val="32"/>
          <w:highlight w:val="none"/>
          <w:lang w:val="en-US" w:eastAsia="zh-CN" w:bidi="en-US"/>
        </w:rPr>
        <w:t xml:space="preserve">条  </w:t>
      </w:r>
      <w:r>
        <w:rPr>
          <w:rFonts w:hint="default" w:ascii="黑体" w:hAnsi="黑体" w:eastAsia="黑体" w:cs="黑体"/>
          <w:b w:val="0"/>
          <w:bCs/>
          <w:color w:val="auto"/>
          <w:sz w:val="32"/>
          <w:szCs w:val="32"/>
          <w:highlight w:val="none"/>
          <w:lang w:eastAsia="zh-CN" w:bidi="en-US"/>
        </w:rPr>
        <w:t>【</w:t>
      </w:r>
      <w:r>
        <w:rPr>
          <w:rFonts w:hint="default" w:ascii="黑体" w:hAnsi="黑体" w:eastAsia="黑体" w:cs="黑体"/>
          <w:b w:val="0"/>
          <w:bCs/>
          <w:color w:val="auto"/>
          <w:sz w:val="32"/>
          <w:szCs w:val="32"/>
          <w:highlight w:val="none"/>
          <w:lang w:val="en-US" w:eastAsia="zh-CN" w:bidi="en-US"/>
        </w:rPr>
        <w:t>项目付费门诊点数计算</w:t>
      </w:r>
      <w:r>
        <w:rPr>
          <w:rFonts w:hint="default" w:ascii="黑体" w:hAnsi="黑体" w:eastAsia="黑体" w:cs="黑体"/>
          <w:b w:val="0"/>
          <w:bCs/>
          <w:color w:val="auto"/>
          <w:sz w:val="32"/>
          <w:szCs w:val="32"/>
          <w:highlight w:val="none"/>
          <w:lang w:eastAsia="zh-CN" w:bidi="en-US"/>
        </w:rPr>
        <w:t>】</w:t>
      </w:r>
      <w:r>
        <w:rPr>
          <w:rFonts w:hint="default" w:ascii="仿宋" w:hAnsi="仿宋" w:eastAsia="仿宋" w:cs="仿宋"/>
          <w:color w:val="auto"/>
          <w:kern w:val="0"/>
          <w:sz w:val="32"/>
          <w:szCs w:val="32"/>
          <w:highlight w:val="none"/>
          <w:lang w:val="en-US" w:eastAsia="zh-CN" w:bidi="ar"/>
        </w:rPr>
        <w:t>以定点</w:t>
      </w:r>
      <w:r>
        <w:rPr>
          <w:rFonts w:hint="eastAsia" w:ascii="仿宋" w:hAnsi="仿宋" w:eastAsia="仿宋" w:cs="仿宋"/>
          <w:color w:val="auto"/>
          <w:kern w:val="0"/>
          <w:sz w:val="32"/>
          <w:szCs w:val="32"/>
          <w:highlight w:val="none"/>
          <w:lang w:val="en-US" w:eastAsia="zh-CN" w:bidi="ar"/>
        </w:rPr>
        <w:t>服务机构</w:t>
      </w:r>
      <w:r>
        <w:rPr>
          <w:rFonts w:hint="default" w:ascii="仿宋" w:hAnsi="仿宋" w:eastAsia="仿宋" w:cs="仿宋"/>
          <w:color w:val="auto"/>
          <w:kern w:val="0"/>
          <w:sz w:val="32"/>
          <w:szCs w:val="32"/>
          <w:highlight w:val="none"/>
          <w:lang w:val="en-US" w:eastAsia="zh-CN" w:bidi="ar"/>
        </w:rPr>
        <w:t>门诊收取的按项目付费实际价格为基础，</w:t>
      </w:r>
      <w:r>
        <w:rPr>
          <w:rFonts w:hint="eastAsia" w:ascii="仿宋" w:hAnsi="仿宋" w:eastAsia="仿宋" w:cs="仿宋"/>
          <w:color w:val="auto"/>
          <w:kern w:val="0"/>
          <w:sz w:val="32"/>
          <w:szCs w:val="32"/>
          <w:highlight w:val="none"/>
          <w:lang w:val="en-US" w:eastAsia="zh-CN" w:bidi="ar"/>
        </w:rPr>
        <w:t>原则上</w:t>
      </w:r>
      <w:r>
        <w:rPr>
          <w:rFonts w:hint="default" w:ascii="仿宋" w:hAnsi="仿宋" w:eastAsia="仿宋" w:cs="仿宋"/>
          <w:color w:val="auto"/>
          <w:kern w:val="0"/>
          <w:sz w:val="32"/>
          <w:szCs w:val="32"/>
          <w:highlight w:val="none"/>
          <w:lang w:val="en-US" w:eastAsia="zh-CN" w:bidi="ar"/>
        </w:rPr>
        <w:t>按照</w:t>
      </w:r>
      <w:r>
        <w:rPr>
          <w:rFonts w:hint="eastAsia" w:ascii="仿宋" w:hAnsi="仿宋" w:eastAsia="仿宋" w:cs="仿宋"/>
          <w:color w:val="auto"/>
          <w:kern w:val="0"/>
          <w:sz w:val="32"/>
          <w:szCs w:val="32"/>
          <w:highlight w:val="none"/>
          <w:lang w:val="en-US" w:eastAsia="zh-CN" w:bidi="ar"/>
        </w:rPr>
        <w:t>实际</w:t>
      </w:r>
      <w:r>
        <w:rPr>
          <w:rFonts w:hint="default" w:ascii="仿宋" w:hAnsi="仿宋" w:eastAsia="仿宋" w:cs="仿宋"/>
          <w:color w:val="auto"/>
          <w:kern w:val="0"/>
          <w:sz w:val="32"/>
          <w:szCs w:val="32"/>
          <w:highlight w:val="none"/>
          <w:lang w:val="en-US" w:eastAsia="zh-CN" w:bidi="ar"/>
        </w:rPr>
        <w:t>价格1：1转化为付费点数，</w:t>
      </w:r>
      <w:r>
        <w:rPr>
          <w:rFonts w:hint="eastAsia" w:ascii="仿宋" w:hAnsi="仿宋" w:eastAsia="仿宋" w:cs="仿宋"/>
          <w:color w:val="auto"/>
          <w:kern w:val="0"/>
          <w:sz w:val="32"/>
          <w:szCs w:val="32"/>
          <w:highlight w:val="none"/>
          <w:lang w:val="en-US" w:eastAsia="zh-CN" w:bidi="ar"/>
        </w:rPr>
        <w:t>统筹区可根据本统筹区实际情况分别设定药品、耗材及医药服务项目的比价关系</w:t>
      </w:r>
      <w:r>
        <w:rPr>
          <w:rFonts w:hint="default" w:ascii="仿宋" w:hAnsi="仿宋" w:eastAsia="仿宋" w:cs="仿宋"/>
          <w:color w:val="auto"/>
          <w:kern w:val="0"/>
          <w:sz w:val="32"/>
          <w:szCs w:val="32"/>
          <w:highlight w:val="none"/>
          <w:lang w:val="en-US" w:eastAsia="zh-CN" w:bidi="ar"/>
        </w:rPr>
        <w:t>，经办机构在支付定点</w:t>
      </w:r>
      <w:r>
        <w:rPr>
          <w:rFonts w:hint="eastAsia" w:ascii="仿宋" w:hAnsi="仿宋" w:eastAsia="仿宋" w:cs="仿宋"/>
          <w:color w:val="auto"/>
          <w:kern w:val="0"/>
          <w:sz w:val="32"/>
          <w:szCs w:val="32"/>
          <w:highlight w:val="none"/>
          <w:lang w:val="en-US" w:eastAsia="zh-CN" w:bidi="ar"/>
        </w:rPr>
        <w:t>服务机构</w:t>
      </w:r>
      <w:r>
        <w:rPr>
          <w:rFonts w:hint="default" w:ascii="仿宋" w:hAnsi="仿宋" w:eastAsia="仿宋" w:cs="仿宋"/>
          <w:color w:val="auto"/>
          <w:kern w:val="0"/>
          <w:sz w:val="32"/>
          <w:szCs w:val="32"/>
          <w:highlight w:val="none"/>
          <w:lang w:val="en-US" w:eastAsia="zh-CN" w:bidi="ar"/>
        </w:rPr>
        <w:t>门诊费用时，优先支付</w:t>
      </w:r>
      <w:r>
        <w:rPr>
          <w:rFonts w:hint="eastAsia" w:ascii="仿宋" w:hAnsi="仿宋" w:eastAsia="仿宋" w:cs="仿宋"/>
          <w:color w:val="auto"/>
          <w:kern w:val="0"/>
          <w:sz w:val="32"/>
          <w:szCs w:val="32"/>
          <w:highlight w:val="none"/>
          <w:lang w:val="en-US" w:eastAsia="zh-CN" w:bidi="ar"/>
        </w:rPr>
        <w:t>零</w:t>
      </w:r>
      <w:r>
        <w:rPr>
          <w:rFonts w:hint="default" w:ascii="仿宋" w:hAnsi="仿宋" w:eastAsia="仿宋" w:cs="仿宋"/>
          <w:color w:val="auto"/>
          <w:kern w:val="0"/>
          <w:sz w:val="32"/>
          <w:szCs w:val="32"/>
          <w:highlight w:val="none"/>
          <w:lang w:val="en-US" w:eastAsia="zh-CN" w:bidi="ar"/>
        </w:rPr>
        <w:t>差率药品</w:t>
      </w:r>
      <w:r>
        <w:rPr>
          <w:rFonts w:hint="eastAsia" w:ascii="仿宋" w:hAnsi="仿宋" w:eastAsia="仿宋" w:cs="仿宋"/>
          <w:color w:val="auto"/>
          <w:kern w:val="0"/>
          <w:sz w:val="32"/>
          <w:szCs w:val="32"/>
          <w:highlight w:val="none"/>
          <w:lang w:val="en-US" w:eastAsia="zh-CN" w:bidi="ar"/>
        </w:rPr>
        <w:t>及医用耗材</w:t>
      </w:r>
      <w:r>
        <w:rPr>
          <w:rFonts w:hint="default" w:ascii="仿宋" w:hAnsi="仿宋" w:eastAsia="仿宋" w:cs="仿宋"/>
          <w:color w:val="auto"/>
          <w:kern w:val="0"/>
          <w:sz w:val="32"/>
          <w:szCs w:val="32"/>
          <w:highlight w:val="none"/>
          <w:lang w:val="en-US" w:eastAsia="zh-CN" w:bidi="ar"/>
        </w:rPr>
        <w:t>费用。</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黑体" w:hAnsi="黑体" w:eastAsia="黑体" w:cs="黑体"/>
          <w:b w:val="0"/>
          <w:bCs/>
          <w:color w:val="auto"/>
          <w:sz w:val="32"/>
          <w:szCs w:val="32"/>
          <w:highlight w:val="none"/>
          <w:lang w:val="en-US" w:eastAsia="zh-CN" w:bidi="en-US"/>
        </w:rPr>
      </w:pPr>
      <w:r>
        <w:rPr>
          <w:rFonts w:hint="default" w:ascii="黑体" w:hAnsi="黑体" w:eastAsia="黑体" w:cs="黑体"/>
          <w:b w:val="0"/>
          <w:bCs/>
          <w:color w:val="auto"/>
          <w:sz w:val="32"/>
          <w:szCs w:val="32"/>
          <w:highlight w:val="none"/>
          <w:lang w:val="en-US" w:eastAsia="zh-CN" w:bidi="en-US"/>
        </w:rPr>
        <w:t>第</w:t>
      </w:r>
      <w:r>
        <w:rPr>
          <w:rFonts w:hint="eastAsia" w:ascii="黑体" w:hAnsi="黑体" w:eastAsia="黑体" w:cs="黑体"/>
          <w:b w:val="0"/>
          <w:bCs/>
          <w:color w:val="auto"/>
          <w:sz w:val="32"/>
          <w:szCs w:val="32"/>
          <w:highlight w:val="none"/>
          <w:lang w:val="en-US" w:eastAsia="zh-CN" w:bidi="en-US"/>
        </w:rPr>
        <w:t>十七</w:t>
      </w:r>
      <w:r>
        <w:rPr>
          <w:rFonts w:hint="default" w:ascii="黑体" w:hAnsi="黑体" w:eastAsia="黑体" w:cs="黑体"/>
          <w:b w:val="0"/>
          <w:bCs/>
          <w:color w:val="auto"/>
          <w:sz w:val="32"/>
          <w:szCs w:val="32"/>
          <w:highlight w:val="none"/>
          <w:lang w:val="en-US" w:eastAsia="zh-CN" w:bidi="en-US"/>
        </w:rPr>
        <w:t xml:space="preserve">条 </w:t>
      </w:r>
      <w:r>
        <w:rPr>
          <w:rFonts w:hint="default" w:ascii="黑体" w:hAnsi="黑体" w:eastAsia="黑体" w:cs="黑体"/>
          <w:b w:val="0"/>
          <w:bCs/>
          <w:color w:val="auto"/>
          <w:sz w:val="32"/>
          <w:szCs w:val="32"/>
          <w:highlight w:val="none"/>
          <w:lang w:eastAsia="zh-CN" w:bidi="en-US"/>
        </w:rPr>
        <w:t>【</w:t>
      </w:r>
      <w:r>
        <w:rPr>
          <w:rFonts w:hint="eastAsia" w:ascii="黑体" w:hAnsi="黑体" w:eastAsia="黑体" w:cs="黑体"/>
          <w:b w:val="0"/>
          <w:bCs/>
          <w:color w:val="auto"/>
          <w:sz w:val="32"/>
          <w:szCs w:val="32"/>
          <w:highlight w:val="none"/>
          <w:lang w:val="en-US" w:eastAsia="zh-CN" w:bidi="en-US"/>
        </w:rPr>
        <w:t>其他</w:t>
      </w:r>
      <w:r>
        <w:rPr>
          <w:rFonts w:hint="default" w:ascii="黑体" w:hAnsi="黑体" w:eastAsia="黑体" w:cs="黑体"/>
          <w:b w:val="0"/>
          <w:bCs/>
          <w:color w:val="auto"/>
          <w:sz w:val="32"/>
          <w:szCs w:val="32"/>
          <w:highlight w:val="none"/>
          <w:lang w:val="en-US" w:eastAsia="zh-CN" w:bidi="en-US"/>
        </w:rPr>
        <w:t>付费</w:t>
      </w:r>
      <w:r>
        <w:rPr>
          <w:rFonts w:hint="eastAsia" w:ascii="黑体" w:hAnsi="黑体" w:eastAsia="黑体" w:cs="黑体"/>
          <w:b w:val="0"/>
          <w:bCs/>
          <w:color w:val="auto"/>
          <w:sz w:val="32"/>
          <w:szCs w:val="32"/>
          <w:highlight w:val="none"/>
          <w:lang w:val="en-US" w:eastAsia="zh-CN" w:bidi="en-US"/>
        </w:rPr>
        <w:t>方式</w:t>
      </w:r>
      <w:r>
        <w:rPr>
          <w:rFonts w:hint="default" w:ascii="黑体" w:hAnsi="黑体" w:eastAsia="黑体" w:cs="黑体"/>
          <w:b w:val="0"/>
          <w:bCs/>
          <w:color w:val="auto"/>
          <w:sz w:val="32"/>
          <w:szCs w:val="32"/>
          <w:highlight w:val="none"/>
          <w:lang w:val="en-US" w:eastAsia="zh-CN" w:bidi="en-US"/>
        </w:rPr>
        <w:t>门诊点数计算</w:t>
      </w:r>
      <w:r>
        <w:rPr>
          <w:rFonts w:hint="default" w:ascii="黑体" w:hAnsi="黑体" w:eastAsia="黑体" w:cs="黑体"/>
          <w:b w:val="0"/>
          <w:bCs/>
          <w:color w:val="auto"/>
          <w:sz w:val="32"/>
          <w:szCs w:val="32"/>
          <w:highlight w:val="none"/>
          <w:lang w:eastAsia="zh-CN" w:bidi="en-US"/>
        </w:rPr>
        <w:t>】</w:t>
      </w:r>
      <w:r>
        <w:rPr>
          <w:rFonts w:hint="eastAsia" w:ascii="仿宋" w:hAnsi="仿宋" w:eastAsia="仿宋" w:cs="仿宋"/>
          <w:color w:val="auto"/>
          <w:kern w:val="0"/>
          <w:sz w:val="32"/>
          <w:szCs w:val="32"/>
          <w:highlight w:val="none"/>
          <w:lang w:val="en-US" w:eastAsia="zh-CN" w:bidi="ar"/>
        </w:rPr>
        <w:t>符合国家改革要求的其他付费方式门诊费用，一并转化为可比的付费点数。</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黑体" w:hAnsi="黑体" w:eastAsia="黑体" w:cs="黑体"/>
          <w:b w:val="0"/>
          <w:bCs/>
          <w:color w:val="auto"/>
          <w:sz w:val="32"/>
          <w:szCs w:val="32"/>
          <w:highlight w:val="none"/>
          <w:lang w:eastAsia="zh-CN" w:bidi="en-US"/>
        </w:rPr>
      </w:pPr>
      <w:r>
        <w:rPr>
          <w:rFonts w:hint="default" w:ascii="黑体" w:hAnsi="黑体" w:eastAsia="黑体" w:cs="黑体"/>
          <w:b w:val="0"/>
          <w:bCs/>
          <w:color w:val="auto"/>
          <w:sz w:val="32"/>
          <w:szCs w:val="32"/>
          <w:highlight w:val="none"/>
          <w:lang w:val="en-US" w:eastAsia="zh-CN" w:bidi="en-US"/>
        </w:rPr>
        <w:t>第</w:t>
      </w:r>
      <w:r>
        <w:rPr>
          <w:rFonts w:hint="eastAsia" w:ascii="黑体" w:hAnsi="黑体" w:eastAsia="黑体" w:cs="黑体"/>
          <w:b w:val="0"/>
          <w:bCs/>
          <w:color w:val="auto"/>
          <w:sz w:val="32"/>
          <w:szCs w:val="32"/>
          <w:highlight w:val="none"/>
          <w:lang w:val="en-US" w:eastAsia="zh-CN" w:bidi="en-US"/>
        </w:rPr>
        <w:t>十八</w:t>
      </w:r>
      <w:r>
        <w:rPr>
          <w:rFonts w:hint="default" w:ascii="黑体" w:hAnsi="黑体" w:eastAsia="黑体" w:cs="黑体"/>
          <w:b w:val="0"/>
          <w:bCs/>
          <w:color w:val="auto"/>
          <w:sz w:val="32"/>
          <w:szCs w:val="32"/>
          <w:highlight w:val="none"/>
          <w:lang w:val="en-US" w:eastAsia="zh-CN" w:bidi="en-US"/>
        </w:rPr>
        <w:t>条 门诊</w:t>
      </w:r>
      <w:r>
        <w:rPr>
          <w:rFonts w:hint="eastAsia" w:ascii="黑体" w:hAnsi="黑体" w:eastAsia="黑体" w:cs="黑体"/>
          <w:b w:val="0"/>
          <w:bCs/>
          <w:color w:val="auto"/>
          <w:sz w:val="32"/>
          <w:szCs w:val="32"/>
          <w:highlight w:val="none"/>
          <w:lang w:val="en-US" w:eastAsia="zh-CN" w:bidi="en-US"/>
        </w:rPr>
        <w:t>总付费点数及预付</w:t>
      </w:r>
      <w:r>
        <w:rPr>
          <w:rFonts w:hint="default" w:ascii="黑体" w:hAnsi="黑体" w:eastAsia="黑体" w:cs="黑体"/>
          <w:b w:val="0"/>
          <w:bCs/>
          <w:color w:val="auto"/>
          <w:sz w:val="32"/>
          <w:szCs w:val="32"/>
          <w:highlight w:val="none"/>
          <w:lang w:val="en-US" w:eastAsia="zh-CN" w:bidi="en-US"/>
        </w:rPr>
        <w:t>点值计算</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 w:hAnsi="仿宋" w:eastAsia="仿宋" w:cs="仿宋"/>
          <w:color w:val="auto"/>
          <w:kern w:val="0"/>
          <w:sz w:val="32"/>
          <w:szCs w:val="32"/>
          <w:highlight w:val="none"/>
          <w:lang w:val="en-US" w:eastAsia="zh-CN" w:bidi="ar"/>
        </w:rPr>
      </w:pPr>
      <w:r>
        <w:rPr>
          <w:rFonts w:hint="default" w:ascii="仿宋" w:hAnsi="仿宋" w:eastAsia="仿宋" w:cs="仿宋"/>
          <w:color w:val="auto"/>
          <w:kern w:val="0"/>
          <w:sz w:val="32"/>
          <w:szCs w:val="32"/>
          <w:highlight w:val="none"/>
          <w:lang w:val="en-US" w:eastAsia="zh-CN" w:bidi="ar"/>
        </w:rPr>
        <w:t>（一）</w:t>
      </w:r>
      <w:r>
        <w:rPr>
          <w:rFonts w:hint="eastAsia" w:ascii="仿宋" w:hAnsi="仿宋" w:eastAsia="仿宋" w:cs="仿宋"/>
          <w:color w:val="auto"/>
          <w:kern w:val="0"/>
          <w:sz w:val="32"/>
          <w:szCs w:val="32"/>
          <w:highlight w:val="none"/>
          <w:lang w:val="en-US" w:eastAsia="zh-CN" w:bidi="ar"/>
        </w:rPr>
        <w:t>服务机构</w:t>
      </w:r>
      <w:r>
        <w:rPr>
          <w:rFonts w:hint="default" w:ascii="仿宋" w:hAnsi="仿宋" w:eastAsia="仿宋" w:cs="仿宋"/>
          <w:color w:val="auto"/>
          <w:kern w:val="0"/>
          <w:sz w:val="32"/>
          <w:szCs w:val="32"/>
          <w:highlight w:val="none"/>
          <w:lang w:val="en-US" w:eastAsia="zh-CN" w:bidi="ar"/>
        </w:rPr>
        <w:t>门诊</w:t>
      </w:r>
      <w:r>
        <w:rPr>
          <w:rFonts w:hint="eastAsia" w:ascii="仿宋" w:hAnsi="仿宋" w:eastAsia="仿宋" w:cs="仿宋"/>
          <w:color w:val="auto"/>
          <w:kern w:val="0"/>
          <w:sz w:val="32"/>
          <w:szCs w:val="32"/>
          <w:highlight w:val="none"/>
          <w:lang w:val="en-US" w:eastAsia="zh-CN" w:bidi="ar"/>
        </w:rPr>
        <w:t>付费</w:t>
      </w:r>
      <w:r>
        <w:rPr>
          <w:rFonts w:hint="default" w:ascii="仿宋" w:hAnsi="仿宋" w:eastAsia="仿宋" w:cs="仿宋"/>
          <w:color w:val="auto"/>
          <w:kern w:val="0"/>
          <w:sz w:val="32"/>
          <w:szCs w:val="32"/>
          <w:highlight w:val="none"/>
          <w:lang w:val="en-US" w:eastAsia="zh-CN" w:bidi="ar"/>
        </w:rPr>
        <w:t>点数=</w:t>
      </w:r>
      <w:r>
        <w:rPr>
          <w:rFonts w:hint="eastAsia" w:ascii="仿宋" w:hAnsi="仿宋" w:eastAsia="仿宋" w:cs="仿宋"/>
          <w:color w:val="auto"/>
          <w:kern w:val="0"/>
          <w:sz w:val="32"/>
          <w:szCs w:val="32"/>
          <w:highlight w:val="none"/>
          <w:lang w:val="en-US" w:eastAsia="zh-CN" w:bidi="ar"/>
        </w:rPr>
        <w:t>服务机构</w:t>
      </w:r>
      <w:r>
        <w:rPr>
          <w:rFonts w:hint="default" w:ascii="仿宋" w:hAnsi="仿宋" w:eastAsia="仿宋" w:cs="仿宋"/>
          <w:color w:val="auto"/>
          <w:kern w:val="0"/>
          <w:sz w:val="32"/>
          <w:szCs w:val="32"/>
          <w:highlight w:val="none"/>
          <w:lang w:val="en-US" w:eastAsia="zh-CN" w:bidi="ar"/>
        </w:rPr>
        <w:t>人头付费门诊</w:t>
      </w:r>
      <w:r>
        <w:rPr>
          <w:rFonts w:hint="eastAsia" w:ascii="仿宋" w:hAnsi="仿宋" w:eastAsia="仿宋" w:cs="仿宋"/>
          <w:color w:val="auto"/>
          <w:kern w:val="0"/>
          <w:sz w:val="32"/>
          <w:szCs w:val="32"/>
          <w:highlight w:val="none"/>
          <w:lang w:val="en-US" w:eastAsia="zh-CN" w:bidi="ar"/>
        </w:rPr>
        <w:t>付费</w:t>
      </w:r>
      <w:r>
        <w:rPr>
          <w:rFonts w:hint="default" w:ascii="仿宋" w:hAnsi="仿宋" w:eastAsia="仿宋" w:cs="仿宋"/>
          <w:color w:val="auto"/>
          <w:kern w:val="0"/>
          <w:sz w:val="32"/>
          <w:szCs w:val="32"/>
          <w:highlight w:val="none"/>
          <w:lang w:val="en-US" w:eastAsia="zh-CN" w:bidi="ar"/>
        </w:rPr>
        <w:t>点数+</w:t>
      </w:r>
      <w:r>
        <w:rPr>
          <w:rFonts w:hint="eastAsia" w:ascii="仿宋" w:hAnsi="仿宋" w:eastAsia="仿宋" w:cs="仿宋"/>
          <w:color w:val="auto"/>
          <w:kern w:val="0"/>
          <w:sz w:val="32"/>
          <w:szCs w:val="32"/>
          <w:highlight w:val="none"/>
          <w:lang w:val="en-US" w:eastAsia="zh-CN" w:bidi="ar"/>
        </w:rPr>
        <w:t>服务机构</w:t>
      </w:r>
      <w:r>
        <w:rPr>
          <w:rFonts w:hint="default" w:ascii="仿宋" w:hAnsi="仿宋" w:eastAsia="仿宋" w:cs="仿宋"/>
          <w:color w:val="auto"/>
          <w:kern w:val="0"/>
          <w:sz w:val="32"/>
          <w:szCs w:val="32"/>
          <w:highlight w:val="none"/>
          <w:lang w:val="en-US" w:eastAsia="zh-CN" w:bidi="ar"/>
        </w:rPr>
        <w:t>项目付费门诊</w:t>
      </w:r>
      <w:r>
        <w:rPr>
          <w:rFonts w:hint="eastAsia" w:ascii="仿宋" w:hAnsi="仿宋" w:eastAsia="仿宋" w:cs="仿宋"/>
          <w:color w:val="auto"/>
          <w:kern w:val="0"/>
          <w:sz w:val="32"/>
          <w:szCs w:val="32"/>
          <w:highlight w:val="none"/>
          <w:lang w:val="en-US" w:eastAsia="zh-CN" w:bidi="ar"/>
        </w:rPr>
        <w:t>付费</w:t>
      </w:r>
      <w:r>
        <w:rPr>
          <w:rFonts w:hint="default" w:ascii="仿宋" w:hAnsi="仿宋" w:eastAsia="仿宋" w:cs="仿宋"/>
          <w:color w:val="auto"/>
          <w:kern w:val="0"/>
          <w:sz w:val="32"/>
          <w:szCs w:val="32"/>
          <w:highlight w:val="none"/>
          <w:lang w:val="en-US" w:eastAsia="zh-CN" w:bidi="ar"/>
        </w:rPr>
        <w:t>点数</w:t>
      </w:r>
      <w:r>
        <w:rPr>
          <w:rFonts w:hint="eastAsia" w:ascii="仿宋" w:hAnsi="仿宋" w:eastAsia="仿宋" w:cs="仿宋"/>
          <w:color w:val="auto"/>
          <w:kern w:val="0"/>
          <w:sz w:val="32"/>
          <w:szCs w:val="32"/>
          <w:highlight w:val="none"/>
          <w:lang w:val="en-US" w:eastAsia="zh-CN" w:bidi="ar"/>
        </w:rPr>
        <w:t>+其他付费方式门诊付费点数</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 w:hAnsi="仿宋" w:eastAsia="仿宋" w:cs="仿宋"/>
          <w:color w:val="auto"/>
          <w:kern w:val="0"/>
          <w:sz w:val="32"/>
          <w:szCs w:val="32"/>
          <w:highlight w:val="none"/>
          <w:lang w:val="en-US" w:eastAsia="zh-CN" w:bidi="ar"/>
        </w:rPr>
      </w:pPr>
      <w:r>
        <w:rPr>
          <w:rFonts w:hint="default" w:ascii="仿宋" w:hAnsi="仿宋" w:eastAsia="仿宋" w:cs="仿宋"/>
          <w:color w:val="auto"/>
          <w:kern w:val="0"/>
          <w:sz w:val="32"/>
          <w:szCs w:val="32"/>
          <w:highlight w:val="none"/>
          <w:lang w:val="en-US" w:eastAsia="zh-CN" w:bidi="ar"/>
        </w:rPr>
        <w:t>（</w:t>
      </w:r>
      <w:r>
        <w:rPr>
          <w:rFonts w:hint="eastAsia" w:ascii="仿宋" w:hAnsi="仿宋" w:eastAsia="仿宋" w:cs="仿宋"/>
          <w:color w:val="auto"/>
          <w:kern w:val="0"/>
          <w:sz w:val="32"/>
          <w:szCs w:val="32"/>
          <w:highlight w:val="none"/>
          <w:lang w:val="en-US" w:eastAsia="zh-CN" w:bidi="ar"/>
        </w:rPr>
        <w:t>二</w:t>
      </w:r>
      <w:r>
        <w:rPr>
          <w:rFonts w:hint="default" w:ascii="仿宋" w:hAnsi="仿宋" w:eastAsia="仿宋" w:cs="仿宋"/>
          <w:color w:val="auto"/>
          <w:kern w:val="0"/>
          <w:sz w:val="32"/>
          <w:szCs w:val="32"/>
          <w:highlight w:val="none"/>
          <w:lang w:val="en-US" w:eastAsia="zh-CN" w:bidi="ar"/>
        </w:rPr>
        <w:t>）统筹区门诊总</w:t>
      </w:r>
      <w:r>
        <w:rPr>
          <w:rFonts w:hint="eastAsia" w:ascii="仿宋" w:hAnsi="仿宋" w:eastAsia="仿宋" w:cs="仿宋"/>
          <w:color w:val="auto"/>
          <w:kern w:val="0"/>
          <w:sz w:val="32"/>
          <w:szCs w:val="32"/>
          <w:highlight w:val="none"/>
          <w:lang w:val="en-US" w:eastAsia="zh-CN" w:bidi="ar"/>
        </w:rPr>
        <w:t>付费</w:t>
      </w:r>
      <w:r>
        <w:rPr>
          <w:rFonts w:hint="default" w:ascii="仿宋" w:hAnsi="仿宋" w:eastAsia="仿宋" w:cs="仿宋"/>
          <w:color w:val="auto"/>
          <w:kern w:val="0"/>
          <w:sz w:val="32"/>
          <w:szCs w:val="32"/>
          <w:highlight w:val="none"/>
          <w:lang w:val="en-US" w:eastAsia="zh-CN" w:bidi="ar"/>
        </w:rPr>
        <w:t>点数为统筹区所有</w:t>
      </w:r>
      <w:r>
        <w:rPr>
          <w:rFonts w:hint="eastAsia" w:ascii="仿宋" w:hAnsi="仿宋" w:eastAsia="仿宋" w:cs="仿宋"/>
          <w:color w:val="auto"/>
          <w:kern w:val="0"/>
          <w:sz w:val="32"/>
          <w:szCs w:val="32"/>
          <w:highlight w:val="none"/>
          <w:lang w:val="en-US" w:eastAsia="zh-CN" w:bidi="ar"/>
        </w:rPr>
        <w:t>服务机构</w:t>
      </w:r>
      <w:r>
        <w:rPr>
          <w:rFonts w:hint="default" w:ascii="仿宋" w:hAnsi="仿宋" w:eastAsia="仿宋" w:cs="仿宋"/>
          <w:color w:val="auto"/>
          <w:kern w:val="0"/>
          <w:sz w:val="32"/>
          <w:szCs w:val="32"/>
          <w:highlight w:val="none"/>
          <w:lang w:val="en-US" w:eastAsia="zh-CN" w:bidi="ar"/>
        </w:rPr>
        <w:t>门诊点数之和。</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2312" w:hAnsi="方正仿宋_GB2312" w:eastAsia="方正仿宋_GB2312" w:cs="方正仿宋_GB2312"/>
          <w:color w:val="auto"/>
          <w:sz w:val="32"/>
          <w:szCs w:val="32"/>
          <w:highlight w:val="none"/>
          <w:lang w:val="en-US" w:eastAsia="zh-CN" w:bidi="en-US"/>
        </w:rPr>
      </w:pPr>
      <w:r>
        <w:rPr>
          <w:rFonts w:hint="default" w:ascii="仿宋" w:hAnsi="仿宋" w:eastAsia="仿宋" w:cs="仿宋"/>
          <w:color w:val="auto"/>
          <w:kern w:val="0"/>
          <w:sz w:val="32"/>
          <w:szCs w:val="32"/>
          <w:highlight w:val="none"/>
          <w:lang w:val="en-US" w:eastAsia="zh-CN" w:bidi="ar"/>
        </w:rPr>
        <w:t>（</w:t>
      </w:r>
      <w:r>
        <w:rPr>
          <w:rFonts w:hint="eastAsia" w:ascii="仿宋" w:hAnsi="仿宋" w:eastAsia="仿宋" w:cs="仿宋"/>
          <w:color w:val="auto"/>
          <w:kern w:val="0"/>
          <w:sz w:val="32"/>
          <w:szCs w:val="32"/>
          <w:highlight w:val="none"/>
          <w:lang w:val="en-US" w:eastAsia="zh-CN" w:bidi="ar"/>
        </w:rPr>
        <w:t>三</w:t>
      </w:r>
      <w:r>
        <w:rPr>
          <w:rFonts w:hint="default" w:ascii="仿宋" w:hAnsi="仿宋" w:eastAsia="仿宋" w:cs="仿宋"/>
          <w:color w:val="auto"/>
          <w:kern w:val="0"/>
          <w:sz w:val="32"/>
          <w:szCs w:val="32"/>
          <w:highlight w:val="none"/>
          <w:lang w:val="en-US" w:eastAsia="zh-CN" w:bidi="ar"/>
        </w:rPr>
        <w:t>）</w:t>
      </w:r>
      <w:r>
        <w:rPr>
          <w:rFonts w:hint="eastAsia" w:ascii="仿宋" w:hAnsi="仿宋" w:eastAsia="仿宋" w:cs="仿宋"/>
          <w:color w:val="auto"/>
          <w:kern w:val="0"/>
          <w:sz w:val="32"/>
          <w:szCs w:val="32"/>
          <w:highlight w:val="none"/>
          <w:lang w:val="en-US" w:eastAsia="zh-CN" w:bidi="ar"/>
        </w:rPr>
        <w:t>预付</w:t>
      </w:r>
      <w:r>
        <w:rPr>
          <w:rFonts w:hint="default" w:ascii="仿宋" w:hAnsi="仿宋" w:eastAsia="仿宋" w:cs="仿宋"/>
          <w:color w:val="auto"/>
          <w:kern w:val="0"/>
          <w:sz w:val="32"/>
          <w:szCs w:val="32"/>
          <w:highlight w:val="none"/>
          <w:lang w:val="en-US" w:eastAsia="zh-CN" w:bidi="ar"/>
        </w:rPr>
        <w:t>点值=</w:t>
      </w:r>
      <w:r>
        <w:rPr>
          <w:rFonts w:hint="eastAsia" w:ascii="仿宋" w:hAnsi="仿宋" w:eastAsia="仿宋" w:cs="仿宋"/>
          <w:color w:val="auto"/>
          <w:kern w:val="0"/>
          <w:sz w:val="32"/>
          <w:szCs w:val="32"/>
          <w:highlight w:val="none"/>
          <w:lang w:val="en-US" w:eastAsia="zh-CN" w:bidi="ar"/>
        </w:rPr>
        <w:t>统筹区定点</w:t>
      </w:r>
      <w:r>
        <w:rPr>
          <w:rFonts w:hint="default" w:ascii="仿宋" w:hAnsi="仿宋" w:eastAsia="仿宋" w:cs="仿宋"/>
          <w:color w:val="auto"/>
          <w:kern w:val="0"/>
          <w:sz w:val="32"/>
          <w:szCs w:val="32"/>
          <w:highlight w:val="none"/>
          <w:lang w:val="en-US" w:eastAsia="zh-CN" w:bidi="ar"/>
        </w:rPr>
        <w:t>机构门诊预算总额÷统筹区门诊总点数</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黑体" w:hAnsi="黑体" w:eastAsia="黑体" w:cs="黑体"/>
          <w:b w:val="0"/>
          <w:bCs/>
          <w:color w:val="auto"/>
          <w:sz w:val="32"/>
          <w:szCs w:val="32"/>
          <w:highlight w:val="none"/>
          <w:lang w:eastAsia="zh-CN" w:bidi="en-US"/>
        </w:rPr>
      </w:pPr>
      <w:r>
        <w:rPr>
          <w:rFonts w:hint="default" w:ascii="黑体" w:hAnsi="黑体" w:eastAsia="黑体" w:cs="黑体"/>
          <w:b w:val="0"/>
          <w:bCs/>
          <w:color w:val="auto"/>
          <w:sz w:val="32"/>
          <w:szCs w:val="32"/>
          <w:highlight w:val="none"/>
          <w:lang w:val="en-US" w:eastAsia="zh-CN" w:bidi="en-US"/>
        </w:rPr>
        <w:t>第</w:t>
      </w:r>
      <w:r>
        <w:rPr>
          <w:rFonts w:hint="eastAsia" w:ascii="黑体" w:hAnsi="黑体" w:eastAsia="黑体" w:cs="黑体"/>
          <w:b w:val="0"/>
          <w:bCs/>
          <w:color w:val="auto"/>
          <w:sz w:val="32"/>
          <w:szCs w:val="32"/>
          <w:highlight w:val="none"/>
          <w:lang w:val="en-US" w:eastAsia="zh-CN" w:bidi="en-US"/>
        </w:rPr>
        <w:t>十九</w:t>
      </w:r>
      <w:r>
        <w:rPr>
          <w:rFonts w:hint="default" w:ascii="黑体" w:hAnsi="黑体" w:eastAsia="黑体" w:cs="黑体"/>
          <w:b w:val="0"/>
          <w:bCs/>
          <w:color w:val="auto"/>
          <w:sz w:val="32"/>
          <w:szCs w:val="32"/>
          <w:highlight w:val="none"/>
          <w:lang w:val="en-US" w:eastAsia="zh-CN" w:bidi="en-US"/>
        </w:rPr>
        <w:t xml:space="preserve">条  </w:t>
      </w:r>
      <w:r>
        <w:rPr>
          <w:rFonts w:hint="default" w:ascii="黑体" w:hAnsi="黑体" w:eastAsia="黑体" w:cs="黑体"/>
          <w:b w:val="0"/>
          <w:bCs/>
          <w:color w:val="auto"/>
          <w:sz w:val="32"/>
          <w:szCs w:val="32"/>
          <w:highlight w:val="none"/>
          <w:lang w:eastAsia="zh-CN" w:bidi="en-US"/>
        </w:rPr>
        <w:t>【</w:t>
      </w:r>
      <w:r>
        <w:rPr>
          <w:rFonts w:hint="default" w:ascii="黑体" w:hAnsi="黑体" w:eastAsia="黑体" w:cs="黑体"/>
          <w:b w:val="0"/>
          <w:bCs/>
          <w:color w:val="auto"/>
          <w:sz w:val="32"/>
          <w:szCs w:val="32"/>
          <w:highlight w:val="none"/>
          <w:lang w:val="en-US" w:eastAsia="zh-CN" w:bidi="en-US"/>
        </w:rPr>
        <w:t>门诊结算额度和基金结算额度</w:t>
      </w:r>
      <w:r>
        <w:rPr>
          <w:rFonts w:hint="default" w:ascii="黑体" w:hAnsi="黑体" w:eastAsia="黑体" w:cs="黑体"/>
          <w:b w:val="0"/>
          <w:bCs/>
          <w:color w:val="auto"/>
          <w:sz w:val="32"/>
          <w:szCs w:val="32"/>
          <w:highlight w:val="none"/>
          <w:lang w:eastAsia="zh-CN" w:bidi="en-US"/>
        </w:rPr>
        <w:t>】</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 w:hAnsi="仿宋" w:eastAsia="仿宋" w:cs="仿宋"/>
          <w:color w:val="auto"/>
          <w:kern w:val="0"/>
          <w:sz w:val="32"/>
          <w:szCs w:val="32"/>
          <w:highlight w:val="none"/>
          <w:lang w:val="en-US" w:eastAsia="zh-CN" w:bidi="ar"/>
        </w:rPr>
      </w:pPr>
      <w:r>
        <w:rPr>
          <w:rFonts w:hint="default" w:ascii="仿宋" w:hAnsi="仿宋" w:eastAsia="仿宋" w:cs="仿宋"/>
          <w:color w:val="auto"/>
          <w:kern w:val="0"/>
          <w:sz w:val="32"/>
          <w:szCs w:val="32"/>
          <w:highlight w:val="none"/>
          <w:lang w:val="en-US" w:eastAsia="zh-CN" w:bidi="ar"/>
        </w:rPr>
        <w:t>（一）</w:t>
      </w:r>
      <w:r>
        <w:rPr>
          <w:rFonts w:hint="eastAsia" w:ascii="仿宋" w:hAnsi="仿宋" w:eastAsia="仿宋" w:cs="仿宋"/>
          <w:color w:val="auto"/>
          <w:kern w:val="0"/>
          <w:sz w:val="32"/>
          <w:szCs w:val="32"/>
          <w:highlight w:val="none"/>
          <w:lang w:val="en-US" w:eastAsia="zh-CN" w:bidi="ar"/>
        </w:rPr>
        <w:t>服务机构</w:t>
      </w:r>
      <w:r>
        <w:rPr>
          <w:rFonts w:hint="default" w:ascii="仿宋" w:hAnsi="仿宋" w:eastAsia="仿宋" w:cs="仿宋"/>
          <w:color w:val="auto"/>
          <w:kern w:val="0"/>
          <w:sz w:val="32"/>
          <w:szCs w:val="32"/>
          <w:highlight w:val="none"/>
          <w:lang w:val="en-US" w:eastAsia="zh-CN" w:bidi="ar"/>
        </w:rPr>
        <w:t>门诊结算额度=人头付费门诊点数*1+点值×该</w:t>
      </w:r>
      <w:r>
        <w:rPr>
          <w:rFonts w:hint="eastAsia" w:ascii="仿宋" w:hAnsi="仿宋" w:eastAsia="仿宋" w:cs="仿宋"/>
          <w:color w:val="auto"/>
          <w:kern w:val="0"/>
          <w:sz w:val="32"/>
          <w:szCs w:val="32"/>
          <w:highlight w:val="none"/>
          <w:lang w:val="en-US" w:eastAsia="zh-CN" w:bidi="ar"/>
        </w:rPr>
        <w:t>服务机构按项目付费的</w:t>
      </w:r>
      <w:r>
        <w:rPr>
          <w:rFonts w:hint="default" w:ascii="仿宋" w:hAnsi="仿宋" w:eastAsia="仿宋" w:cs="仿宋"/>
          <w:color w:val="auto"/>
          <w:kern w:val="0"/>
          <w:sz w:val="32"/>
          <w:szCs w:val="32"/>
          <w:highlight w:val="none"/>
          <w:lang w:val="en-US" w:eastAsia="zh-CN" w:bidi="ar"/>
        </w:rPr>
        <w:t>门诊总点数</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2312" w:hAnsi="方正仿宋_GB2312" w:eastAsia="方正仿宋_GB2312" w:cs="方正仿宋_GB2312"/>
          <w:color w:val="auto"/>
          <w:sz w:val="32"/>
          <w:szCs w:val="32"/>
          <w:highlight w:val="none"/>
          <w:lang w:val="en-US" w:eastAsia="zh-CN" w:bidi="en-US"/>
        </w:rPr>
      </w:pPr>
      <w:r>
        <w:rPr>
          <w:rFonts w:hint="default" w:ascii="仿宋" w:hAnsi="仿宋" w:eastAsia="仿宋" w:cs="仿宋"/>
          <w:color w:val="auto"/>
          <w:kern w:val="0"/>
          <w:sz w:val="32"/>
          <w:szCs w:val="32"/>
          <w:highlight w:val="none"/>
          <w:lang w:val="en-US" w:eastAsia="zh-CN" w:bidi="ar"/>
        </w:rPr>
        <w:t>（二）</w:t>
      </w:r>
      <w:r>
        <w:rPr>
          <w:rFonts w:hint="eastAsia" w:ascii="仿宋" w:hAnsi="仿宋" w:eastAsia="仿宋" w:cs="仿宋"/>
          <w:color w:val="auto"/>
          <w:kern w:val="0"/>
          <w:sz w:val="32"/>
          <w:szCs w:val="32"/>
          <w:highlight w:val="none"/>
          <w:lang w:val="en-US" w:eastAsia="zh-CN" w:bidi="ar"/>
        </w:rPr>
        <w:t>服务机构</w:t>
      </w:r>
      <w:r>
        <w:rPr>
          <w:rFonts w:hint="default" w:ascii="仿宋" w:hAnsi="仿宋" w:eastAsia="仿宋" w:cs="仿宋"/>
          <w:color w:val="auto"/>
          <w:kern w:val="0"/>
          <w:sz w:val="32"/>
          <w:szCs w:val="32"/>
          <w:highlight w:val="none"/>
          <w:lang w:val="en-US" w:eastAsia="zh-CN" w:bidi="ar"/>
        </w:rPr>
        <w:t>门诊基金结算额度=</w:t>
      </w:r>
      <w:r>
        <w:rPr>
          <w:rFonts w:hint="eastAsia" w:ascii="仿宋" w:hAnsi="仿宋" w:eastAsia="仿宋" w:cs="仿宋"/>
          <w:color w:val="auto"/>
          <w:kern w:val="0"/>
          <w:sz w:val="32"/>
          <w:szCs w:val="32"/>
          <w:highlight w:val="none"/>
          <w:lang w:val="en-US" w:eastAsia="zh-CN" w:bidi="ar"/>
        </w:rPr>
        <w:t>服务机构</w:t>
      </w:r>
      <w:r>
        <w:rPr>
          <w:rFonts w:hint="default" w:ascii="仿宋" w:hAnsi="仿宋" w:eastAsia="仿宋" w:cs="仿宋"/>
          <w:color w:val="auto"/>
          <w:kern w:val="0"/>
          <w:sz w:val="32"/>
          <w:szCs w:val="32"/>
          <w:highlight w:val="none"/>
          <w:lang w:val="en-US" w:eastAsia="zh-CN" w:bidi="ar"/>
        </w:rPr>
        <w:t>门诊结算额度</w:t>
      </w:r>
      <w:r>
        <w:rPr>
          <w:rFonts w:hint="eastAsia" w:ascii="仿宋" w:hAnsi="仿宋" w:eastAsia="仿宋" w:cs="仿宋"/>
          <w:color w:val="auto"/>
          <w:kern w:val="0"/>
          <w:sz w:val="32"/>
          <w:szCs w:val="32"/>
          <w:highlight w:val="none"/>
          <w:lang w:val="en-US" w:eastAsia="zh-CN" w:bidi="ar"/>
        </w:rPr>
        <w:t>-个人负担费用</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2312" w:hAnsi="方正仿宋_GB2312" w:eastAsia="方正仿宋_GB2312" w:cs="方正仿宋_GB2312"/>
          <w:color w:val="auto"/>
          <w:sz w:val="32"/>
          <w:szCs w:val="32"/>
          <w:highlight w:val="none"/>
          <w:lang w:val="en-US" w:eastAsia="zh-CN" w:bidi="en-US"/>
        </w:rPr>
      </w:pPr>
      <w:r>
        <w:rPr>
          <w:rFonts w:hint="default" w:ascii="黑体" w:hAnsi="黑体" w:eastAsia="黑体" w:cs="黑体"/>
          <w:b w:val="0"/>
          <w:bCs/>
          <w:color w:val="auto"/>
          <w:sz w:val="32"/>
          <w:szCs w:val="32"/>
          <w:highlight w:val="none"/>
          <w:lang w:val="en-US" w:eastAsia="zh-CN" w:bidi="en-US"/>
        </w:rPr>
        <w:t>第</w:t>
      </w:r>
      <w:r>
        <w:rPr>
          <w:rFonts w:hint="eastAsia" w:ascii="黑体" w:hAnsi="黑体" w:eastAsia="黑体" w:cs="黑体"/>
          <w:b w:val="0"/>
          <w:bCs/>
          <w:color w:val="auto"/>
          <w:sz w:val="32"/>
          <w:szCs w:val="32"/>
          <w:highlight w:val="none"/>
          <w:lang w:val="en-US" w:eastAsia="zh-CN" w:bidi="en-US"/>
        </w:rPr>
        <w:t>二十</w:t>
      </w:r>
      <w:r>
        <w:rPr>
          <w:rFonts w:hint="default" w:ascii="黑体" w:hAnsi="黑体" w:eastAsia="黑体" w:cs="黑体"/>
          <w:b w:val="0"/>
          <w:bCs/>
          <w:color w:val="auto"/>
          <w:sz w:val="32"/>
          <w:szCs w:val="32"/>
          <w:highlight w:val="none"/>
          <w:lang w:val="en-US" w:eastAsia="zh-CN" w:bidi="en-US"/>
        </w:rPr>
        <w:t xml:space="preserve">条  </w:t>
      </w:r>
      <w:r>
        <w:rPr>
          <w:rFonts w:hint="default" w:ascii="黑体" w:hAnsi="黑体" w:eastAsia="黑体" w:cs="黑体"/>
          <w:b w:val="0"/>
          <w:bCs/>
          <w:color w:val="auto"/>
          <w:sz w:val="32"/>
          <w:szCs w:val="32"/>
          <w:highlight w:val="none"/>
          <w:lang w:eastAsia="zh-CN" w:bidi="en-US"/>
        </w:rPr>
        <w:t>【年度门诊点数和结算额度】</w:t>
      </w:r>
      <w:r>
        <w:rPr>
          <w:rFonts w:hint="default" w:ascii="仿宋" w:hAnsi="仿宋" w:eastAsia="仿宋" w:cs="仿宋"/>
          <w:color w:val="auto"/>
          <w:kern w:val="0"/>
          <w:sz w:val="32"/>
          <w:szCs w:val="32"/>
          <w:highlight w:val="none"/>
          <w:lang w:val="en-US" w:eastAsia="zh-CN" w:bidi="ar"/>
        </w:rPr>
        <w:t>计算年度门诊点数和结算额度时，日期范围为一个自然年度。</w:t>
      </w:r>
      <w:r>
        <w:rPr>
          <w:rFonts w:hint="eastAsia" w:ascii="仿宋" w:hAnsi="仿宋" w:eastAsia="仿宋" w:cs="仿宋"/>
          <w:color w:val="auto"/>
          <w:kern w:val="0"/>
          <w:sz w:val="32"/>
          <w:szCs w:val="32"/>
          <w:highlight w:val="none"/>
          <w:lang w:val="en-US" w:eastAsia="zh-CN" w:bidi="ar"/>
        </w:rPr>
        <w:t>年度门诊结算实际付费点值=年度结算门诊基金决算额度÷年度门诊实际平均报销比÷年度门诊总付费点数。（年度门诊实际平均报销比指纳入点数法计算的所有基金项的门诊年度决算额度与年度门诊医疗总费用的比值）</w:t>
      </w:r>
    </w:p>
    <w:p>
      <w:pPr>
        <w:keepNext w:val="0"/>
        <w:keepLines w:val="0"/>
        <w:pageBreakBefore w:val="0"/>
        <w:shd w:val="clear" w:color="auto" w:fill="FFFFFF"/>
        <w:kinsoku/>
        <w:overflowPunct/>
        <w:topLinePunct w:val="0"/>
        <w:bidi w:val="0"/>
        <w:adjustRightInd/>
        <w:snapToGrid/>
        <w:spacing w:line="560" w:lineRule="exact"/>
        <w:jc w:val="both"/>
        <w:textAlignment w:val="auto"/>
        <w:rPr>
          <w:rFonts w:hint="eastAsia" w:ascii="黑体" w:hAnsi="黑体" w:eastAsia="黑体" w:cs="黑体"/>
          <w:color w:val="auto"/>
          <w:sz w:val="32"/>
          <w:szCs w:val="32"/>
          <w:highlight w:val="none"/>
        </w:rPr>
      </w:pPr>
    </w:p>
    <w:p>
      <w:pPr>
        <w:keepNext w:val="0"/>
        <w:keepLines w:val="0"/>
        <w:pageBreakBefore w:val="0"/>
        <w:shd w:val="clear" w:color="auto" w:fill="FFFFFF"/>
        <w:kinsoku/>
        <w:overflowPunct/>
        <w:topLinePunct w:val="0"/>
        <w:bidi w:val="0"/>
        <w:adjustRightInd/>
        <w:snapToGrid/>
        <w:spacing w:line="560" w:lineRule="exact"/>
        <w:jc w:val="center"/>
        <w:textAlignment w:val="auto"/>
        <w:outlineLvl w:val="0"/>
        <w:rPr>
          <w:rFonts w:hint="eastAsia" w:ascii="黑体" w:hAnsi="黑体" w:eastAsia="黑体" w:cs="黑体"/>
          <w:color w:val="auto"/>
          <w:sz w:val="32"/>
          <w:szCs w:val="32"/>
          <w:highlight w:val="none"/>
          <w:lang w:val="en-US" w:eastAsia="zh-CN"/>
        </w:rPr>
      </w:pPr>
      <w:bookmarkStart w:id="12" w:name="_Toc28121"/>
      <w:bookmarkStart w:id="13" w:name="_Toc29250"/>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章</w:t>
      </w:r>
      <w:bookmarkEnd w:id="12"/>
      <w:bookmarkEnd w:id="13"/>
      <w:r>
        <w:rPr>
          <w:rFonts w:hint="eastAsia" w:ascii="黑体" w:hAnsi="黑体" w:eastAsia="黑体" w:cs="黑体"/>
          <w:color w:val="auto"/>
          <w:sz w:val="32"/>
          <w:szCs w:val="32"/>
          <w:highlight w:val="none"/>
          <w:lang w:val="en-US" w:eastAsia="zh-CN"/>
        </w:rPr>
        <w:t xml:space="preserve"> 结算管理</w:t>
      </w:r>
    </w:p>
    <w:p>
      <w:pPr>
        <w:pStyle w:val="7"/>
        <w:rPr>
          <w:rFonts w:hint="eastAsia"/>
          <w:color w:val="auto"/>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highlight w:val="none"/>
          <w:lang w:val="en-US" w:eastAsia="zh-CN" w:bidi="ar"/>
        </w:rPr>
      </w:pPr>
      <w:r>
        <w:rPr>
          <w:rFonts w:hint="eastAsia" w:ascii="黑体" w:hAnsi="黑体" w:eastAsia="黑体" w:cs="黑体"/>
          <w:color w:val="auto"/>
          <w:kern w:val="2"/>
          <w:sz w:val="32"/>
          <w:szCs w:val="32"/>
          <w:highlight w:val="none"/>
          <w:lang w:val="en-US" w:eastAsia="zh-CN" w:bidi="ar-SA"/>
        </w:rPr>
        <w:t>第二十一条</w:t>
      </w:r>
      <w:r>
        <w:rPr>
          <w:rFonts w:hint="eastAsia" w:ascii="仿宋" w:hAnsi="仿宋" w:eastAsia="仿宋" w:cs="仿宋"/>
          <w:color w:val="auto"/>
          <w:kern w:val="0"/>
          <w:sz w:val="32"/>
          <w:szCs w:val="32"/>
          <w:highlight w:val="none"/>
          <w:lang w:val="en-US" w:eastAsia="zh-CN" w:bidi="ar"/>
        </w:rPr>
        <w:t xml:space="preserve"> 参与结算费用应同时符合以下要求：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1.完成对账工作且对账通过；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2.按规定及时上传基金结算清单的费用且质控通过；</w:t>
      </w:r>
    </w:p>
    <w:p>
      <w:pPr>
        <w:pStyle w:val="7"/>
        <w:rPr>
          <w:rFonts w:hint="default"/>
          <w:color w:val="auto"/>
          <w:highlight w:val="none"/>
          <w:lang w:val="en-US" w:eastAsia="zh-CN"/>
        </w:rPr>
      </w:pPr>
      <w:r>
        <w:rPr>
          <w:rFonts w:hint="eastAsia" w:ascii="仿宋" w:hAnsi="仿宋" w:eastAsia="仿宋" w:cs="仿宋"/>
          <w:color w:val="auto"/>
          <w:kern w:val="0"/>
          <w:sz w:val="32"/>
          <w:szCs w:val="32"/>
          <w:highlight w:val="none"/>
          <w:lang w:val="en-US" w:eastAsia="zh-CN" w:bidi="ar"/>
        </w:rPr>
        <w:t xml:space="preserve">    3.及时进行结算申报。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kern w:val="2"/>
          <w:sz w:val="32"/>
          <w:szCs w:val="32"/>
          <w:highlight w:val="none"/>
          <w:lang w:eastAsia="zh-CN" w:bidi="ar-SA"/>
        </w:rPr>
      </w:pPr>
      <w:r>
        <w:rPr>
          <w:rFonts w:hint="eastAsia" w:ascii="仿宋" w:hAnsi="仿宋" w:eastAsia="仿宋" w:cs="仿宋"/>
          <w:color w:val="auto"/>
          <w:kern w:val="0"/>
          <w:sz w:val="32"/>
          <w:szCs w:val="32"/>
          <w:highlight w:val="none"/>
          <w:lang w:val="en-US" w:eastAsia="zh-CN" w:bidi="ar"/>
        </w:rPr>
        <w:t>原则上，应上传未上传结算清单或上传的清单</w:t>
      </w:r>
      <w:r>
        <w:rPr>
          <w:rFonts w:hint="default" w:ascii="仿宋" w:hAnsi="仿宋" w:eastAsia="仿宋" w:cs="仿宋"/>
          <w:color w:val="auto"/>
          <w:kern w:val="0"/>
          <w:sz w:val="32"/>
          <w:szCs w:val="32"/>
          <w:highlight w:val="none"/>
          <w:lang w:val="en-US" w:eastAsia="zh-CN" w:bidi="ar"/>
        </w:rPr>
        <w:t>未通过质控的</w:t>
      </w:r>
      <w:r>
        <w:rPr>
          <w:rFonts w:hint="eastAsia" w:ascii="仿宋" w:hAnsi="仿宋" w:eastAsia="仿宋" w:cs="仿宋"/>
          <w:color w:val="auto"/>
          <w:kern w:val="0"/>
          <w:sz w:val="32"/>
          <w:szCs w:val="32"/>
          <w:highlight w:val="none"/>
          <w:lang w:val="en-US" w:eastAsia="zh-CN" w:bidi="ar"/>
        </w:rPr>
        <w:t>费用，月度及季度预结时暂不予拨付（也可按最低权重（点值）结算），年终结算前定点服务机构提出补充意见并提供相应证据的，予以补充结算。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highlight w:val="none"/>
          <w:lang w:val="en-US" w:eastAsia="zh-CN" w:bidi="ar"/>
        </w:rPr>
      </w:pPr>
      <w:r>
        <w:rPr>
          <w:rFonts w:hint="default" w:ascii="黑体" w:hAnsi="黑体" w:eastAsia="黑体" w:cs="黑体"/>
          <w:color w:val="auto"/>
          <w:kern w:val="2"/>
          <w:sz w:val="32"/>
          <w:szCs w:val="32"/>
          <w:highlight w:val="none"/>
          <w:lang w:eastAsia="zh-CN" w:bidi="ar-SA"/>
        </w:rPr>
        <w:t>第</w:t>
      </w:r>
      <w:r>
        <w:rPr>
          <w:rFonts w:hint="eastAsia" w:ascii="黑体" w:hAnsi="黑体" w:eastAsia="黑体" w:cs="黑体"/>
          <w:color w:val="auto"/>
          <w:kern w:val="2"/>
          <w:sz w:val="32"/>
          <w:szCs w:val="32"/>
          <w:highlight w:val="none"/>
          <w:lang w:val="en-US" w:eastAsia="zh-CN" w:bidi="ar-SA"/>
        </w:rPr>
        <w:t>二十二</w:t>
      </w:r>
      <w:r>
        <w:rPr>
          <w:rFonts w:hint="default" w:ascii="黑体" w:hAnsi="黑体" w:eastAsia="黑体" w:cs="黑体"/>
          <w:color w:val="auto"/>
          <w:kern w:val="2"/>
          <w:sz w:val="32"/>
          <w:szCs w:val="32"/>
          <w:highlight w:val="none"/>
          <w:lang w:eastAsia="zh-CN" w:bidi="ar-SA"/>
        </w:rPr>
        <w:t>条</w:t>
      </w:r>
      <w:r>
        <w:rPr>
          <w:rFonts w:hint="eastAsia" w:ascii="黑体" w:hAnsi="黑体" w:eastAsia="黑体" w:cs="黑体"/>
          <w:color w:val="auto"/>
          <w:kern w:val="2"/>
          <w:sz w:val="32"/>
          <w:szCs w:val="32"/>
          <w:highlight w:val="none"/>
          <w:lang w:val="en-US" w:eastAsia="zh-CN" w:bidi="ar-SA"/>
        </w:rPr>
        <w:t xml:space="preserve"> 【月度预付流程】</w:t>
      </w:r>
      <w:r>
        <w:rPr>
          <w:rFonts w:hint="default" w:ascii="仿宋" w:hAnsi="仿宋" w:eastAsia="仿宋" w:cs="仿宋"/>
          <w:color w:val="auto"/>
          <w:kern w:val="0"/>
          <w:sz w:val="32"/>
          <w:szCs w:val="32"/>
          <w:highlight w:val="none"/>
          <w:lang w:val="en-US" w:eastAsia="zh-CN" w:bidi="ar"/>
        </w:rPr>
        <w:t>月度预付按照</w:t>
      </w:r>
      <w:r>
        <w:rPr>
          <w:rFonts w:hint="eastAsia" w:ascii="仿宋" w:hAnsi="仿宋" w:eastAsia="仿宋" w:cs="仿宋"/>
          <w:color w:val="auto"/>
          <w:kern w:val="0"/>
          <w:sz w:val="32"/>
          <w:szCs w:val="32"/>
          <w:highlight w:val="none"/>
          <w:lang w:val="en-US" w:eastAsia="zh-CN" w:bidi="ar"/>
        </w:rPr>
        <w:t>以下流程执行：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highlight w:val="none"/>
          <w:lang w:val="en-US" w:eastAsia="zh-CN" w:bidi="ar"/>
        </w:rPr>
      </w:pPr>
      <w:r>
        <w:rPr>
          <w:rFonts w:hint="default" w:ascii="仿宋" w:hAnsi="仿宋" w:eastAsia="仿宋" w:cs="仿宋"/>
          <w:color w:val="auto"/>
          <w:kern w:val="0"/>
          <w:sz w:val="32"/>
          <w:szCs w:val="32"/>
          <w:highlight w:val="none"/>
          <w:lang w:val="en-US" w:eastAsia="zh-CN" w:bidi="ar"/>
        </w:rPr>
        <w:t>（一）</w:t>
      </w:r>
      <w:r>
        <w:rPr>
          <w:rFonts w:hint="eastAsia" w:ascii="仿宋" w:hAnsi="仿宋" w:eastAsia="仿宋" w:cs="仿宋"/>
          <w:color w:val="auto"/>
          <w:kern w:val="0"/>
          <w:sz w:val="32"/>
          <w:szCs w:val="32"/>
          <w:highlight w:val="none"/>
          <w:lang w:val="en-US" w:eastAsia="zh-CN" w:bidi="ar"/>
        </w:rPr>
        <w:t>结算费用对账。服务机构应在患者结算当日进行结算数据对账工作，原则上每月对完成日对账工作无误的病例数据纳入结算范围。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color w:val="auto"/>
          <w:kern w:val="0"/>
          <w:sz w:val="32"/>
          <w:szCs w:val="32"/>
          <w:highlight w:val="none"/>
          <w:lang w:val="en-US" w:eastAsia="zh-CN" w:bidi="en-US"/>
        </w:rPr>
      </w:pPr>
      <w:r>
        <w:rPr>
          <w:rFonts w:hint="default" w:ascii="仿宋" w:hAnsi="仿宋" w:eastAsia="仿宋" w:cs="仿宋"/>
          <w:color w:val="auto"/>
          <w:kern w:val="0"/>
          <w:sz w:val="32"/>
          <w:szCs w:val="32"/>
          <w:highlight w:val="none"/>
          <w:lang w:val="en-US" w:eastAsia="zh-CN" w:bidi="ar"/>
        </w:rPr>
        <w:t>（二）</w:t>
      </w:r>
      <w:r>
        <w:rPr>
          <w:rFonts w:hint="eastAsia" w:ascii="仿宋" w:hAnsi="仿宋" w:eastAsia="仿宋" w:cs="仿宋"/>
          <w:color w:val="auto"/>
          <w:kern w:val="0"/>
          <w:sz w:val="32"/>
          <w:szCs w:val="32"/>
          <w:highlight w:val="none"/>
          <w:lang w:val="en-US" w:eastAsia="zh-CN" w:bidi="ar"/>
        </w:rPr>
        <w:t>医保结算清单上传。</w:t>
      </w:r>
      <w:r>
        <w:rPr>
          <w:rFonts w:hint="default" w:ascii="仿宋" w:hAnsi="仿宋" w:eastAsia="仿宋" w:cs="仿宋"/>
          <w:color w:val="auto"/>
          <w:kern w:val="0"/>
          <w:sz w:val="32"/>
          <w:szCs w:val="32"/>
          <w:highlight w:val="none"/>
          <w:lang w:val="en-US" w:eastAsia="zh-CN" w:bidi="ar"/>
        </w:rPr>
        <w:t>对于住院病例，</w:t>
      </w:r>
      <w:r>
        <w:rPr>
          <w:rFonts w:hint="eastAsia" w:ascii="仿宋" w:hAnsi="仿宋" w:eastAsia="仿宋" w:cs="仿宋"/>
          <w:color w:val="auto"/>
          <w:kern w:val="0"/>
          <w:sz w:val="32"/>
          <w:szCs w:val="32"/>
          <w:highlight w:val="none"/>
          <w:lang w:val="en-US" w:eastAsia="zh-CN" w:bidi="ar"/>
        </w:rPr>
        <w:t>原则上各服务机构应在住院患者结算后7日内上传住院结算清单；门诊慢性病及门诊特殊疾病医保结算清单应在患者就诊结算当日上传。经办机构对上传的医保结算清单开展质控，将质控不通过的结算清单反馈给定点服务机构限期整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（三）费用申报。各定点服务机构应在每月10日前，将日对账通过、按时上传结算清单且结算清单质控通过的费用申请月度结算，打印并提交《吉林省定点服务机构医疗保障费用月度结算表》（见附件1）。</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（四）费用审核。经办机构对定点服务机构申请月度结算的医疗费用按规定开展审核。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（五）费用拨付。按照审核通过的</w:t>
      </w:r>
      <w:r>
        <w:rPr>
          <w:rFonts w:hint="default" w:ascii="仿宋" w:hAnsi="仿宋" w:eastAsia="仿宋" w:cs="仿宋"/>
          <w:color w:val="auto"/>
          <w:kern w:val="0"/>
          <w:sz w:val="32"/>
          <w:szCs w:val="32"/>
          <w:highlight w:val="none"/>
          <w:lang w:val="en-US" w:eastAsia="zh-CN" w:bidi="ar"/>
        </w:rPr>
        <w:t>基金</w:t>
      </w:r>
      <w:r>
        <w:rPr>
          <w:rFonts w:hint="eastAsia" w:ascii="仿宋" w:hAnsi="仿宋" w:eastAsia="仿宋" w:cs="仿宋"/>
          <w:color w:val="auto"/>
          <w:kern w:val="0"/>
          <w:sz w:val="32"/>
          <w:szCs w:val="32"/>
          <w:highlight w:val="none"/>
          <w:lang w:val="en-US" w:eastAsia="zh-CN" w:bidi="ar"/>
        </w:rPr>
        <w:t>发生</w:t>
      </w:r>
      <w:r>
        <w:rPr>
          <w:rFonts w:hint="default" w:ascii="仿宋" w:hAnsi="仿宋" w:eastAsia="仿宋" w:cs="仿宋"/>
          <w:color w:val="auto"/>
          <w:kern w:val="0"/>
          <w:sz w:val="32"/>
          <w:szCs w:val="32"/>
          <w:highlight w:val="none"/>
          <w:lang w:val="en-US" w:eastAsia="zh-CN" w:bidi="ar"/>
        </w:rPr>
        <w:t>金额预留</w:t>
      </w:r>
      <w:r>
        <w:rPr>
          <w:rFonts w:hint="eastAsia" w:ascii="仿宋" w:hAnsi="仿宋" w:eastAsia="仿宋" w:cs="仿宋"/>
          <w:color w:val="auto"/>
          <w:kern w:val="0"/>
          <w:sz w:val="32"/>
          <w:szCs w:val="32"/>
          <w:highlight w:val="none"/>
          <w:lang w:val="en-US" w:eastAsia="zh-CN" w:bidi="ar"/>
        </w:rPr>
        <w:t>一定比例（5%—10%）</w:t>
      </w:r>
      <w:r>
        <w:rPr>
          <w:rFonts w:hint="default" w:ascii="仿宋" w:hAnsi="仿宋" w:eastAsia="仿宋" w:cs="仿宋"/>
          <w:color w:val="auto"/>
          <w:kern w:val="0"/>
          <w:sz w:val="32"/>
          <w:szCs w:val="32"/>
          <w:highlight w:val="none"/>
          <w:lang w:val="en-US" w:eastAsia="zh-CN" w:bidi="ar"/>
        </w:rPr>
        <w:t>作为保证金后进行拨付。</w:t>
      </w:r>
      <w:r>
        <w:rPr>
          <w:rFonts w:hint="eastAsia" w:ascii="仿宋" w:hAnsi="仿宋" w:eastAsia="仿宋" w:cs="仿宋"/>
          <w:color w:val="auto"/>
          <w:kern w:val="0"/>
          <w:sz w:val="32"/>
          <w:szCs w:val="32"/>
          <w:highlight w:val="none"/>
          <w:lang w:val="en-US" w:eastAsia="zh-CN" w:bidi="ar"/>
        </w:rPr>
        <w:t>经办机构在定点服务机构申报的20个工作日内将结算款拨付至定点服务机构。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kern w:val="2"/>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
        </w:rPr>
        <w:t>（六）病种（组）分组情况反馈。按月将DRG/DIP分组数据反馈给定点服务机构，便于定点服务机构加强内部管理。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highlight w:val="none"/>
          <w:lang w:val="en-US" w:eastAsia="zh-CN" w:bidi="ar"/>
        </w:rPr>
      </w:pPr>
      <w:r>
        <w:rPr>
          <w:rFonts w:hint="default" w:ascii="黑体" w:hAnsi="黑体" w:eastAsia="黑体" w:cs="黑体"/>
          <w:color w:val="auto"/>
          <w:kern w:val="2"/>
          <w:sz w:val="32"/>
          <w:szCs w:val="32"/>
          <w:highlight w:val="none"/>
          <w:lang w:eastAsia="zh-CN" w:bidi="ar-SA"/>
        </w:rPr>
        <w:t>第</w:t>
      </w:r>
      <w:r>
        <w:rPr>
          <w:rFonts w:hint="eastAsia" w:ascii="黑体" w:hAnsi="黑体" w:eastAsia="黑体" w:cs="黑体"/>
          <w:color w:val="auto"/>
          <w:kern w:val="2"/>
          <w:sz w:val="32"/>
          <w:szCs w:val="32"/>
          <w:highlight w:val="none"/>
          <w:lang w:val="en-US" w:eastAsia="zh-CN" w:bidi="ar-SA"/>
        </w:rPr>
        <w:t>二十三</w:t>
      </w:r>
      <w:r>
        <w:rPr>
          <w:rFonts w:hint="default" w:ascii="黑体" w:hAnsi="黑体" w:eastAsia="黑体" w:cs="黑体"/>
          <w:color w:val="auto"/>
          <w:kern w:val="2"/>
          <w:sz w:val="32"/>
          <w:szCs w:val="32"/>
          <w:highlight w:val="none"/>
          <w:lang w:eastAsia="zh-CN" w:bidi="ar-SA"/>
        </w:rPr>
        <w:t>条</w:t>
      </w:r>
      <w:r>
        <w:rPr>
          <w:rFonts w:hint="eastAsia" w:ascii="黑体" w:hAnsi="黑体" w:eastAsia="黑体" w:cs="黑体"/>
          <w:color w:val="auto"/>
          <w:kern w:val="2"/>
          <w:sz w:val="32"/>
          <w:szCs w:val="32"/>
          <w:highlight w:val="none"/>
          <w:lang w:val="en-US" w:eastAsia="zh-CN" w:bidi="ar-SA"/>
        </w:rPr>
        <w:t xml:space="preserve"> </w:t>
      </w:r>
      <w:r>
        <w:rPr>
          <w:rFonts w:hint="default" w:ascii="黑体" w:hAnsi="黑体" w:eastAsia="黑体" w:cs="黑体"/>
          <w:color w:val="auto"/>
          <w:kern w:val="2"/>
          <w:sz w:val="32"/>
          <w:szCs w:val="32"/>
          <w:highlight w:val="none"/>
          <w:lang w:eastAsia="zh-CN" w:bidi="ar-SA"/>
        </w:rPr>
        <w:t>【</w:t>
      </w:r>
      <w:r>
        <w:rPr>
          <w:rFonts w:hint="eastAsia" w:ascii="黑体" w:hAnsi="黑体" w:eastAsia="黑体" w:cs="黑体"/>
          <w:color w:val="auto"/>
          <w:kern w:val="2"/>
          <w:sz w:val="32"/>
          <w:szCs w:val="32"/>
          <w:highlight w:val="none"/>
          <w:lang w:val="en-US" w:eastAsia="zh-CN" w:bidi="ar-SA"/>
        </w:rPr>
        <w:t>季</w:t>
      </w:r>
      <w:r>
        <w:rPr>
          <w:rFonts w:hint="default" w:ascii="黑体" w:hAnsi="黑体" w:eastAsia="黑体" w:cs="黑体"/>
          <w:color w:val="auto"/>
          <w:kern w:val="2"/>
          <w:sz w:val="32"/>
          <w:szCs w:val="32"/>
          <w:highlight w:val="none"/>
          <w:lang w:eastAsia="zh-CN" w:bidi="ar-SA"/>
        </w:rPr>
        <w:t>度结算流程】</w:t>
      </w:r>
      <w:r>
        <w:rPr>
          <w:rFonts w:hint="eastAsia" w:ascii="仿宋" w:hAnsi="仿宋" w:eastAsia="仿宋" w:cs="仿宋"/>
          <w:color w:val="auto"/>
          <w:kern w:val="0"/>
          <w:sz w:val="32"/>
          <w:szCs w:val="32"/>
          <w:highlight w:val="none"/>
          <w:lang w:val="en-US" w:eastAsia="zh-CN" w:bidi="ar"/>
        </w:rPr>
        <w:t>季度结算按以下流程执行：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highlight w:val="none"/>
          <w:lang w:val="en-US" w:eastAsia="zh-CN" w:bidi="ar"/>
        </w:rPr>
      </w:pPr>
      <w:bookmarkStart w:id="14" w:name="_Toc9165"/>
      <w:bookmarkStart w:id="15" w:name="_Toc1069"/>
      <w:r>
        <w:rPr>
          <w:rFonts w:hint="eastAsia" w:ascii="仿宋" w:hAnsi="仿宋" w:eastAsia="仿宋" w:cs="仿宋"/>
          <w:color w:val="auto"/>
          <w:kern w:val="0"/>
          <w:sz w:val="32"/>
          <w:szCs w:val="32"/>
          <w:highlight w:val="none"/>
          <w:lang w:val="en-US" w:eastAsia="zh-CN" w:bidi="ar"/>
        </w:rPr>
        <w:t>（一）病种（组）付费分组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1.预分组。经办机构在每季度首月17日前将上季度定点服务机构申请结算的按病种（组）付费费用进行预分组。</w:t>
      </w:r>
    </w:p>
    <w:p>
      <w:pPr>
        <w:pStyle w:val="7"/>
        <w:numPr>
          <w:ilvl w:val="0"/>
          <w:numId w:val="0"/>
        </w:numPr>
        <w:ind w:firstLine="640" w:firstLineChars="200"/>
        <w:rPr>
          <w:rFonts w:hint="default"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2.反馈。经办机构将预分组结果反馈至定点服务机构；定点服务机构对分组结果有异议的，应在3个工作日内进行反馈，需补充上传基金结算清单的应同步上传。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3.正式分组。经办机构每季度首月25日前将上季度定点服务机构申请结算的按病种（组）付费费用进行正式分组，并固化数据。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（二）计算付费</w:t>
      </w:r>
      <w:r>
        <w:rPr>
          <w:rFonts w:hint="default" w:ascii="仿宋" w:hAnsi="仿宋" w:eastAsia="仿宋" w:cs="仿宋"/>
          <w:color w:val="auto"/>
          <w:kern w:val="0"/>
          <w:sz w:val="32"/>
          <w:szCs w:val="32"/>
          <w:highlight w:val="none"/>
          <w:lang w:val="en-US" w:eastAsia="zh-CN" w:bidi="ar"/>
        </w:rPr>
        <w:t>点数</w:t>
      </w:r>
      <w:r>
        <w:rPr>
          <w:rFonts w:hint="eastAsia" w:ascii="仿宋" w:hAnsi="仿宋" w:eastAsia="仿宋" w:cs="仿宋"/>
          <w:color w:val="auto"/>
          <w:kern w:val="0"/>
          <w:sz w:val="32"/>
          <w:szCs w:val="32"/>
          <w:highlight w:val="none"/>
          <w:lang w:val="en-US" w:eastAsia="zh-CN" w:bidi="ar"/>
        </w:rPr>
        <w:t>及点值</w:t>
      </w:r>
      <w:r>
        <w:rPr>
          <w:rFonts w:hint="default" w:ascii="仿宋" w:hAnsi="仿宋" w:eastAsia="仿宋" w:cs="仿宋"/>
          <w:color w:val="auto"/>
          <w:kern w:val="0"/>
          <w:sz w:val="32"/>
          <w:szCs w:val="32"/>
          <w:highlight w:val="none"/>
          <w:lang w:val="en-US" w:eastAsia="zh-CN"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1.经办机构</w:t>
      </w:r>
      <w:bookmarkEnd w:id="14"/>
      <w:bookmarkEnd w:id="15"/>
      <w:r>
        <w:rPr>
          <w:rFonts w:hint="eastAsia" w:ascii="仿宋" w:hAnsi="仿宋" w:eastAsia="仿宋" w:cs="仿宋"/>
          <w:color w:val="auto"/>
          <w:kern w:val="0"/>
          <w:sz w:val="32"/>
          <w:szCs w:val="32"/>
          <w:highlight w:val="none"/>
          <w:lang w:val="en-US" w:eastAsia="zh-CN" w:bidi="ar"/>
        </w:rPr>
        <w:t>将待结算费用统一转化为可比点数，</w:t>
      </w:r>
      <w:r>
        <w:rPr>
          <w:rFonts w:hint="default" w:ascii="仿宋" w:hAnsi="仿宋" w:eastAsia="仿宋" w:cs="仿宋"/>
          <w:color w:val="auto"/>
          <w:kern w:val="0"/>
          <w:sz w:val="32"/>
          <w:szCs w:val="32"/>
          <w:highlight w:val="none"/>
          <w:lang w:val="en-US" w:eastAsia="zh-CN" w:bidi="ar"/>
        </w:rPr>
        <w:t>分别</w:t>
      </w:r>
      <w:r>
        <w:rPr>
          <w:rFonts w:hint="eastAsia" w:ascii="仿宋" w:hAnsi="仿宋" w:eastAsia="仿宋" w:cs="仿宋"/>
          <w:color w:val="auto"/>
          <w:kern w:val="0"/>
          <w:sz w:val="32"/>
          <w:szCs w:val="32"/>
          <w:highlight w:val="none"/>
          <w:lang w:val="en-US" w:eastAsia="zh-CN" w:bidi="ar"/>
        </w:rPr>
        <w:t>核定各定点服务机构上季度</w:t>
      </w:r>
      <w:r>
        <w:rPr>
          <w:rFonts w:hint="default" w:ascii="仿宋" w:hAnsi="仿宋" w:eastAsia="仿宋" w:cs="仿宋"/>
          <w:color w:val="auto"/>
          <w:kern w:val="0"/>
          <w:sz w:val="32"/>
          <w:szCs w:val="32"/>
          <w:highlight w:val="none"/>
          <w:lang w:val="en-US" w:eastAsia="zh-CN" w:bidi="ar"/>
        </w:rPr>
        <w:t>门诊、住院</w:t>
      </w:r>
      <w:r>
        <w:rPr>
          <w:rFonts w:hint="eastAsia" w:ascii="仿宋" w:hAnsi="仿宋" w:eastAsia="仿宋" w:cs="仿宋"/>
          <w:color w:val="auto"/>
          <w:kern w:val="0"/>
          <w:sz w:val="32"/>
          <w:szCs w:val="32"/>
          <w:highlight w:val="none"/>
          <w:lang w:val="en-US" w:eastAsia="zh-CN" w:bidi="ar"/>
        </w:rPr>
        <w:t>完成的总付费点数。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2.</w:t>
      </w:r>
      <w:r>
        <w:rPr>
          <w:rFonts w:hint="default" w:ascii="仿宋" w:hAnsi="仿宋" w:eastAsia="仿宋" w:cs="仿宋"/>
          <w:color w:val="auto"/>
          <w:kern w:val="0"/>
          <w:sz w:val="32"/>
          <w:szCs w:val="32"/>
          <w:highlight w:val="none"/>
          <w:lang w:val="en-US" w:eastAsia="zh-CN" w:bidi="ar"/>
        </w:rPr>
        <w:t>分别</w:t>
      </w:r>
      <w:r>
        <w:rPr>
          <w:rFonts w:hint="eastAsia" w:ascii="仿宋" w:hAnsi="仿宋" w:eastAsia="仿宋" w:cs="仿宋"/>
          <w:color w:val="auto"/>
          <w:kern w:val="0"/>
          <w:sz w:val="32"/>
          <w:szCs w:val="32"/>
          <w:highlight w:val="none"/>
          <w:lang w:val="en-US" w:eastAsia="zh-CN" w:bidi="ar"/>
        </w:rPr>
        <w:t>核定</w:t>
      </w:r>
      <w:r>
        <w:rPr>
          <w:rFonts w:hint="default" w:ascii="仿宋" w:hAnsi="仿宋" w:eastAsia="仿宋" w:cs="仿宋"/>
          <w:color w:val="auto"/>
          <w:kern w:val="0"/>
          <w:sz w:val="32"/>
          <w:szCs w:val="32"/>
          <w:highlight w:val="none"/>
          <w:lang w:val="en-US" w:eastAsia="zh-CN" w:bidi="ar"/>
        </w:rPr>
        <w:t>统筹区</w:t>
      </w:r>
      <w:r>
        <w:rPr>
          <w:rFonts w:hint="eastAsia" w:ascii="仿宋" w:hAnsi="仿宋" w:eastAsia="仿宋" w:cs="仿宋"/>
          <w:color w:val="auto"/>
          <w:kern w:val="0"/>
          <w:sz w:val="32"/>
          <w:szCs w:val="32"/>
          <w:highlight w:val="none"/>
          <w:lang w:val="en-US" w:eastAsia="zh-CN" w:bidi="ar"/>
        </w:rPr>
        <w:t>定点服务机构上季度完成的</w:t>
      </w:r>
      <w:r>
        <w:rPr>
          <w:rFonts w:hint="default" w:ascii="仿宋" w:hAnsi="仿宋" w:eastAsia="仿宋" w:cs="仿宋"/>
          <w:color w:val="auto"/>
          <w:kern w:val="0"/>
          <w:sz w:val="32"/>
          <w:szCs w:val="32"/>
          <w:highlight w:val="none"/>
          <w:lang w:val="en-US" w:eastAsia="zh-CN" w:bidi="ar"/>
        </w:rPr>
        <w:t>门诊、住院</w:t>
      </w:r>
      <w:r>
        <w:rPr>
          <w:rFonts w:hint="eastAsia" w:ascii="仿宋" w:hAnsi="仿宋" w:eastAsia="仿宋" w:cs="仿宋"/>
          <w:color w:val="auto"/>
          <w:kern w:val="0"/>
          <w:sz w:val="32"/>
          <w:szCs w:val="32"/>
          <w:highlight w:val="none"/>
          <w:lang w:val="en-US" w:eastAsia="zh-CN" w:bidi="ar"/>
        </w:rPr>
        <w:t>总点数。</w:t>
      </w:r>
      <w:r>
        <w:rPr>
          <w:rFonts w:hint="eastAsia" w:ascii="仿宋" w:hAnsi="仿宋" w:eastAsia="仿宋" w:cs="仿宋"/>
          <w:color w:val="auto"/>
          <w:kern w:val="0"/>
          <w:sz w:val="32"/>
          <w:szCs w:val="32"/>
          <w:highlight w:val="none"/>
          <w:lang w:val="en" w:eastAsia="zh-CN" w:bidi="ar"/>
        </w:rPr>
        <w:t>以</w:t>
      </w:r>
      <w:r>
        <w:rPr>
          <w:rFonts w:hint="eastAsia" w:ascii="仿宋" w:hAnsi="仿宋" w:eastAsia="仿宋" w:cs="仿宋"/>
          <w:color w:val="auto"/>
          <w:kern w:val="0"/>
          <w:sz w:val="32"/>
          <w:szCs w:val="32"/>
          <w:highlight w:val="none"/>
          <w:lang w:val="en-US" w:eastAsia="zh-CN" w:bidi="ar"/>
        </w:rPr>
        <w:t>季度</w:t>
      </w:r>
      <w:r>
        <w:rPr>
          <w:rFonts w:hint="default" w:ascii="仿宋" w:hAnsi="仿宋" w:eastAsia="仿宋" w:cs="仿宋"/>
          <w:color w:val="auto"/>
          <w:kern w:val="0"/>
          <w:sz w:val="32"/>
          <w:szCs w:val="32"/>
          <w:highlight w:val="none"/>
          <w:lang w:val="en-US" w:eastAsia="zh-CN" w:bidi="ar"/>
        </w:rPr>
        <w:t>门诊、住院</w:t>
      </w:r>
      <w:r>
        <w:rPr>
          <w:rFonts w:hint="eastAsia" w:ascii="仿宋" w:hAnsi="仿宋" w:eastAsia="仿宋" w:cs="仿宋"/>
          <w:color w:val="auto"/>
          <w:kern w:val="0"/>
          <w:sz w:val="32"/>
          <w:szCs w:val="32"/>
          <w:highlight w:val="none"/>
          <w:lang w:val="en" w:eastAsia="zh-CN" w:bidi="ar"/>
        </w:rPr>
        <w:t>服务机构</w:t>
      </w:r>
      <w:r>
        <w:rPr>
          <w:rFonts w:hint="default" w:ascii="仿宋" w:hAnsi="仿宋" w:eastAsia="仿宋" w:cs="仿宋"/>
          <w:color w:val="auto"/>
          <w:kern w:val="0"/>
          <w:sz w:val="32"/>
          <w:szCs w:val="32"/>
          <w:highlight w:val="none"/>
          <w:lang w:val="en" w:eastAsia="zh-CN" w:bidi="ar"/>
        </w:rPr>
        <w:t>预算总额</w:t>
      </w:r>
      <w:r>
        <w:rPr>
          <w:rFonts w:hint="eastAsia" w:ascii="仿宋" w:hAnsi="仿宋" w:eastAsia="仿宋" w:cs="仿宋"/>
          <w:color w:val="auto"/>
          <w:kern w:val="0"/>
          <w:sz w:val="32"/>
          <w:szCs w:val="32"/>
          <w:highlight w:val="none"/>
          <w:lang w:val="en" w:eastAsia="zh-CN" w:bidi="ar"/>
        </w:rPr>
        <w:t>为基础，按照</w:t>
      </w:r>
      <w:r>
        <w:rPr>
          <w:rFonts w:hint="default" w:ascii="仿宋" w:hAnsi="仿宋" w:eastAsia="仿宋" w:cs="仿宋"/>
          <w:color w:val="auto"/>
          <w:kern w:val="0"/>
          <w:sz w:val="32"/>
          <w:szCs w:val="32"/>
          <w:highlight w:val="none"/>
          <w:lang w:val="en-US" w:eastAsia="zh-CN" w:bidi="ar"/>
        </w:rPr>
        <w:t>门诊、住院</w:t>
      </w:r>
      <w:r>
        <w:rPr>
          <w:rFonts w:hint="eastAsia" w:ascii="仿宋" w:hAnsi="仿宋" w:eastAsia="仿宋" w:cs="仿宋"/>
          <w:color w:val="auto"/>
          <w:kern w:val="0"/>
          <w:sz w:val="32"/>
          <w:szCs w:val="32"/>
          <w:highlight w:val="none"/>
          <w:lang w:val="en" w:eastAsia="zh-CN" w:bidi="ar"/>
        </w:rPr>
        <w:t>类别下</w:t>
      </w:r>
      <w:r>
        <w:rPr>
          <w:rFonts w:hint="eastAsia" w:ascii="仿宋" w:hAnsi="仿宋" w:eastAsia="仿宋" w:cs="仿宋"/>
          <w:color w:val="auto"/>
          <w:kern w:val="0"/>
          <w:sz w:val="32"/>
          <w:szCs w:val="32"/>
          <w:highlight w:val="none"/>
          <w:lang w:val="en-US" w:eastAsia="zh-CN" w:bidi="ar"/>
        </w:rPr>
        <w:t>季度</w:t>
      </w:r>
      <w:r>
        <w:rPr>
          <w:rFonts w:hint="eastAsia" w:ascii="仿宋" w:hAnsi="仿宋" w:eastAsia="仿宋" w:cs="仿宋"/>
          <w:color w:val="auto"/>
          <w:kern w:val="0"/>
          <w:sz w:val="32"/>
          <w:szCs w:val="32"/>
          <w:highlight w:val="none"/>
          <w:lang w:val="en" w:eastAsia="zh-CN" w:bidi="ar"/>
        </w:rPr>
        <w:t>有效付费总点数，分别核定</w:t>
      </w:r>
      <w:r>
        <w:rPr>
          <w:rFonts w:hint="default" w:ascii="仿宋" w:hAnsi="仿宋" w:eastAsia="仿宋" w:cs="仿宋"/>
          <w:color w:val="auto"/>
          <w:kern w:val="0"/>
          <w:sz w:val="32"/>
          <w:szCs w:val="32"/>
          <w:highlight w:val="none"/>
          <w:lang w:val="en-US" w:eastAsia="zh-CN" w:bidi="ar"/>
        </w:rPr>
        <w:t>门诊、住院</w:t>
      </w:r>
      <w:r>
        <w:rPr>
          <w:rFonts w:hint="eastAsia" w:ascii="仿宋" w:hAnsi="仿宋" w:eastAsia="仿宋" w:cs="仿宋"/>
          <w:color w:val="auto"/>
          <w:kern w:val="0"/>
          <w:sz w:val="32"/>
          <w:szCs w:val="32"/>
          <w:highlight w:val="none"/>
          <w:lang w:val="en" w:eastAsia="zh-CN" w:bidi="ar"/>
        </w:rPr>
        <w:t>的</w:t>
      </w:r>
      <w:r>
        <w:rPr>
          <w:rFonts w:hint="eastAsia" w:ascii="仿宋" w:hAnsi="仿宋" w:eastAsia="仿宋" w:cs="仿宋"/>
          <w:color w:val="auto"/>
          <w:kern w:val="0"/>
          <w:sz w:val="32"/>
          <w:szCs w:val="32"/>
          <w:highlight w:val="none"/>
          <w:lang w:val="en-US" w:eastAsia="zh-CN" w:bidi="ar"/>
        </w:rPr>
        <w:t>季度</w:t>
      </w:r>
      <w:r>
        <w:rPr>
          <w:rFonts w:hint="eastAsia" w:ascii="仿宋" w:hAnsi="仿宋" w:eastAsia="仿宋" w:cs="仿宋"/>
          <w:color w:val="auto"/>
          <w:kern w:val="0"/>
          <w:sz w:val="32"/>
          <w:szCs w:val="32"/>
          <w:highlight w:val="none"/>
          <w:lang w:val="en" w:eastAsia="zh-CN" w:bidi="ar"/>
        </w:rPr>
        <w:t>结算点值。</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（三）生成季度结算额度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依据季度点值，计算</w:t>
      </w:r>
      <w:r>
        <w:rPr>
          <w:rFonts w:hint="eastAsia" w:ascii="仿宋" w:hAnsi="仿宋" w:eastAsia="仿宋" w:cs="仿宋"/>
          <w:color w:val="auto"/>
          <w:kern w:val="0"/>
          <w:sz w:val="32"/>
          <w:szCs w:val="32"/>
          <w:highlight w:val="none"/>
          <w:lang w:val="en" w:eastAsia="zh-CN" w:bidi="ar"/>
        </w:rPr>
        <w:t>各定点服务机构的季度结算额度。</w:t>
      </w:r>
      <w:r>
        <w:rPr>
          <w:rFonts w:hint="eastAsia" w:ascii="仿宋" w:hAnsi="仿宋" w:eastAsia="仿宋" w:cs="仿宋"/>
          <w:color w:val="auto"/>
          <w:kern w:val="0"/>
          <w:sz w:val="32"/>
          <w:szCs w:val="32"/>
          <w:highlight w:val="none"/>
          <w:lang w:val="en-US" w:eastAsia="zh-CN" w:bidi="ar"/>
        </w:rPr>
        <w:t>核减当季度已由个人负担的医药费用，并预留扣除医疗服务保证金后，核定为当季度医保基金结算</w:t>
      </w:r>
      <w:r>
        <w:rPr>
          <w:rFonts w:hint="eastAsia" w:ascii="仿宋" w:hAnsi="仿宋" w:eastAsia="仿宋" w:cs="仿宋"/>
          <w:color w:val="auto"/>
          <w:kern w:val="0"/>
          <w:sz w:val="32"/>
          <w:szCs w:val="32"/>
          <w:highlight w:val="none"/>
          <w:lang w:val="en" w:eastAsia="zh-CN" w:bidi="ar"/>
        </w:rPr>
        <w:t>额度</w:t>
      </w:r>
      <w:r>
        <w:rPr>
          <w:rFonts w:hint="eastAsia" w:ascii="仿宋" w:hAnsi="仿宋" w:eastAsia="仿宋" w:cs="仿宋"/>
          <w:color w:val="auto"/>
          <w:kern w:val="0"/>
          <w:sz w:val="32"/>
          <w:szCs w:val="32"/>
          <w:highlight w:val="none"/>
          <w:lang w:val="en-US" w:eastAsia="zh-CN" w:bidi="ar"/>
        </w:rPr>
        <w:t>，核减本季度每月定点服务机构已获得的医疗费用总额，生成《吉林省定点服务机构医疗保障费用季度结算表》（详见附件2）。</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季度拨付</w:t>
      </w:r>
    </w:p>
    <w:p>
      <w:pPr>
        <w:pStyle w:val="7"/>
        <w:numPr>
          <w:ilvl w:val="0"/>
          <w:numId w:val="0"/>
        </w:numPr>
        <w:ind w:firstLine="640" w:firstLineChars="200"/>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1.每季度首月月底前，经办机构根据上季度结算额度及上季度已付费用情况生成《吉林省定点服务机构医疗保障费用季度结算拨付表》（详见附件3）。</w:t>
      </w:r>
    </w:p>
    <w:p>
      <w:pPr>
        <w:pStyle w:val="7"/>
        <w:numPr>
          <w:ilvl w:val="0"/>
          <w:numId w:val="0"/>
        </w:numPr>
        <w:ind w:firstLine="640" w:firstLineChars="200"/>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2.每季度第二个月3日前，定点服务机构将《吉林省定点服务机构医疗保障费用季度结算表》及《吉林省定点服务机构医疗保障费用季度结算拨付表》反馈至经办机构。</w:t>
      </w:r>
    </w:p>
    <w:p>
      <w:pPr>
        <w:pStyle w:val="7"/>
        <w:numPr>
          <w:ilvl w:val="0"/>
          <w:numId w:val="0"/>
        </w:numPr>
        <w:ind w:firstLine="640" w:firstLineChars="200"/>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3.每季度第二个月15日前，经办机构将季度结算金额拨付至定点服务机构；需从定点服务机构收回的基金，可从后续结算费用中扣除。</w:t>
      </w:r>
    </w:p>
    <w:p>
      <w:pPr>
        <w:pStyle w:val="4"/>
        <w:keepNext w:val="0"/>
        <w:keepLines w:val="0"/>
        <w:pageBreakBefore w:val="0"/>
        <w:widowControl w:val="0"/>
        <w:kinsoku/>
        <w:overflowPunct/>
        <w:topLinePunct w:val="0"/>
        <w:autoSpaceDE w:val="0"/>
        <w:autoSpaceDN w:val="0"/>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bookmarkStart w:id="16" w:name="_Toc13884"/>
      <w:bookmarkStart w:id="17" w:name="_Toc1371"/>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二十四</w:t>
      </w:r>
      <w:r>
        <w:rPr>
          <w:rFonts w:hint="eastAsia" w:ascii="黑体" w:hAnsi="黑体" w:eastAsia="黑体" w:cs="黑体"/>
          <w:b w:val="0"/>
          <w:bCs w:val="0"/>
          <w:color w:val="auto"/>
          <w:sz w:val="32"/>
          <w:szCs w:val="32"/>
          <w:highlight w:val="none"/>
        </w:rPr>
        <w:t>条</w:t>
      </w:r>
      <w:r>
        <w:rPr>
          <w:rFonts w:hint="default"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rPr>
        <w:t>【</w:t>
      </w:r>
      <w:r>
        <w:rPr>
          <w:rFonts w:hint="eastAsia" w:ascii="黑体" w:hAnsi="黑体" w:eastAsia="黑体" w:cs="黑体"/>
          <w:b w:val="0"/>
          <w:bCs/>
          <w:color w:val="auto"/>
          <w:kern w:val="0"/>
          <w:sz w:val="32"/>
          <w:szCs w:val="32"/>
          <w:highlight w:val="none"/>
          <w:lang w:val="en-US" w:eastAsia="zh-CN" w:bidi="en-US"/>
        </w:rPr>
        <w:t>第四季度</w:t>
      </w:r>
      <w:r>
        <w:rPr>
          <w:rFonts w:hint="default" w:ascii="黑体" w:hAnsi="黑体" w:eastAsia="黑体" w:cs="黑体"/>
          <w:b w:val="0"/>
          <w:bCs/>
          <w:color w:val="auto"/>
          <w:kern w:val="0"/>
          <w:sz w:val="32"/>
          <w:szCs w:val="32"/>
          <w:highlight w:val="none"/>
          <w:lang w:val="en-US" w:eastAsia="zh-CN" w:bidi="en-US"/>
        </w:rPr>
        <w:t>结算流程</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第</w:t>
      </w:r>
      <w:r>
        <w:rPr>
          <w:rFonts w:hint="eastAsia" w:ascii="仿宋" w:hAnsi="仿宋" w:eastAsia="仿宋" w:cs="仿宋"/>
          <w:color w:val="auto"/>
          <w:kern w:val="0"/>
          <w:sz w:val="32"/>
          <w:szCs w:val="32"/>
          <w:highlight w:val="none"/>
          <w:lang w:val="en-US" w:eastAsia="zh-CN" w:bidi="ar"/>
        </w:rPr>
        <w:t>四季度结算与年度结算一并进行，第四季度分组及反馈等工作正常进行，不再扎差拨付，与年度拨付额度合并计算。</w:t>
      </w:r>
    </w:p>
    <w:p>
      <w:pPr>
        <w:pStyle w:val="4"/>
        <w:keepNext w:val="0"/>
        <w:keepLines w:val="0"/>
        <w:pageBreakBefore w:val="0"/>
        <w:widowControl w:val="0"/>
        <w:kinsoku/>
        <w:overflowPunct/>
        <w:topLinePunct w:val="0"/>
        <w:autoSpaceDE w:val="0"/>
        <w:autoSpaceDN w:val="0"/>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olor w:val="auto"/>
          <w:sz w:val="32"/>
          <w:szCs w:val="32"/>
          <w:highlight w:val="none"/>
          <w:lang w:val="en-US"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二十五</w:t>
      </w:r>
      <w:r>
        <w:rPr>
          <w:rFonts w:hint="eastAsia" w:ascii="黑体" w:hAnsi="黑体" w:eastAsia="黑体" w:cs="黑体"/>
          <w:b w:val="0"/>
          <w:bCs w:val="0"/>
          <w:color w:val="auto"/>
          <w:sz w:val="32"/>
          <w:szCs w:val="32"/>
          <w:highlight w:val="none"/>
        </w:rPr>
        <w:t>条</w:t>
      </w:r>
      <w:r>
        <w:rPr>
          <w:rFonts w:hint="default"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rPr>
        <w:t>【</w:t>
      </w:r>
      <w:r>
        <w:rPr>
          <w:rFonts w:hint="default" w:ascii="黑体" w:hAnsi="黑体" w:eastAsia="黑体" w:cs="黑体"/>
          <w:b w:val="0"/>
          <w:bCs/>
          <w:color w:val="auto"/>
          <w:kern w:val="0"/>
          <w:sz w:val="32"/>
          <w:szCs w:val="32"/>
          <w:highlight w:val="none"/>
          <w:lang w:val="en-US" w:eastAsia="zh-CN" w:bidi="en-US"/>
        </w:rPr>
        <w:t>年度结算流程</w:t>
      </w:r>
      <w:r>
        <w:rPr>
          <w:rFonts w:hint="default" w:ascii="仿宋_GB2312" w:hAnsi="仿宋_GB2312" w:eastAsia="仿宋_GB2312" w:cs="仿宋_GB2312"/>
          <w:color w:val="auto"/>
          <w:sz w:val="32"/>
          <w:szCs w:val="32"/>
          <w:highlight w:val="none"/>
        </w:rPr>
        <w:t>】</w:t>
      </w:r>
      <w:r>
        <w:rPr>
          <w:rFonts w:hint="eastAsia" w:ascii="仿宋" w:hAnsi="仿宋" w:eastAsia="仿宋" w:cs="仿宋"/>
          <w:color w:val="auto"/>
          <w:kern w:val="0"/>
          <w:sz w:val="32"/>
          <w:szCs w:val="32"/>
          <w:highlight w:val="none"/>
          <w:lang w:val="en-US" w:eastAsia="zh-CN" w:bidi="ar"/>
        </w:rPr>
        <w:t>年度结算参照</w:t>
      </w:r>
      <w:bookmarkEnd w:id="16"/>
      <w:bookmarkEnd w:id="17"/>
      <w:r>
        <w:rPr>
          <w:rFonts w:hint="eastAsia" w:ascii="仿宋" w:hAnsi="仿宋" w:eastAsia="仿宋" w:cs="仿宋"/>
          <w:color w:val="auto"/>
          <w:kern w:val="0"/>
          <w:sz w:val="32"/>
          <w:szCs w:val="32"/>
          <w:highlight w:val="none"/>
          <w:lang w:val="en-US" w:eastAsia="zh-CN" w:bidi="ar"/>
        </w:rPr>
        <w:t>季度结算流程开展，经办机构按规定生成《吉林省定点服务机构医疗保障费用年度结算表》（详见附件4），定点服务机构应及时对表单确认后反馈至经办机构。</w:t>
      </w:r>
    </w:p>
    <w:p>
      <w:pPr>
        <w:pStyle w:val="4"/>
        <w:keepNext w:val="0"/>
        <w:keepLines w:val="0"/>
        <w:pageBreakBefore w:val="0"/>
        <w:widowControl w:val="0"/>
        <w:kinsoku/>
        <w:overflowPunct/>
        <w:topLinePunct w:val="0"/>
        <w:autoSpaceDE w:val="0"/>
        <w:autoSpaceDN w:val="0"/>
        <w:bidi w:val="0"/>
        <w:adjustRightInd/>
        <w:snapToGrid/>
        <w:spacing w:before="0" w:beforeAutospacing="0" w:after="0" w:afterAutospacing="0" w:line="560" w:lineRule="exact"/>
        <w:ind w:firstLine="640" w:firstLineChars="200"/>
        <w:jc w:val="both"/>
        <w:textAlignment w:val="auto"/>
        <w:rPr>
          <w:rFonts w:hint="default" w:ascii="仿宋" w:hAnsi="仿宋" w:eastAsia="仿宋" w:cs="仿宋"/>
          <w:color w:val="auto"/>
          <w:kern w:val="0"/>
          <w:sz w:val="32"/>
          <w:szCs w:val="32"/>
          <w:highlight w:val="none"/>
          <w:lang w:val="en-US" w:eastAsia="zh-CN" w:bidi="ar"/>
        </w:rPr>
      </w:pPr>
      <w:r>
        <w:rPr>
          <w:rFonts w:hint="default" w:ascii="黑体" w:hAnsi="黑体" w:eastAsia="黑体" w:cs="黑体"/>
          <w:color w:val="auto"/>
          <w:kern w:val="2"/>
          <w:sz w:val="32"/>
          <w:szCs w:val="32"/>
          <w:highlight w:val="none"/>
          <w:lang w:eastAsia="zh-CN" w:bidi="ar-SA"/>
        </w:rPr>
        <w:t>第</w:t>
      </w:r>
      <w:r>
        <w:rPr>
          <w:rFonts w:hint="eastAsia" w:ascii="黑体" w:hAnsi="黑体" w:eastAsia="黑体" w:cs="黑体"/>
          <w:color w:val="auto"/>
          <w:kern w:val="2"/>
          <w:sz w:val="32"/>
          <w:szCs w:val="32"/>
          <w:highlight w:val="none"/>
          <w:lang w:val="en-US" w:eastAsia="zh-CN" w:bidi="ar-SA"/>
        </w:rPr>
        <w:t>二十六</w:t>
      </w:r>
      <w:r>
        <w:rPr>
          <w:rFonts w:hint="default" w:ascii="黑体" w:hAnsi="黑体" w:eastAsia="黑体" w:cs="黑体"/>
          <w:color w:val="auto"/>
          <w:kern w:val="2"/>
          <w:sz w:val="32"/>
          <w:szCs w:val="32"/>
          <w:highlight w:val="none"/>
          <w:lang w:eastAsia="zh-CN" w:bidi="ar-SA"/>
        </w:rPr>
        <w:t>条</w:t>
      </w:r>
      <w:r>
        <w:rPr>
          <w:rFonts w:hint="eastAsia" w:ascii="黑体" w:hAnsi="黑体" w:eastAsia="黑体" w:cs="黑体"/>
          <w:color w:val="auto"/>
          <w:kern w:val="2"/>
          <w:sz w:val="32"/>
          <w:szCs w:val="32"/>
          <w:highlight w:val="none"/>
          <w:lang w:val="en-US" w:eastAsia="zh-CN" w:bidi="ar-SA"/>
        </w:rPr>
        <w:t xml:space="preserve"> </w:t>
      </w:r>
      <w:r>
        <w:rPr>
          <w:rFonts w:hint="default" w:ascii="黑体" w:hAnsi="黑体" w:eastAsia="黑体" w:cs="黑体"/>
          <w:color w:val="auto"/>
          <w:kern w:val="2"/>
          <w:sz w:val="32"/>
          <w:szCs w:val="32"/>
          <w:highlight w:val="none"/>
          <w:lang w:eastAsia="zh-CN" w:bidi="ar-SA"/>
        </w:rPr>
        <w:t xml:space="preserve"> </w:t>
      </w:r>
      <w:r>
        <w:rPr>
          <w:rFonts w:hint="default" w:ascii="黑体" w:hAnsi="黑体" w:eastAsia="黑体" w:cs="黑体"/>
          <w:b w:val="0"/>
          <w:bCs/>
          <w:color w:val="auto"/>
          <w:kern w:val="0"/>
          <w:sz w:val="32"/>
          <w:szCs w:val="32"/>
          <w:highlight w:val="none"/>
          <w:lang w:val="en-US" w:eastAsia="zh-CN" w:bidi="en-US"/>
        </w:rPr>
        <w:t>【</w:t>
      </w:r>
      <w:r>
        <w:rPr>
          <w:rFonts w:hint="eastAsia" w:ascii="黑体" w:hAnsi="黑体" w:eastAsia="黑体" w:cs="黑体"/>
          <w:b w:val="0"/>
          <w:bCs/>
          <w:color w:val="auto"/>
          <w:kern w:val="0"/>
          <w:sz w:val="32"/>
          <w:szCs w:val="32"/>
          <w:highlight w:val="none"/>
          <w:lang w:val="en-US" w:eastAsia="zh-CN" w:bidi="en-US"/>
        </w:rPr>
        <w:t>特殊</w:t>
      </w:r>
      <w:r>
        <w:rPr>
          <w:rFonts w:hint="default" w:ascii="黑体" w:hAnsi="黑体" w:eastAsia="黑体" w:cs="黑体"/>
          <w:b w:val="0"/>
          <w:bCs/>
          <w:color w:val="auto"/>
          <w:kern w:val="0"/>
          <w:sz w:val="32"/>
          <w:szCs w:val="32"/>
          <w:highlight w:val="none"/>
          <w:lang w:val="en-US" w:eastAsia="zh-CN" w:bidi="en-US"/>
        </w:rPr>
        <w:t>病例处理】</w:t>
      </w:r>
      <w:r>
        <w:rPr>
          <w:rFonts w:hint="eastAsia" w:ascii="仿宋" w:hAnsi="仿宋" w:eastAsia="仿宋" w:cs="仿宋"/>
          <w:color w:val="auto"/>
          <w:kern w:val="0"/>
          <w:sz w:val="32"/>
          <w:szCs w:val="32"/>
          <w:highlight w:val="none"/>
          <w:lang w:val="en-US" w:eastAsia="zh-CN" w:bidi="ar"/>
        </w:rPr>
        <w:t>经办机构应根据国家技术规范要求，设置病种（组）的极高、极低标准值，并分类确定极高病例、极低病例的日常结算规则。定点服务机构可对结算有异议的</w:t>
      </w:r>
      <w:r>
        <w:rPr>
          <w:rFonts w:hint="default" w:ascii="仿宋" w:hAnsi="仿宋" w:eastAsia="仿宋" w:cs="仿宋"/>
          <w:color w:val="auto"/>
          <w:kern w:val="0"/>
          <w:sz w:val="32"/>
          <w:szCs w:val="32"/>
          <w:highlight w:val="none"/>
          <w:lang w:val="en-US" w:eastAsia="zh-CN" w:bidi="ar"/>
        </w:rPr>
        <w:t>极值病例</w:t>
      </w:r>
      <w:r>
        <w:rPr>
          <w:rFonts w:hint="eastAsia" w:ascii="仿宋" w:hAnsi="仿宋" w:eastAsia="仿宋" w:cs="仿宋"/>
          <w:color w:val="auto"/>
          <w:kern w:val="0"/>
          <w:sz w:val="32"/>
          <w:szCs w:val="32"/>
          <w:highlight w:val="none"/>
          <w:lang w:val="en-US" w:eastAsia="zh-CN" w:bidi="ar"/>
        </w:rPr>
        <w:t>、急危重症病例、使用“双通道药品”病例、采用新医疗技术治疗及超长期住院病例提出特例单议申请，申请特例单议的病例数原则上不超过年度实际发生病例数的3%，经办机构应对定点服务机构提出的特例单议病例开展专家评议，经专家评议后确定特例单议病例应支付金额，并在季度或年度结算时予以保障。</w:t>
      </w:r>
    </w:p>
    <w:p>
      <w:pPr>
        <w:pStyle w:val="4"/>
        <w:keepNext w:val="0"/>
        <w:keepLines w:val="0"/>
        <w:pageBreakBefore w:val="0"/>
        <w:widowControl w:val="0"/>
        <w:kinsoku/>
        <w:overflowPunct/>
        <w:topLinePunct w:val="0"/>
        <w:autoSpaceDE w:val="0"/>
        <w:autoSpaceDN w:val="0"/>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黑体" w:hAnsi="黑体" w:eastAsia="黑体" w:cs="黑体"/>
          <w:bCs/>
          <w:color w:val="auto"/>
          <w:sz w:val="32"/>
          <w:szCs w:val="32"/>
          <w:highlight w:val="none"/>
          <w:shd w:val="clear" w:color="auto" w:fill="FFFFFF"/>
          <w:lang w:bidi="ar"/>
        </w:rPr>
        <w:t>第</w:t>
      </w:r>
      <w:r>
        <w:rPr>
          <w:rFonts w:hint="eastAsia" w:ascii="黑体" w:hAnsi="黑体" w:eastAsia="黑体" w:cs="黑体"/>
          <w:bCs/>
          <w:color w:val="auto"/>
          <w:sz w:val="32"/>
          <w:szCs w:val="32"/>
          <w:highlight w:val="none"/>
          <w:shd w:val="clear" w:color="auto" w:fill="FFFFFF"/>
          <w:lang w:val="en-US" w:eastAsia="zh-CN" w:bidi="ar"/>
        </w:rPr>
        <w:t>二十七</w:t>
      </w:r>
      <w:r>
        <w:rPr>
          <w:rFonts w:hint="eastAsia" w:ascii="黑体" w:hAnsi="黑体" w:eastAsia="黑体" w:cs="黑体"/>
          <w:bCs/>
          <w:color w:val="auto"/>
          <w:sz w:val="32"/>
          <w:szCs w:val="32"/>
          <w:highlight w:val="none"/>
          <w:shd w:val="clear" w:color="auto" w:fill="FFFFFF"/>
          <w:lang w:bidi="ar"/>
        </w:rPr>
        <w:t>条</w:t>
      </w:r>
      <w:r>
        <w:rPr>
          <w:rFonts w:hint="eastAsia" w:ascii="仿宋_GB2312" w:hAnsi="黑体" w:eastAsia="仿宋_GB2312" w:cs="黑体"/>
          <w:bCs/>
          <w:color w:val="auto"/>
          <w:sz w:val="32"/>
          <w:szCs w:val="32"/>
          <w:highlight w:val="none"/>
          <w:shd w:val="clear" w:color="auto" w:fill="FFFFFF"/>
          <w:lang w:bidi="ar"/>
        </w:rPr>
        <w:t xml:space="preserve"> </w:t>
      </w:r>
      <w:r>
        <w:rPr>
          <w:rFonts w:hint="eastAsia" w:ascii="仿宋_GB2312" w:hAnsi="黑体" w:eastAsia="仿宋_GB2312" w:cs="黑体"/>
          <w:bCs/>
          <w:color w:val="auto"/>
          <w:sz w:val="32"/>
          <w:szCs w:val="32"/>
          <w:highlight w:val="none"/>
          <w:shd w:val="clear" w:color="auto" w:fill="FFFFFF"/>
          <w:lang w:val="en-US" w:eastAsia="zh-CN" w:bidi="ar"/>
        </w:rPr>
        <w:t xml:space="preserve"> </w:t>
      </w:r>
      <w:r>
        <w:rPr>
          <w:rFonts w:hint="eastAsia" w:ascii="黑体" w:hAnsi="黑体" w:eastAsia="黑体" w:cs="黑体"/>
          <w:b w:val="0"/>
          <w:bCs/>
          <w:color w:val="auto"/>
          <w:kern w:val="0"/>
          <w:sz w:val="32"/>
          <w:szCs w:val="32"/>
          <w:highlight w:val="none"/>
          <w:lang w:val="en-US" w:eastAsia="zh-CN" w:bidi="en-US"/>
        </w:rPr>
        <w:t>【风险共担办法】</w:t>
      </w:r>
      <w:r>
        <w:rPr>
          <w:rFonts w:hint="eastAsia" w:ascii="仿宋" w:hAnsi="仿宋" w:eastAsia="仿宋" w:cs="仿宋"/>
          <w:color w:val="auto"/>
          <w:kern w:val="0"/>
          <w:sz w:val="32"/>
          <w:szCs w:val="32"/>
          <w:highlight w:val="none"/>
          <w:lang w:val="en-US" w:eastAsia="zh-CN" w:bidi="ar"/>
        </w:rPr>
        <w:t>建立健全经办机构与服务机构间“合理结余留用、合理超支分担”的激励和风险分担机制。</w:t>
      </w:r>
    </w:p>
    <w:p>
      <w:pPr>
        <w:pStyle w:val="4"/>
        <w:keepNext w:val="0"/>
        <w:keepLines w:val="0"/>
        <w:pageBreakBefore w:val="0"/>
        <w:widowControl w:val="0"/>
        <w:kinsoku/>
        <w:overflowPunct/>
        <w:topLinePunct w:val="0"/>
        <w:autoSpaceDE w:val="0"/>
        <w:autoSpaceDN w:val="0"/>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原则上，当定点服务机构年度基金按项目记账金额小于该定点服务机构年度医保基金结算额度，年度医保基金结算额度结余</w:t>
      </w:r>
      <w:r>
        <w:rPr>
          <w:rFonts w:hint="default" w:ascii="仿宋" w:hAnsi="仿宋" w:eastAsia="仿宋" w:cs="仿宋"/>
          <w:color w:val="auto"/>
          <w:kern w:val="0"/>
          <w:sz w:val="32"/>
          <w:szCs w:val="32"/>
          <w:highlight w:val="none"/>
          <w:lang w:val="en-US" w:eastAsia="zh-CN" w:bidi="ar"/>
        </w:rPr>
        <w:t>10%以内的</w:t>
      </w:r>
      <w:r>
        <w:rPr>
          <w:rFonts w:hint="eastAsia" w:ascii="仿宋" w:hAnsi="仿宋" w:eastAsia="仿宋" w:cs="仿宋"/>
          <w:color w:val="auto"/>
          <w:kern w:val="0"/>
          <w:sz w:val="32"/>
          <w:szCs w:val="32"/>
          <w:highlight w:val="none"/>
          <w:lang w:val="en-US" w:eastAsia="zh-CN" w:bidi="ar"/>
        </w:rPr>
        <w:t>部分作为奖励支付给该定点服务机构</w:t>
      </w:r>
      <w:r>
        <w:rPr>
          <w:rFonts w:hint="default" w:ascii="仿宋" w:hAnsi="仿宋" w:eastAsia="仿宋" w:cs="仿宋"/>
          <w:color w:val="auto"/>
          <w:kern w:val="0"/>
          <w:sz w:val="32"/>
          <w:szCs w:val="32"/>
          <w:highlight w:val="none"/>
          <w:lang w:val="en-US" w:eastAsia="zh-CN" w:bidi="ar"/>
        </w:rPr>
        <w:t>，结余超过10%</w:t>
      </w:r>
      <w:r>
        <w:rPr>
          <w:rFonts w:hint="eastAsia" w:ascii="仿宋" w:hAnsi="仿宋" w:eastAsia="仿宋" w:cs="仿宋"/>
          <w:color w:val="auto"/>
          <w:kern w:val="0"/>
          <w:sz w:val="32"/>
          <w:szCs w:val="32"/>
          <w:highlight w:val="none"/>
          <w:lang w:val="en-US" w:eastAsia="zh-CN" w:bidi="ar"/>
        </w:rPr>
        <w:t>至20%</w:t>
      </w:r>
      <w:r>
        <w:rPr>
          <w:rFonts w:hint="default" w:ascii="仿宋" w:hAnsi="仿宋" w:eastAsia="仿宋" w:cs="仿宋"/>
          <w:color w:val="auto"/>
          <w:kern w:val="0"/>
          <w:sz w:val="32"/>
          <w:szCs w:val="32"/>
          <w:highlight w:val="none"/>
          <w:lang w:val="en-US" w:eastAsia="zh-CN" w:bidi="ar"/>
        </w:rPr>
        <w:t>的部分</w:t>
      </w:r>
      <w:r>
        <w:rPr>
          <w:rFonts w:hint="eastAsia" w:ascii="仿宋" w:hAnsi="仿宋" w:eastAsia="仿宋" w:cs="仿宋"/>
          <w:color w:val="auto"/>
          <w:kern w:val="0"/>
          <w:sz w:val="32"/>
          <w:szCs w:val="32"/>
          <w:highlight w:val="none"/>
          <w:lang w:val="en-US" w:eastAsia="zh-CN" w:bidi="ar"/>
        </w:rPr>
        <w:t>按结余部分50%</w:t>
      </w:r>
      <w:r>
        <w:rPr>
          <w:rFonts w:hint="default" w:ascii="仿宋" w:hAnsi="仿宋" w:eastAsia="仿宋" w:cs="仿宋"/>
          <w:color w:val="auto"/>
          <w:kern w:val="0"/>
          <w:sz w:val="32"/>
          <w:szCs w:val="32"/>
          <w:highlight w:val="none"/>
          <w:lang w:val="en-US" w:eastAsia="zh-CN" w:bidi="ar"/>
        </w:rPr>
        <w:t>作为奖励支付给该定点</w:t>
      </w:r>
      <w:r>
        <w:rPr>
          <w:rFonts w:hint="eastAsia" w:ascii="仿宋" w:hAnsi="仿宋" w:eastAsia="仿宋" w:cs="仿宋"/>
          <w:color w:val="auto"/>
          <w:kern w:val="0"/>
          <w:sz w:val="32"/>
          <w:szCs w:val="32"/>
          <w:highlight w:val="none"/>
          <w:lang w:val="en-US" w:eastAsia="zh-CN" w:bidi="ar"/>
        </w:rPr>
        <w:t>服务机构，结余超过20%的，按项目实际结算；当定点服务机构年度基金按项目记账金额大于该定点服务机构年度医保基金结算额度，</w:t>
      </w:r>
      <w:r>
        <w:rPr>
          <w:rFonts w:hint="default" w:ascii="仿宋" w:hAnsi="仿宋" w:eastAsia="仿宋" w:cs="仿宋"/>
          <w:color w:val="auto"/>
          <w:kern w:val="0"/>
          <w:sz w:val="32"/>
          <w:szCs w:val="32"/>
          <w:highlight w:val="none"/>
          <w:lang w:val="en-US" w:eastAsia="zh-CN" w:bidi="ar"/>
        </w:rPr>
        <w:t>超支10%以内的</w:t>
      </w:r>
      <w:r>
        <w:rPr>
          <w:rFonts w:hint="eastAsia" w:ascii="仿宋" w:hAnsi="仿宋" w:eastAsia="仿宋" w:cs="仿宋"/>
          <w:color w:val="auto"/>
          <w:kern w:val="0"/>
          <w:sz w:val="32"/>
          <w:szCs w:val="32"/>
          <w:highlight w:val="none"/>
          <w:lang w:val="en-US" w:eastAsia="zh-CN" w:bidi="ar"/>
        </w:rPr>
        <w:t>部分基金分担50%</w:t>
      </w:r>
      <w:r>
        <w:rPr>
          <w:rFonts w:hint="default" w:ascii="仿宋" w:hAnsi="仿宋" w:eastAsia="仿宋" w:cs="仿宋"/>
          <w:color w:val="auto"/>
          <w:kern w:val="0"/>
          <w:sz w:val="32"/>
          <w:szCs w:val="32"/>
          <w:highlight w:val="none"/>
          <w:lang w:val="en-US" w:eastAsia="zh-CN" w:bidi="ar"/>
        </w:rPr>
        <w:t>，超支</w:t>
      </w:r>
      <w:r>
        <w:rPr>
          <w:rFonts w:hint="eastAsia" w:ascii="仿宋" w:hAnsi="仿宋" w:eastAsia="仿宋" w:cs="仿宋"/>
          <w:color w:val="auto"/>
          <w:kern w:val="0"/>
          <w:sz w:val="32"/>
          <w:szCs w:val="32"/>
          <w:highlight w:val="none"/>
          <w:lang w:val="en-US" w:eastAsia="zh-CN" w:bidi="ar"/>
        </w:rPr>
        <w:t>10%至20%</w:t>
      </w:r>
      <w:r>
        <w:rPr>
          <w:rFonts w:hint="default" w:ascii="仿宋" w:hAnsi="仿宋" w:eastAsia="仿宋" w:cs="仿宋"/>
          <w:color w:val="auto"/>
          <w:kern w:val="0"/>
          <w:sz w:val="32"/>
          <w:szCs w:val="32"/>
          <w:highlight w:val="none"/>
          <w:lang w:val="en-US" w:eastAsia="zh-CN" w:bidi="ar"/>
        </w:rPr>
        <w:t>的部分</w:t>
      </w:r>
      <w:r>
        <w:rPr>
          <w:rFonts w:hint="eastAsia" w:ascii="仿宋" w:hAnsi="仿宋" w:eastAsia="仿宋" w:cs="仿宋"/>
          <w:color w:val="auto"/>
          <w:kern w:val="0"/>
          <w:sz w:val="32"/>
          <w:szCs w:val="32"/>
          <w:highlight w:val="none"/>
          <w:lang w:val="en-US" w:eastAsia="zh-CN" w:bidi="ar"/>
        </w:rPr>
        <w:t>基金分担30%，超过20%的部分基金不予支付。统筹区可根据实际情况调整分段设定比例，调整比例原则上不超过20%。</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黑体" w:hAnsi="黑体" w:eastAsia="黑体" w:cs="黑体"/>
          <w:b w:val="0"/>
          <w:bCs/>
          <w:color w:val="auto"/>
          <w:sz w:val="32"/>
          <w:szCs w:val="32"/>
          <w:highlight w:val="none"/>
          <w:lang w:val="en-US" w:eastAsia="zh-CN" w:bidi="en-US"/>
        </w:rPr>
      </w:pPr>
    </w:p>
    <w:p>
      <w:pPr>
        <w:keepNext w:val="0"/>
        <w:keepLines w:val="0"/>
        <w:pageBreakBefore w:val="0"/>
        <w:shd w:val="clear" w:color="auto" w:fill="FFFFFF"/>
        <w:kinsoku/>
        <w:overflowPunct/>
        <w:topLinePunct w:val="0"/>
        <w:bidi w:val="0"/>
        <w:adjustRightInd/>
        <w:snapToGrid/>
        <w:spacing w:line="560" w:lineRule="exact"/>
        <w:jc w:val="center"/>
        <w:textAlignment w:val="auto"/>
        <w:outlineLvl w:val="0"/>
        <w:rPr>
          <w:rFonts w:hint="default" w:ascii="黑体" w:hAnsi="黑体" w:eastAsia="黑体" w:cs="黑体"/>
          <w:color w:val="auto"/>
          <w:sz w:val="32"/>
          <w:szCs w:val="32"/>
          <w:highlight w:val="none"/>
          <w:lang w:val="en-US" w:eastAsia="zh-CN"/>
        </w:rPr>
      </w:pPr>
      <w:bookmarkStart w:id="18" w:name="_Toc30833"/>
      <w:bookmarkStart w:id="19" w:name="_Toc8635"/>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rPr>
        <w:t>章   协议管理</w:t>
      </w:r>
      <w:r>
        <w:rPr>
          <w:rFonts w:hint="eastAsia" w:ascii="黑体" w:hAnsi="黑体" w:eastAsia="黑体" w:cs="黑体"/>
          <w:color w:val="auto"/>
          <w:sz w:val="32"/>
          <w:szCs w:val="32"/>
          <w:highlight w:val="none"/>
          <w:lang w:val="en-US" w:eastAsia="zh-CN"/>
        </w:rPr>
        <w:t>和费用审核</w:t>
      </w:r>
    </w:p>
    <w:p>
      <w:pPr>
        <w:pStyle w:val="7"/>
        <w:rPr>
          <w:color w:val="auto"/>
          <w:highlight w:val="none"/>
        </w:rPr>
      </w:pP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kern w:val="2"/>
          <w:sz w:val="32"/>
          <w:szCs w:val="32"/>
          <w:highlight w:val="none"/>
          <w:lang w:val="en-US" w:eastAsia="zh-CN" w:bidi="ar-SA"/>
        </w:rPr>
        <w:t xml:space="preserve">第二十八条 </w:t>
      </w:r>
      <w:r>
        <w:rPr>
          <w:rFonts w:hint="eastAsia" w:ascii="仿宋_GB2312" w:hAnsi="仿宋_GB2312" w:eastAsia="仿宋_GB2312" w:cs="仿宋_GB2312"/>
          <w:color w:val="auto"/>
          <w:sz w:val="32"/>
          <w:szCs w:val="32"/>
          <w:highlight w:val="none"/>
        </w:rPr>
        <w:t xml:space="preserve"> </w:t>
      </w:r>
      <w:r>
        <w:rPr>
          <w:rFonts w:hint="default" w:ascii="黑体" w:hAnsi="黑体" w:eastAsia="黑体" w:cs="黑体"/>
          <w:b w:val="0"/>
          <w:bCs/>
          <w:color w:val="auto"/>
          <w:sz w:val="32"/>
          <w:szCs w:val="32"/>
          <w:highlight w:val="none"/>
          <w:shd w:val="clear" w:color="auto" w:fill="auto"/>
          <w:lang w:eastAsia="zh-CN" w:bidi="en-US"/>
        </w:rPr>
        <w:t>【</w:t>
      </w:r>
      <w:r>
        <w:rPr>
          <w:rFonts w:hint="eastAsia" w:ascii="黑体" w:hAnsi="黑体" w:eastAsia="黑体" w:cs="黑体"/>
          <w:b w:val="0"/>
          <w:bCs/>
          <w:color w:val="auto"/>
          <w:sz w:val="32"/>
          <w:szCs w:val="32"/>
          <w:highlight w:val="none"/>
          <w:shd w:val="clear" w:color="auto" w:fill="auto"/>
          <w:lang w:val="en-US" w:eastAsia="zh-CN" w:bidi="en-US"/>
        </w:rPr>
        <w:t>协议管理</w:t>
      </w:r>
      <w:r>
        <w:rPr>
          <w:rFonts w:hint="default" w:ascii="黑体" w:hAnsi="黑体" w:eastAsia="黑体" w:cs="黑体"/>
          <w:b w:val="0"/>
          <w:bCs/>
          <w:color w:val="auto"/>
          <w:sz w:val="32"/>
          <w:szCs w:val="32"/>
          <w:highlight w:val="none"/>
          <w:shd w:val="clear" w:color="auto" w:fill="auto"/>
          <w:lang w:eastAsia="zh-CN" w:bidi="en-US"/>
        </w:rPr>
        <w:t>】</w:t>
      </w:r>
      <w:r>
        <w:rPr>
          <w:rFonts w:hint="eastAsia" w:ascii="仿宋" w:hAnsi="仿宋" w:eastAsia="仿宋" w:cs="仿宋"/>
          <w:color w:val="auto"/>
          <w:kern w:val="0"/>
          <w:sz w:val="32"/>
          <w:szCs w:val="32"/>
          <w:highlight w:val="none"/>
          <w:lang w:val="en-US" w:eastAsia="zh-CN" w:bidi="ar"/>
        </w:rPr>
        <w:t>多元复合式医保支付方式纳入医保服务协议，省级医保经办机构制定全省统一的服务协议范本</w:t>
      </w:r>
      <w:r>
        <w:rPr>
          <w:rFonts w:hint="default" w:ascii="仿宋" w:hAnsi="仿宋" w:eastAsia="仿宋" w:cs="仿宋"/>
          <w:color w:val="auto"/>
          <w:kern w:val="0"/>
          <w:sz w:val="32"/>
          <w:szCs w:val="32"/>
          <w:highlight w:val="none"/>
          <w:lang w:eastAsia="zh-CN" w:bidi="ar"/>
        </w:rPr>
        <w:t>。</w:t>
      </w:r>
    </w:p>
    <w:p>
      <w:pPr>
        <w:keepNext w:val="0"/>
        <w:keepLines w:val="0"/>
        <w:pageBreakBefore w:val="0"/>
        <w:numPr>
          <w:ilvl w:val="0"/>
          <w:numId w:val="0"/>
        </w:numPr>
        <w:kinsoku/>
        <w:overflowPunct/>
        <w:topLinePunct w:val="0"/>
        <w:bidi w:val="0"/>
        <w:adjustRightInd/>
        <w:snapToGrid/>
        <w:spacing w:line="560" w:lineRule="exact"/>
        <w:textAlignment w:val="auto"/>
        <w:rPr>
          <w:rFonts w:hint="eastAsia" w:ascii="Times New Roman" w:hAnsi="Times New Roman" w:eastAsia="仿宋_GB2312" w:cs="仿宋"/>
          <w:color w:val="auto"/>
          <w:sz w:val="32"/>
          <w:szCs w:val="32"/>
          <w:highlight w:val="none"/>
        </w:rPr>
      </w:pPr>
      <w:r>
        <w:rPr>
          <w:rFonts w:hint="default" w:ascii="Times New Roman" w:hAnsi="Times New Roman" w:eastAsia="仿宋_GB2312" w:cs="仿宋"/>
          <w:color w:val="auto"/>
          <w:sz w:val="32"/>
          <w:szCs w:val="32"/>
          <w:highlight w:val="none"/>
        </w:rPr>
        <w:t xml:space="preserve">    </w:t>
      </w:r>
      <w:r>
        <w:rPr>
          <w:rFonts w:hint="default" w:ascii="黑体" w:hAnsi="黑体" w:eastAsia="黑体" w:cs="黑体"/>
          <w:color w:val="auto"/>
          <w:kern w:val="2"/>
          <w:sz w:val="32"/>
          <w:szCs w:val="32"/>
          <w:highlight w:val="none"/>
          <w:lang w:eastAsia="zh-CN" w:bidi="ar-SA"/>
        </w:rPr>
        <w:t>第</w:t>
      </w:r>
      <w:r>
        <w:rPr>
          <w:rFonts w:hint="eastAsia" w:ascii="黑体" w:hAnsi="黑体" w:eastAsia="黑体" w:cs="黑体"/>
          <w:color w:val="auto"/>
          <w:kern w:val="2"/>
          <w:sz w:val="32"/>
          <w:szCs w:val="32"/>
          <w:highlight w:val="none"/>
          <w:lang w:val="en-US" w:eastAsia="zh-CN" w:bidi="ar-SA"/>
        </w:rPr>
        <w:t>二十九</w:t>
      </w:r>
      <w:r>
        <w:rPr>
          <w:rFonts w:hint="default" w:ascii="黑体" w:hAnsi="黑体" w:eastAsia="黑体" w:cs="黑体"/>
          <w:color w:val="auto"/>
          <w:kern w:val="2"/>
          <w:sz w:val="32"/>
          <w:szCs w:val="32"/>
          <w:highlight w:val="none"/>
          <w:lang w:eastAsia="zh-CN" w:bidi="ar-SA"/>
        </w:rPr>
        <w:t>条</w:t>
      </w:r>
      <w:r>
        <w:rPr>
          <w:rFonts w:hint="eastAsia" w:ascii="黑体" w:hAnsi="黑体" w:eastAsia="黑体" w:cs="黑体"/>
          <w:color w:val="auto"/>
          <w:kern w:val="2"/>
          <w:sz w:val="32"/>
          <w:szCs w:val="32"/>
          <w:highlight w:val="none"/>
          <w:lang w:val="en-US" w:eastAsia="zh-CN" w:bidi="ar-SA"/>
        </w:rPr>
        <w:t xml:space="preserve">  </w:t>
      </w:r>
      <w:r>
        <w:rPr>
          <w:rFonts w:hint="default" w:ascii="黑体" w:hAnsi="黑体" w:eastAsia="黑体" w:cs="黑体"/>
          <w:b w:val="0"/>
          <w:bCs/>
          <w:color w:val="auto"/>
          <w:sz w:val="32"/>
          <w:szCs w:val="32"/>
          <w:highlight w:val="none"/>
          <w:shd w:val="clear" w:color="auto" w:fill="auto"/>
          <w:lang w:eastAsia="zh-CN" w:bidi="en-US"/>
        </w:rPr>
        <w:t>【</w:t>
      </w:r>
      <w:r>
        <w:rPr>
          <w:rFonts w:hint="eastAsia" w:ascii="黑体" w:hAnsi="黑体" w:eastAsia="黑体" w:cs="黑体"/>
          <w:b w:val="0"/>
          <w:bCs/>
          <w:color w:val="auto"/>
          <w:sz w:val="32"/>
          <w:szCs w:val="32"/>
          <w:highlight w:val="none"/>
          <w:shd w:val="clear" w:color="auto" w:fill="auto"/>
          <w:lang w:val="en-US" w:eastAsia="zh-CN" w:bidi="en-US"/>
        </w:rPr>
        <w:t>协议内容</w:t>
      </w:r>
      <w:r>
        <w:rPr>
          <w:rFonts w:hint="default" w:ascii="黑体" w:hAnsi="黑体" w:eastAsia="黑体" w:cs="黑体"/>
          <w:b w:val="0"/>
          <w:bCs/>
          <w:color w:val="auto"/>
          <w:sz w:val="32"/>
          <w:szCs w:val="32"/>
          <w:highlight w:val="none"/>
          <w:shd w:val="clear" w:color="auto" w:fill="auto"/>
          <w:lang w:eastAsia="zh-CN" w:bidi="en-US"/>
        </w:rPr>
        <w:t>】</w:t>
      </w:r>
      <w:r>
        <w:rPr>
          <w:rFonts w:hint="eastAsia" w:ascii="仿宋" w:hAnsi="仿宋" w:eastAsia="仿宋" w:cs="仿宋"/>
          <w:color w:val="auto"/>
          <w:kern w:val="0"/>
          <w:sz w:val="32"/>
          <w:szCs w:val="32"/>
          <w:highlight w:val="none"/>
          <w:lang w:val="en-US" w:eastAsia="zh-CN" w:bidi="ar"/>
        </w:rPr>
        <w:t>协议</w:t>
      </w:r>
      <w:r>
        <w:rPr>
          <w:rFonts w:hint="default" w:ascii="仿宋" w:hAnsi="仿宋" w:eastAsia="仿宋" w:cs="仿宋"/>
          <w:color w:val="auto"/>
          <w:kern w:val="0"/>
          <w:sz w:val="32"/>
          <w:szCs w:val="32"/>
          <w:highlight w:val="none"/>
          <w:lang w:val="en-US" w:eastAsia="zh-CN" w:bidi="ar"/>
        </w:rPr>
        <w:t>内容原则上</w:t>
      </w:r>
      <w:r>
        <w:rPr>
          <w:rFonts w:hint="eastAsia" w:ascii="仿宋" w:hAnsi="仿宋" w:eastAsia="仿宋" w:cs="仿宋"/>
          <w:color w:val="auto"/>
          <w:kern w:val="0"/>
          <w:sz w:val="32"/>
          <w:szCs w:val="32"/>
          <w:highlight w:val="none"/>
          <w:lang w:val="en-US" w:eastAsia="zh-CN" w:bidi="ar"/>
        </w:rPr>
        <w:t>应包括：各定点服务机构付费方式及标准；经办机构与定点</w:t>
      </w:r>
      <w:r>
        <w:rPr>
          <w:rFonts w:hint="eastAsia" w:ascii="仿宋" w:hAnsi="仿宋" w:eastAsia="仿宋" w:cs="仿宋"/>
          <w:color w:val="auto"/>
          <w:kern w:val="0"/>
          <w:sz w:val="32"/>
          <w:szCs w:val="32"/>
          <w:highlight w:val="none"/>
          <w:lang w:eastAsia="zh-CN" w:bidi="ar"/>
        </w:rPr>
        <w:t>服务机构</w:t>
      </w:r>
      <w:r>
        <w:rPr>
          <w:rFonts w:hint="eastAsia" w:ascii="仿宋" w:hAnsi="仿宋" w:eastAsia="仿宋" w:cs="仿宋"/>
          <w:color w:val="auto"/>
          <w:kern w:val="0"/>
          <w:sz w:val="32"/>
          <w:szCs w:val="32"/>
          <w:highlight w:val="none"/>
          <w:lang w:val="en-US" w:eastAsia="zh-CN" w:bidi="ar"/>
        </w:rPr>
        <w:t>日常结算办法、时限及付费标准；</w:t>
      </w:r>
      <w:r>
        <w:rPr>
          <w:rFonts w:hint="default" w:ascii="仿宋" w:hAnsi="仿宋" w:eastAsia="仿宋" w:cs="仿宋"/>
          <w:color w:val="auto"/>
          <w:kern w:val="0"/>
          <w:sz w:val="32"/>
          <w:szCs w:val="32"/>
          <w:highlight w:val="none"/>
          <w:lang w:val="en-US" w:eastAsia="zh-CN" w:bidi="ar"/>
        </w:rPr>
        <w:t>多元复合式医保支付方式</w:t>
      </w:r>
      <w:r>
        <w:rPr>
          <w:rFonts w:hint="eastAsia" w:ascii="仿宋" w:hAnsi="仿宋" w:eastAsia="仿宋" w:cs="仿宋"/>
          <w:color w:val="auto"/>
          <w:kern w:val="0"/>
          <w:sz w:val="32"/>
          <w:szCs w:val="32"/>
          <w:highlight w:val="none"/>
          <w:lang w:val="en-US" w:eastAsia="zh-CN" w:bidi="ar"/>
        </w:rPr>
        <w:t>付费结算适用范围、费用审核、结算方法及流程；明确经办机构与定点服务机构对DRG</w:t>
      </w:r>
      <w:r>
        <w:rPr>
          <w:rFonts w:hint="default" w:ascii="仿宋" w:hAnsi="仿宋" w:eastAsia="仿宋" w:cs="仿宋"/>
          <w:color w:val="auto"/>
          <w:kern w:val="0"/>
          <w:sz w:val="32"/>
          <w:szCs w:val="32"/>
          <w:highlight w:val="none"/>
          <w:lang w:val="en-US" w:eastAsia="zh-CN" w:bidi="ar"/>
        </w:rPr>
        <w:t>/DIP</w:t>
      </w:r>
      <w:r>
        <w:rPr>
          <w:rFonts w:hint="eastAsia" w:ascii="仿宋" w:hAnsi="仿宋" w:eastAsia="仿宋" w:cs="仿宋"/>
          <w:color w:val="auto"/>
          <w:kern w:val="0"/>
          <w:sz w:val="32"/>
          <w:szCs w:val="32"/>
          <w:highlight w:val="none"/>
          <w:lang w:val="en-US" w:eastAsia="zh-CN" w:bidi="ar"/>
        </w:rPr>
        <w:t>分组及付费标准的协商谈判</w:t>
      </w:r>
      <w:r>
        <w:rPr>
          <w:rFonts w:hint="default" w:ascii="仿宋" w:hAnsi="仿宋" w:eastAsia="仿宋" w:cs="仿宋"/>
          <w:color w:val="auto"/>
          <w:kern w:val="0"/>
          <w:sz w:val="32"/>
          <w:szCs w:val="32"/>
          <w:highlight w:val="none"/>
          <w:lang w:val="en-US" w:eastAsia="zh-CN" w:bidi="ar"/>
        </w:rPr>
        <w:t>及争议处理</w:t>
      </w:r>
      <w:r>
        <w:rPr>
          <w:rFonts w:hint="eastAsia" w:ascii="仿宋" w:hAnsi="仿宋" w:eastAsia="仿宋" w:cs="仿宋"/>
          <w:color w:val="auto"/>
          <w:kern w:val="0"/>
          <w:sz w:val="32"/>
          <w:szCs w:val="32"/>
          <w:highlight w:val="none"/>
          <w:lang w:val="en-US" w:eastAsia="zh-CN" w:bidi="ar"/>
        </w:rPr>
        <w:t>；定点服务机构医保结算清单填报及电子病历上传等数据质量管理要求；经办机构和定点服务机构应尽职责及义务等。</w:t>
      </w:r>
    </w:p>
    <w:bookmarkEnd w:id="18"/>
    <w:bookmarkEnd w:id="19"/>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2312" w:hAnsi="方正仿宋_GB2312" w:eastAsia="方正仿宋_GB2312" w:cs="方正仿宋_GB2312"/>
          <w:color w:val="auto"/>
          <w:kern w:val="0"/>
          <w:sz w:val="32"/>
          <w:szCs w:val="32"/>
          <w:highlight w:val="none"/>
          <w:shd w:val="clear" w:color="auto" w:fill="auto"/>
          <w:lang w:val="en-US" w:eastAsia="zh-CN" w:bidi="en-US"/>
        </w:rPr>
      </w:pPr>
      <w:r>
        <w:rPr>
          <w:rFonts w:hint="default" w:ascii="黑体" w:hAnsi="黑体" w:eastAsia="黑体" w:cs="黑体"/>
          <w:b w:val="0"/>
          <w:bCs/>
          <w:color w:val="auto"/>
          <w:sz w:val="32"/>
          <w:szCs w:val="32"/>
          <w:highlight w:val="none"/>
          <w:shd w:val="clear" w:color="auto" w:fill="auto"/>
          <w:lang w:val="en-US" w:eastAsia="zh-CN" w:bidi="en-US"/>
        </w:rPr>
        <w:t>第</w:t>
      </w:r>
      <w:r>
        <w:rPr>
          <w:rFonts w:hint="eastAsia" w:ascii="黑体" w:hAnsi="黑体" w:eastAsia="黑体" w:cs="黑体"/>
          <w:b w:val="0"/>
          <w:bCs/>
          <w:color w:val="auto"/>
          <w:sz w:val="32"/>
          <w:szCs w:val="32"/>
          <w:highlight w:val="none"/>
          <w:shd w:val="clear" w:color="auto" w:fill="auto"/>
          <w:lang w:val="en-US" w:eastAsia="zh-CN" w:bidi="en-US"/>
        </w:rPr>
        <w:t>三十</w:t>
      </w:r>
      <w:r>
        <w:rPr>
          <w:rFonts w:hint="default" w:ascii="黑体" w:hAnsi="黑体" w:eastAsia="黑体" w:cs="黑体"/>
          <w:b w:val="0"/>
          <w:bCs/>
          <w:color w:val="auto"/>
          <w:sz w:val="32"/>
          <w:szCs w:val="32"/>
          <w:highlight w:val="none"/>
          <w:shd w:val="clear" w:color="auto" w:fill="auto"/>
          <w:lang w:val="en-US" w:eastAsia="zh-CN" w:bidi="en-US"/>
        </w:rPr>
        <w:t xml:space="preserve">条 </w:t>
      </w:r>
      <w:r>
        <w:rPr>
          <w:rFonts w:hint="eastAsia" w:ascii="黑体" w:hAnsi="黑体" w:eastAsia="黑体" w:cs="黑体"/>
          <w:b w:val="0"/>
          <w:bCs/>
          <w:color w:val="auto"/>
          <w:sz w:val="32"/>
          <w:szCs w:val="32"/>
          <w:highlight w:val="none"/>
          <w:shd w:val="clear" w:color="auto" w:fill="auto"/>
          <w:lang w:val="en-US" w:eastAsia="zh-CN" w:bidi="en-US"/>
        </w:rPr>
        <w:t xml:space="preserve"> </w:t>
      </w:r>
      <w:r>
        <w:rPr>
          <w:rFonts w:hint="default" w:ascii="黑体" w:hAnsi="黑体" w:eastAsia="黑体" w:cs="黑体"/>
          <w:b w:val="0"/>
          <w:bCs/>
          <w:color w:val="auto"/>
          <w:sz w:val="32"/>
          <w:szCs w:val="32"/>
          <w:highlight w:val="none"/>
          <w:shd w:val="clear" w:color="auto" w:fill="auto"/>
          <w:lang w:eastAsia="zh-CN" w:bidi="en-US"/>
        </w:rPr>
        <w:t>【</w:t>
      </w:r>
      <w:r>
        <w:rPr>
          <w:rFonts w:hint="eastAsia" w:ascii="黑体" w:hAnsi="黑体" w:eastAsia="黑体" w:cs="黑体"/>
          <w:b w:val="0"/>
          <w:bCs/>
          <w:color w:val="auto"/>
          <w:sz w:val="32"/>
          <w:szCs w:val="32"/>
          <w:highlight w:val="none"/>
          <w:shd w:val="clear" w:color="auto" w:fill="auto"/>
          <w:lang w:val="en-US" w:eastAsia="zh-CN" w:bidi="en-US"/>
        </w:rPr>
        <w:t>审核</w:t>
      </w:r>
      <w:r>
        <w:rPr>
          <w:rFonts w:hint="default" w:ascii="黑体" w:hAnsi="黑体" w:eastAsia="黑体" w:cs="黑体"/>
          <w:b w:val="0"/>
          <w:bCs/>
          <w:color w:val="auto"/>
          <w:sz w:val="32"/>
          <w:szCs w:val="32"/>
          <w:highlight w:val="none"/>
          <w:shd w:val="clear" w:color="auto" w:fill="auto"/>
          <w:lang w:eastAsia="zh-CN" w:bidi="en-US"/>
        </w:rPr>
        <w:t>内容】</w:t>
      </w:r>
      <w:r>
        <w:rPr>
          <w:rFonts w:hint="eastAsia" w:ascii="黑体" w:hAnsi="黑体" w:eastAsia="黑体" w:cs="黑体"/>
          <w:b w:val="0"/>
          <w:bCs/>
          <w:color w:val="auto"/>
          <w:sz w:val="32"/>
          <w:szCs w:val="32"/>
          <w:highlight w:val="none"/>
          <w:shd w:val="clear" w:color="auto" w:fill="auto"/>
          <w:lang w:val="en-US" w:eastAsia="zh-CN" w:bidi="en-US"/>
        </w:rPr>
        <w:t xml:space="preserve"> </w:t>
      </w:r>
      <w:r>
        <w:rPr>
          <w:rFonts w:hint="default" w:ascii="仿宋" w:hAnsi="仿宋" w:eastAsia="仿宋" w:cs="仿宋"/>
          <w:color w:val="auto"/>
          <w:kern w:val="0"/>
          <w:sz w:val="32"/>
          <w:szCs w:val="32"/>
          <w:highlight w:val="none"/>
          <w:shd w:val="clear" w:color="auto" w:fill="auto"/>
          <w:lang w:val="en-US" w:eastAsia="zh-CN" w:bidi="ar"/>
        </w:rPr>
        <w:t>建立多元复合式医保支付方式</w:t>
      </w:r>
      <w:r>
        <w:rPr>
          <w:rFonts w:hint="eastAsia" w:ascii="仿宋" w:hAnsi="仿宋" w:eastAsia="仿宋" w:cs="仿宋"/>
          <w:color w:val="auto"/>
          <w:kern w:val="0"/>
          <w:sz w:val="32"/>
          <w:szCs w:val="32"/>
          <w:highlight w:val="none"/>
          <w:shd w:val="clear" w:color="auto" w:fill="auto"/>
          <w:lang w:val="en-US" w:eastAsia="zh-CN" w:bidi="ar"/>
        </w:rPr>
        <w:t>审核</w:t>
      </w:r>
      <w:r>
        <w:rPr>
          <w:rFonts w:hint="default" w:ascii="仿宋" w:hAnsi="仿宋" w:eastAsia="仿宋" w:cs="仿宋"/>
          <w:color w:val="auto"/>
          <w:kern w:val="0"/>
          <w:sz w:val="32"/>
          <w:szCs w:val="32"/>
          <w:highlight w:val="none"/>
          <w:shd w:val="clear" w:color="auto" w:fill="auto"/>
          <w:lang w:val="en-US" w:eastAsia="zh-CN" w:bidi="ar"/>
        </w:rPr>
        <w:t>机制，加强事前、事中、事后全流程监</w:t>
      </w:r>
      <w:r>
        <w:rPr>
          <w:rFonts w:hint="eastAsia" w:ascii="仿宋" w:hAnsi="仿宋" w:eastAsia="仿宋" w:cs="仿宋"/>
          <w:color w:val="auto"/>
          <w:kern w:val="0"/>
          <w:sz w:val="32"/>
          <w:szCs w:val="32"/>
          <w:highlight w:val="none"/>
          <w:shd w:val="clear" w:color="auto" w:fill="auto"/>
          <w:lang w:val="en-US" w:eastAsia="zh-CN" w:bidi="ar"/>
        </w:rPr>
        <w:t>控</w:t>
      </w:r>
      <w:r>
        <w:rPr>
          <w:rFonts w:hint="default" w:ascii="仿宋" w:hAnsi="仿宋" w:eastAsia="仿宋" w:cs="仿宋"/>
          <w:color w:val="auto"/>
          <w:kern w:val="0"/>
          <w:sz w:val="32"/>
          <w:szCs w:val="32"/>
          <w:highlight w:val="none"/>
          <w:shd w:val="clear" w:color="auto" w:fill="auto"/>
          <w:lang w:val="en-US" w:eastAsia="zh-CN" w:bidi="ar"/>
        </w:rPr>
        <w:t>。</w:t>
      </w:r>
      <w:r>
        <w:rPr>
          <w:rFonts w:hint="eastAsia" w:ascii="仿宋" w:hAnsi="仿宋" w:eastAsia="仿宋" w:cs="仿宋"/>
          <w:color w:val="auto"/>
          <w:kern w:val="0"/>
          <w:sz w:val="32"/>
          <w:szCs w:val="32"/>
          <w:highlight w:val="none"/>
          <w:shd w:val="clear" w:color="auto" w:fill="auto"/>
          <w:lang w:val="en-US" w:eastAsia="zh-CN" w:bidi="ar"/>
        </w:rPr>
        <w:t>对定点服务机构在DRG</w:t>
      </w:r>
      <w:r>
        <w:rPr>
          <w:rFonts w:hint="default" w:ascii="仿宋" w:hAnsi="仿宋" w:eastAsia="仿宋" w:cs="仿宋"/>
          <w:color w:val="auto"/>
          <w:kern w:val="0"/>
          <w:sz w:val="32"/>
          <w:szCs w:val="32"/>
          <w:highlight w:val="none"/>
          <w:shd w:val="clear" w:color="auto" w:fill="auto"/>
          <w:lang w:val="en-US" w:eastAsia="zh-CN" w:bidi="ar"/>
        </w:rPr>
        <w:t>/DIP</w:t>
      </w:r>
      <w:r>
        <w:rPr>
          <w:rFonts w:hint="eastAsia" w:ascii="仿宋" w:hAnsi="仿宋" w:eastAsia="仿宋" w:cs="仿宋"/>
          <w:color w:val="auto"/>
          <w:kern w:val="0"/>
          <w:sz w:val="32"/>
          <w:szCs w:val="32"/>
          <w:highlight w:val="none"/>
          <w:shd w:val="clear" w:color="auto" w:fill="auto"/>
          <w:lang w:val="en-US" w:eastAsia="zh-CN" w:bidi="ar"/>
        </w:rPr>
        <w:t>付费中发生的高靠分组、推诿患者、分解住院、服务不足、低标准入院等违约行为进行重点审核。</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黑体" w:hAnsi="黑体" w:eastAsia="黑体" w:cs="黑体"/>
          <w:b w:val="0"/>
          <w:bCs/>
          <w:color w:val="auto"/>
          <w:sz w:val="32"/>
          <w:szCs w:val="32"/>
          <w:highlight w:val="none"/>
          <w:shd w:val="clear" w:color="auto" w:fill="auto"/>
          <w:lang w:eastAsia="zh-CN" w:bidi="en-US"/>
        </w:rPr>
      </w:pPr>
      <w:r>
        <w:rPr>
          <w:rFonts w:hint="default" w:ascii="黑体" w:hAnsi="黑体" w:eastAsia="黑体" w:cs="黑体"/>
          <w:b w:val="0"/>
          <w:bCs/>
          <w:color w:val="auto"/>
          <w:sz w:val="32"/>
          <w:szCs w:val="32"/>
          <w:highlight w:val="none"/>
          <w:shd w:val="clear" w:color="auto" w:fill="auto"/>
          <w:lang w:val="en-US" w:eastAsia="zh-CN" w:bidi="en-US"/>
        </w:rPr>
        <w:t>第</w:t>
      </w:r>
      <w:r>
        <w:rPr>
          <w:rFonts w:hint="eastAsia" w:ascii="黑体" w:hAnsi="黑体" w:eastAsia="黑体" w:cs="黑体"/>
          <w:b w:val="0"/>
          <w:bCs/>
          <w:color w:val="auto"/>
          <w:sz w:val="32"/>
          <w:szCs w:val="32"/>
          <w:highlight w:val="none"/>
          <w:shd w:val="clear" w:color="auto" w:fill="auto"/>
          <w:lang w:val="en-US" w:eastAsia="zh-CN" w:bidi="en-US"/>
        </w:rPr>
        <w:t>三十一</w:t>
      </w:r>
      <w:r>
        <w:rPr>
          <w:rFonts w:hint="default" w:ascii="黑体" w:hAnsi="黑体" w:eastAsia="黑体" w:cs="黑体"/>
          <w:b w:val="0"/>
          <w:bCs/>
          <w:color w:val="auto"/>
          <w:sz w:val="32"/>
          <w:szCs w:val="32"/>
          <w:highlight w:val="none"/>
          <w:shd w:val="clear" w:color="auto" w:fill="auto"/>
          <w:lang w:val="en-US" w:eastAsia="zh-CN" w:bidi="en-US"/>
        </w:rPr>
        <w:t xml:space="preserve">条 </w:t>
      </w:r>
      <w:r>
        <w:rPr>
          <w:rFonts w:hint="default" w:ascii="黑体" w:hAnsi="黑体" w:eastAsia="黑体" w:cs="黑体"/>
          <w:b w:val="0"/>
          <w:bCs/>
          <w:color w:val="auto"/>
          <w:sz w:val="32"/>
          <w:szCs w:val="32"/>
          <w:highlight w:val="none"/>
          <w:shd w:val="clear" w:color="auto" w:fill="auto"/>
          <w:lang w:eastAsia="zh-CN" w:bidi="en-US"/>
        </w:rPr>
        <w:t>【</w:t>
      </w:r>
      <w:r>
        <w:rPr>
          <w:rFonts w:hint="eastAsia" w:ascii="黑体" w:hAnsi="黑体" w:eastAsia="黑体" w:cs="黑体"/>
          <w:b w:val="0"/>
          <w:bCs/>
          <w:color w:val="auto"/>
          <w:sz w:val="32"/>
          <w:szCs w:val="32"/>
          <w:highlight w:val="none"/>
          <w:shd w:val="clear" w:color="auto" w:fill="auto"/>
          <w:lang w:val="en-US" w:eastAsia="zh-CN" w:bidi="en-US"/>
        </w:rPr>
        <w:t>审核</w:t>
      </w:r>
      <w:r>
        <w:rPr>
          <w:rFonts w:hint="default" w:ascii="黑体" w:hAnsi="黑体" w:eastAsia="黑体" w:cs="黑体"/>
          <w:b w:val="0"/>
          <w:bCs/>
          <w:color w:val="auto"/>
          <w:sz w:val="32"/>
          <w:szCs w:val="32"/>
          <w:highlight w:val="none"/>
          <w:shd w:val="clear" w:color="auto" w:fill="auto"/>
          <w:lang w:val="en-US" w:eastAsia="zh-CN" w:bidi="en-US"/>
        </w:rPr>
        <w:t>方式及方法</w:t>
      </w:r>
      <w:r>
        <w:rPr>
          <w:rFonts w:hint="default" w:ascii="黑体" w:hAnsi="黑体" w:eastAsia="黑体" w:cs="黑体"/>
          <w:b w:val="0"/>
          <w:bCs/>
          <w:color w:val="auto"/>
          <w:sz w:val="32"/>
          <w:szCs w:val="32"/>
          <w:highlight w:val="none"/>
          <w:shd w:val="clear" w:color="auto" w:fill="auto"/>
          <w:lang w:eastAsia="zh-CN" w:bidi="en-US"/>
        </w:rPr>
        <w:t>】</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 w:hAnsi="仿宋" w:eastAsia="仿宋" w:cs="仿宋"/>
          <w:color w:val="auto"/>
          <w:kern w:val="0"/>
          <w:sz w:val="32"/>
          <w:szCs w:val="32"/>
          <w:highlight w:val="none"/>
          <w:shd w:val="clear" w:color="auto" w:fill="auto"/>
          <w:lang w:val="en-US" w:eastAsia="zh-CN" w:bidi="ar"/>
        </w:rPr>
      </w:pPr>
      <w:r>
        <w:rPr>
          <w:rFonts w:hint="default" w:ascii="仿宋" w:hAnsi="仿宋" w:eastAsia="仿宋" w:cs="仿宋"/>
          <w:color w:val="auto"/>
          <w:kern w:val="0"/>
          <w:sz w:val="32"/>
          <w:szCs w:val="32"/>
          <w:highlight w:val="none"/>
          <w:shd w:val="clear" w:color="auto" w:fill="auto"/>
          <w:lang w:val="en-US" w:eastAsia="zh-CN" w:bidi="ar"/>
        </w:rPr>
        <w:t>（一）日常</w:t>
      </w:r>
      <w:r>
        <w:rPr>
          <w:rFonts w:hint="eastAsia" w:ascii="仿宋" w:hAnsi="仿宋" w:eastAsia="仿宋" w:cs="仿宋"/>
          <w:color w:val="auto"/>
          <w:kern w:val="0"/>
          <w:sz w:val="32"/>
          <w:szCs w:val="32"/>
          <w:highlight w:val="none"/>
          <w:shd w:val="clear" w:color="auto" w:fill="auto"/>
          <w:lang w:val="en-US" w:eastAsia="zh-CN" w:bidi="ar"/>
        </w:rPr>
        <w:t>审核</w:t>
      </w:r>
      <w:r>
        <w:rPr>
          <w:rFonts w:hint="default" w:ascii="仿宋" w:hAnsi="仿宋" w:eastAsia="仿宋" w:cs="仿宋"/>
          <w:color w:val="auto"/>
          <w:kern w:val="0"/>
          <w:sz w:val="32"/>
          <w:szCs w:val="32"/>
          <w:highlight w:val="none"/>
          <w:shd w:val="clear" w:color="auto" w:fill="auto"/>
          <w:lang w:val="en-US" w:eastAsia="zh-CN" w:bidi="ar"/>
        </w:rPr>
        <w:t>。完善多元复合式医保支付方式下的智能审核体系，借助多元复合式医保支付方式医疗管理工具，分析数据、追踪问题线索，通过</w:t>
      </w:r>
      <w:r>
        <w:rPr>
          <w:rFonts w:hint="eastAsia" w:ascii="仿宋" w:hAnsi="仿宋" w:eastAsia="仿宋" w:cs="仿宋"/>
          <w:color w:val="auto"/>
          <w:kern w:val="0"/>
          <w:sz w:val="32"/>
          <w:szCs w:val="32"/>
          <w:highlight w:val="none"/>
          <w:shd w:val="clear" w:color="auto" w:fill="auto"/>
          <w:lang w:val="en-US" w:eastAsia="zh-CN" w:bidi="ar"/>
        </w:rPr>
        <w:t>线上审核</w:t>
      </w:r>
      <w:r>
        <w:rPr>
          <w:rFonts w:hint="default" w:ascii="仿宋" w:hAnsi="仿宋" w:eastAsia="仿宋" w:cs="仿宋"/>
          <w:color w:val="auto"/>
          <w:kern w:val="0"/>
          <w:sz w:val="32"/>
          <w:szCs w:val="32"/>
          <w:highlight w:val="none"/>
          <w:shd w:val="clear" w:color="auto" w:fill="auto"/>
          <w:lang w:val="en-US" w:eastAsia="zh-CN" w:bidi="ar"/>
        </w:rPr>
        <w:t>、实地</w:t>
      </w:r>
      <w:r>
        <w:rPr>
          <w:rFonts w:hint="eastAsia" w:ascii="仿宋" w:hAnsi="仿宋" w:eastAsia="仿宋" w:cs="仿宋"/>
          <w:color w:val="auto"/>
          <w:kern w:val="0"/>
          <w:sz w:val="32"/>
          <w:szCs w:val="32"/>
          <w:highlight w:val="none"/>
          <w:shd w:val="clear" w:color="auto" w:fill="auto"/>
          <w:lang w:val="en-US" w:eastAsia="zh-CN" w:bidi="ar"/>
        </w:rPr>
        <w:t>核查</w:t>
      </w:r>
      <w:r>
        <w:rPr>
          <w:rFonts w:hint="default" w:ascii="仿宋" w:hAnsi="仿宋" w:eastAsia="仿宋" w:cs="仿宋"/>
          <w:color w:val="auto"/>
          <w:kern w:val="0"/>
          <w:sz w:val="32"/>
          <w:szCs w:val="32"/>
          <w:highlight w:val="none"/>
          <w:shd w:val="clear" w:color="auto" w:fill="auto"/>
          <w:lang w:val="en-US" w:eastAsia="zh-CN" w:bidi="ar"/>
        </w:rPr>
        <w:t>等方式，对违规、违约行为依照相应程序进行处理。</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 w:hAnsi="仿宋" w:eastAsia="仿宋" w:cs="仿宋"/>
          <w:color w:val="auto"/>
          <w:kern w:val="0"/>
          <w:sz w:val="32"/>
          <w:szCs w:val="32"/>
          <w:highlight w:val="none"/>
          <w:shd w:val="clear" w:color="auto" w:fill="auto"/>
          <w:lang w:val="en-US" w:eastAsia="zh-CN" w:bidi="ar"/>
        </w:rPr>
      </w:pPr>
      <w:r>
        <w:rPr>
          <w:rFonts w:hint="default" w:ascii="仿宋" w:hAnsi="仿宋" w:eastAsia="仿宋" w:cs="仿宋"/>
          <w:color w:val="auto"/>
          <w:kern w:val="0"/>
          <w:sz w:val="32"/>
          <w:szCs w:val="32"/>
          <w:highlight w:val="none"/>
          <w:shd w:val="clear" w:color="auto" w:fill="auto"/>
          <w:lang w:val="en-US" w:eastAsia="zh-CN" w:bidi="ar"/>
        </w:rPr>
        <w:t>（二）专项</w:t>
      </w:r>
      <w:r>
        <w:rPr>
          <w:rFonts w:hint="eastAsia" w:ascii="仿宋" w:hAnsi="仿宋" w:eastAsia="仿宋" w:cs="仿宋"/>
          <w:color w:val="auto"/>
          <w:kern w:val="0"/>
          <w:sz w:val="32"/>
          <w:szCs w:val="32"/>
          <w:highlight w:val="none"/>
          <w:shd w:val="clear" w:color="auto" w:fill="auto"/>
          <w:lang w:val="en-US" w:eastAsia="zh-CN" w:bidi="ar"/>
        </w:rPr>
        <w:t>审核</w:t>
      </w:r>
      <w:r>
        <w:rPr>
          <w:rFonts w:hint="default" w:ascii="仿宋" w:hAnsi="仿宋" w:eastAsia="仿宋" w:cs="仿宋"/>
          <w:color w:val="auto"/>
          <w:kern w:val="0"/>
          <w:sz w:val="32"/>
          <w:szCs w:val="32"/>
          <w:highlight w:val="none"/>
          <w:shd w:val="clear" w:color="auto" w:fill="auto"/>
          <w:lang w:val="en-US" w:eastAsia="zh-CN" w:bidi="ar"/>
        </w:rPr>
        <w:t>。</w:t>
      </w:r>
      <w:r>
        <w:rPr>
          <w:rFonts w:hint="eastAsia" w:ascii="仿宋" w:hAnsi="仿宋" w:eastAsia="仿宋" w:cs="仿宋"/>
          <w:strike w:val="0"/>
          <w:dstrike w:val="0"/>
          <w:color w:val="auto"/>
          <w:kern w:val="0"/>
          <w:sz w:val="32"/>
          <w:szCs w:val="32"/>
          <w:highlight w:val="none"/>
          <w:shd w:val="clear" w:color="auto" w:fill="auto"/>
          <w:lang w:val="en-US" w:eastAsia="zh-CN" w:bidi="ar"/>
        </w:rPr>
        <w:t>根据</w:t>
      </w:r>
      <w:r>
        <w:rPr>
          <w:rFonts w:hint="default" w:ascii="仿宋" w:hAnsi="仿宋" w:eastAsia="仿宋" w:cs="仿宋"/>
          <w:color w:val="auto"/>
          <w:kern w:val="0"/>
          <w:sz w:val="32"/>
          <w:szCs w:val="32"/>
          <w:highlight w:val="none"/>
          <w:shd w:val="clear" w:color="auto" w:fill="auto"/>
          <w:lang w:val="en-US" w:eastAsia="zh-CN" w:bidi="ar"/>
        </w:rPr>
        <w:t>医保行政部门</w:t>
      </w:r>
      <w:r>
        <w:rPr>
          <w:rFonts w:hint="eastAsia" w:ascii="仿宋" w:hAnsi="仿宋" w:eastAsia="仿宋" w:cs="仿宋"/>
          <w:color w:val="auto"/>
          <w:kern w:val="0"/>
          <w:sz w:val="32"/>
          <w:szCs w:val="32"/>
          <w:highlight w:val="none"/>
          <w:shd w:val="clear" w:color="auto" w:fill="auto"/>
          <w:lang w:val="en-US" w:eastAsia="zh-CN" w:bidi="ar"/>
        </w:rPr>
        <w:t>制定</w:t>
      </w:r>
      <w:r>
        <w:rPr>
          <w:rFonts w:hint="default" w:ascii="仿宋" w:hAnsi="仿宋" w:eastAsia="仿宋" w:cs="仿宋"/>
          <w:color w:val="auto"/>
          <w:kern w:val="0"/>
          <w:sz w:val="32"/>
          <w:szCs w:val="32"/>
          <w:highlight w:val="none"/>
          <w:shd w:val="clear" w:color="auto" w:fill="auto"/>
          <w:lang w:val="en-US" w:eastAsia="zh-CN" w:bidi="ar"/>
        </w:rPr>
        <w:t>的</w:t>
      </w:r>
      <w:r>
        <w:rPr>
          <w:rFonts w:hint="eastAsia" w:ascii="仿宋" w:hAnsi="仿宋" w:eastAsia="仿宋" w:cs="仿宋"/>
          <w:color w:val="auto"/>
          <w:kern w:val="0"/>
          <w:sz w:val="32"/>
          <w:szCs w:val="32"/>
          <w:highlight w:val="none"/>
          <w:shd w:val="clear" w:color="auto" w:fill="auto"/>
          <w:lang w:val="en-US" w:eastAsia="zh-CN" w:bidi="ar"/>
        </w:rPr>
        <w:t>专项工作计划</w:t>
      </w:r>
      <w:r>
        <w:rPr>
          <w:rFonts w:hint="default" w:ascii="仿宋" w:hAnsi="仿宋" w:eastAsia="仿宋" w:cs="仿宋"/>
          <w:color w:val="auto"/>
          <w:kern w:val="0"/>
          <w:sz w:val="32"/>
          <w:szCs w:val="32"/>
          <w:highlight w:val="none"/>
          <w:shd w:val="clear" w:color="auto" w:fill="auto"/>
          <w:lang w:val="en-US" w:eastAsia="zh-CN" w:bidi="ar"/>
        </w:rPr>
        <w:t>，</w:t>
      </w:r>
      <w:r>
        <w:rPr>
          <w:rFonts w:hint="eastAsia" w:ascii="仿宋" w:hAnsi="仿宋" w:eastAsia="仿宋" w:cs="仿宋"/>
          <w:color w:val="auto"/>
          <w:kern w:val="0"/>
          <w:sz w:val="32"/>
          <w:szCs w:val="32"/>
          <w:highlight w:val="none"/>
          <w:shd w:val="clear" w:color="auto" w:fill="auto"/>
          <w:lang w:val="en-US" w:eastAsia="zh-CN" w:bidi="ar"/>
        </w:rPr>
        <w:t>各经办机构</w:t>
      </w:r>
      <w:r>
        <w:rPr>
          <w:rFonts w:hint="default" w:ascii="仿宋" w:hAnsi="仿宋" w:eastAsia="仿宋" w:cs="仿宋"/>
          <w:color w:val="auto"/>
          <w:kern w:val="0"/>
          <w:sz w:val="32"/>
          <w:szCs w:val="32"/>
          <w:highlight w:val="none"/>
          <w:shd w:val="clear" w:color="auto" w:fill="auto"/>
          <w:lang w:val="en-US" w:eastAsia="zh-CN" w:bidi="ar"/>
        </w:rPr>
        <w:t>负责组织多元复合式医保支付方式</w:t>
      </w:r>
      <w:r>
        <w:rPr>
          <w:rFonts w:hint="eastAsia" w:ascii="仿宋" w:hAnsi="仿宋" w:eastAsia="仿宋" w:cs="仿宋"/>
          <w:color w:val="auto"/>
          <w:kern w:val="0"/>
          <w:sz w:val="32"/>
          <w:szCs w:val="32"/>
          <w:highlight w:val="none"/>
          <w:shd w:val="clear" w:color="auto" w:fill="auto"/>
          <w:lang w:val="en-US" w:eastAsia="zh-CN" w:bidi="ar"/>
        </w:rPr>
        <w:t>费用支出审核</w:t>
      </w:r>
      <w:r>
        <w:rPr>
          <w:rFonts w:hint="default" w:ascii="仿宋" w:hAnsi="仿宋" w:eastAsia="仿宋" w:cs="仿宋"/>
          <w:color w:val="auto"/>
          <w:kern w:val="0"/>
          <w:sz w:val="32"/>
          <w:szCs w:val="32"/>
          <w:highlight w:val="none"/>
          <w:shd w:val="clear" w:color="auto" w:fill="auto"/>
          <w:lang w:val="en-US" w:eastAsia="zh-CN" w:bidi="ar"/>
        </w:rPr>
        <w:t>工作。各地经办机构应根据本地的</w:t>
      </w:r>
      <w:r>
        <w:rPr>
          <w:rFonts w:hint="eastAsia" w:ascii="仿宋" w:hAnsi="仿宋" w:eastAsia="仿宋" w:cs="仿宋"/>
          <w:color w:val="auto"/>
          <w:kern w:val="0"/>
          <w:sz w:val="32"/>
          <w:szCs w:val="32"/>
          <w:highlight w:val="none"/>
          <w:shd w:val="clear" w:color="auto" w:fill="auto"/>
          <w:lang w:val="en-US" w:eastAsia="zh-CN" w:bidi="ar"/>
        </w:rPr>
        <w:t>服务机构</w:t>
      </w:r>
      <w:r>
        <w:rPr>
          <w:rFonts w:hint="default" w:ascii="仿宋" w:hAnsi="仿宋" w:eastAsia="仿宋" w:cs="仿宋"/>
          <w:color w:val="auto"/>
          <w:kern w:val="0"/>
          <w:sz w:val="32"/>
          <w:szCs w:val="32"/>
          <w:highlight w:val="none"/>
          <w:shd w:val="clear" w:color="auto" w:fill="auto"/>
          <w:lang w:val="en-US" w:eastAsia="zh-CN" w:bidi="ar"/>
        </w:rPr>
        <w:t>数量、结算病例数量等实际情况，以日常</w:t>
      </w:r>
      <w:r>
        <w:rPr>
          <w:rFonts w:hint="eastAsia" w:ascii="仿宋" w:hAnsi="仿宋" w:eastAsia="仿宋" w:cs="仿宋"/>
          <w:color w:val="auto"/>
          <w:kern w:val="0"/>
          <w:sz w:val="32"/>
          <w:szCs w:val="32"/>
          <w:highlight w:val="none"/>
          <w:shd w:val="clear" w:color="auto" w:fill="auto"/>
          <w:lang w:val="en-US" w:eastAsia="zh-CN" w:bidi="ar"/>
        </w:rPr>
        <w:t>审核</w:t>
      </w:r>
      <w:r>
        <w:rPr>
          <w:rFonts w:hint="default" w:ascii="仿宋" w:hAnsi="仿宋" w:eastAsia="仿宋" w:cs="仿宋"/>
          <w:color w:val="auto"/>
          <w:kern w:val="0"/>
          <w:sz w:val="32"/>
          <w:szCs w:val="32"/>
          <w:highlight w:val="none"/>
          <w:shd w:val="clear" w:color="auto" w:fill="auto"/>
          <w:lang w:val="en-US" w:eastAsia="zh-CN" w:bidi="ar"/>
        </w:rPr>
        <w:t>发现问题为切入点，制定切实可行的专项</w:t>
      </w:r>
      <w:r>
        <w:rPr>
          <w:rFonts w:hint="eastAsia" w:ascii="仿宋" w:hAnsi="仿宋" w:eastAsia="仿宋" w:cs="仿宋"/>
          <w:color w:val="auto"/>
          <w:kern w:val="0"/>
          <w:sz w:val="32"/>
          <w:szCs w:val="32"/>
          <w:highlight w:val="none"/>
          <w:shd w:val="clear" w:color="auto" w:fill="auto"/>
          <w:lang w:val="en-US" w:eastAsia="zh-CN" w:bidi="ar"/>
        </w:rPr>
        <w:t>审核</w:t>
      </w:r>
      <w:r>
        <w:rPr>
          <w:rFonts w:hint="default" w:ascii="仿宋" w:hAnsi="仿宋" w:eastAsia="仿宋" w:cs="仿宋"/>
          <w:color w:val="auto"/>
          <w:kern w:val="0"/>
          <w:sz w:val="32"/>
          <w:szCs w:val="32"/>
          <w:highlight w:val="none"/>
          <w:shd w:val="clear" w:color="auto" w:fill="auto"/>
          <w:lang w:val="en-US" w:eastAsia="zh-CN" w:bidi="ar"/>
        </w:rPr>
        <w:t>计划，</w:t>
      </w:r>
      <w:r>
        <w:rPr>
          <w:rFonts w:hint="eastAsia" w:ascii="仿宋" w:hAnsi="仿宋" w:eastAsia="仿宋" w:cs="仿宋"/>
          <w:color w:val="auto"/>
          <w:kern w:val="0"/>
          <w:sz w:val="32"/>
          <w:szCs w:val="32"/>
          <w:highlight w:val="none"/>
          <w:shd w:val="clear" w:color="auto" w:fill="auto"/>
          <w:lang w:val="en-US" w:eastAsia="zh-CN" w:bidi="ar"/>
        </w:rPr>
        <w:t>可</w:t>
      </w:r>
      <w:r>
        <w:rPr>
          <w:rFonts w:hint="default" w:ascii="仿宋" w:hAnsi="仿宋" w:eastAsia="仿宋" w:cs="仿宋"/>
          <w:color w:val="auto"/>
          <w:kern w:val="0"/>
          <w:sz w:val="32"/>
          <w:szCs w:val="32"/>
          <w:highlight w:val="none"/>
          <w:shd w:val="clear" w:color="auto" w:fill="auto"/>
          <w:lang w:val="en-US" w:eastAsia="zh-CN" w:bidi="ar"/>
        </w:rPr>
        <w:t>聘请</w:t>
      </w:r>
      <w:r>
        <w:rPr>
          <w:rFonts w:hint="eastAsia" w:ascii="仿宋" w:hAnsi="仿宋" w:eastAsia="仿宋" w:cs="仿宋"/>
          <w:color w:val="auto"/>
          <w:kern w:val="0"/>
          <w:sz w:val="32"/>
          <w:szCs w:val="32"/>
          <w:highlight w:val="none"/>
          <w:shd w:val="clear" w:color="auto" w:fill="auto"/>
          <w:lang w:val="en-US" w:eastAsia="zh-CN" w:bidi="ar"/>
        </w:rPr>
        <w:t>相关领域</w:t>
      </w:r>
      <w:r>
        <w:rPr>
          <w:rFonts w:hint="default" w:ascii="仿宋" w:hAnsi="仿宋" w:eastAsia="仿宋" w:cs="仿宋"/>
          <w:color w:val="auto"/>
          <w:kern w:val="0"/>
          <w:sz w:val="32"/>
          <w:szCs w:val="32"/>
          <w:highlight w:val="none"/>
          <w:shd w:val="clear" w:color="auto" w:fill="auto"/>
          <w:lang w:val="en-US" w:eastAsia="zh-CN" w:bidi="ar"/>
        </w:rPr>
        <w:t>专家对抽取的多元复合式医保支付方式结算病历进行核查。</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2312" w:hAnsi="方正仿宋_GB2312" w:eastAsia="方正仿宋_GB2312" w:cs="方正仿宋_GB2312"/>
          <w:color w:val="auto"/>
          <w:kern w:val="0"/>
          <w:sz w:val="32"/>
          <w:szCs w:val="32"/>
          <w:highlight w:val="none"/>
          <w:shd w:val="clear" w:color="auto" w:fill="auto"/>
          <w:lang w:val="en-US" w:eastAsia="zh-CN" w:bidi="en-US"/>
        </w:rPr>
      </w:pPr>
      <w:r>
        <w:rPr>
          <w:rFonts w:hint="default" w:ascii="黑体" w:hAnsi="黑体" w:eastAsia="黑体" w:cs="黑体"/>
          <w:b w:val="0"/>
          <w:bCs/>
          <w:color w:val="auto"/>
          <w:sz w:val="32"/>
          <w:szCs w:val="32"/>
          <w:highlight w:val="none"/>
          <w:shd w:val="clear" w:color="auto" w:fill="auto"/>
          <w:lang w:val="en-US" w:eastAsia="zh-CN" w:bidi="en-US"/>
        </w:rPr>
        <w:t>第</w:t>
      </w:r>
      <w:r>
        <w:rPr>
          <w:rFonts w:hint="eastAsia" w:ascii="黑体" w:hAnsi="黑体" w:eastAsia="黑体" w:cs="黑体"/>
          <w:b w:val="0"/>
          <w:bCs/>
          <w:color w:val="auto"/>
          <w:sz w:val="32"/>
          <w:szCs w:val="32"/>
          <w:highlight w:val="none"/>
          <w:shd w:val="clear" w:color="auto" w:fill="auto"/>
          <w:lang w:val="en-US" w:eastAsia="zh-CN" w:bidi="en-US"/>
        </w:rPr>
        <w:t>三十二</w:t>
      </w:r>
      <w:r>
        <w:rPr>
          <w:rFonts w:hint="default" w:ascii="黑体" w:hAnsi="黑体" w:eastAsia="黑体" w:cs="黑体"/>
          <w:b w:val="0"/>
          <w:bCs/>
          <w:color w:val="auto"/>
          <w:sz w:val="32"/>
          <w:szCs w:val="32"/>
          <w:highlight w:val="none"/>
          <w:shd w:val="clear" w:color="auto" w:fill="auto"/>
          <w:lang w:val="en-US" w:eastAsia="zh-CN" w:bidi="en-US"/>
        </w:rPr>
        <w:t>条</w:t>
      </w:r>
      <w:r>
        <w:rPr>
          <w:rFonts w:hint="eastAsia" w:ascii="黑体" w:hAnsi="黑体" w:eastAsia="黑体" w:cs="黑体"/>
          <w:b w:val="0"/>
          <w:bCs/>
          <w:color w:val="auto"/>
          <w:sz w:val="32"/>
          <w:szCs w:val="32"/>
          <w:highlight w:val="none"/>
          <w:shd w:val="clear" w:color="auto" w:fill="auto"/>
          <w:lang w:val="en-US" w:eastAsia="zh-CN" w:bidi="en-US"/>
        </w:rPr>
        <w:t xml:space="preserve"> </w:t>
      </w:r>
      <w:r>
        <w:rPr>
          <w:rFonts w:hint="default" w:ascii="黑体" w:hAnsi="黑体" w:eastAsia="黑体" w:cs="黑体"/>
          <w:b w:val="0"/>
          <w:bCs/>
          <w:color w:val="auto"/>
          <w:sz w:val="32"/>
          <w:szCs w:val="32"/>
          <w:highlight w:val="none"/>
          <w:shd w:val="clear" w:color="auto" w:fill="auto"/>
          <w:lang w:eastAsia="zh-CN" w:bidi="en-US"/>
        </w:rPr>
        <w:t>【</w:t>
      </w:r>
      <w:r>
        <w:rPr>
          <w:rFonts w:hint="eastAsia" w:ascii="黑体" w:hAnsi="黑体" w:eastAsia="黑体" w:cs="黑体"/>
          <w:b w:val="0"/>
          <w:bCs/>
          <w:color w:val="auto"/>
          <w:sz w:val="32"/>
          <w:szCs w:val="32"/>
          <w:highlight w:val="none"/>
          <w:shd w:val="clear" w:color="auto" w:fill="auto"/>
          <w:lang w:val="en-US" w:eastAsia="zh-CN" w:bidi="en-US"/>
        </w:rPr>
        <w:t>不合理费用处理</w:t>
      </w:r>
      <w:r>
        <w:rPr>
          <w:rFonts w:hint="default" w:ascii="黑体" w:hAnsi="黑体" w:eastAsia="黑体" w:cs="黑体"/>
          <w:b w:val="0"/>
          <w:bCs/>
          <w:color w:val="auto"/>
          <w:sz w:val="32"/>
          <w:szCs w:val="32"/>
          <w:highlight w:val="none"/>
          <w:shd w:val="clear" w:color="auto" w:fill="auto"/>
          <w:lang w:eastAsia="zh-CN" w:bidi="en-US"/>
        </w:rPr>
        <w:t>】</w:t>
      </w:r>
      <w:r>
        <w:rPr>
          <w:rFonts w:hint="eastAsia" w:ascii="仿宋" w:hAnsi="仿宋" w:eastAsia="仿宋" w:cs="仿宋"/>
          <w:color w:val="auto"/>
          <w:kern w:val="0"/>
          <w:sz w:val="32"/>
          <w:szCs w:val="32"/>
          <w:highlight w:val="none"/>
          <w:shd w:val="clear" w:color="auto" w:fill="auto"/>
          <w:lang w:val="en-US" w:eastAsia="zh-CN" w:bidi="ar"/>
        </w:rPr>
        <w:t>经办机构</w:t>
      </w:r>
      <w:r>
        <w:rPr>
          <w:rFonts w:hint="default" w:ascii="仿宋" w:hAnsi="仿宋" w:eastAsia="仿宋" w:cs="仿宋"/>
          <w:color w:val="auto"/>
          <w:kern w:val="0"/>
          <w:sz w:val="32"/>
          <w:szCs w:val="32"/>
          <w:highlight w:val="none"/>
          <w:shd w:val="clear" w:color="auto" w:fill="auto"/>
          <w:lang w:val="en-US" w:eastAsia="zh-CN" w:bidi="ar"/>
        </w:rPr>
        <w:t>对</w:t>
      </w:r>
      <w:r>
        <w:rPr>
          <w:rFonts w:hint="eastAsia" w:ascii="仿宋" w:hAnsi="仿宋" w:eastAsia="仿宋" w:cs="仿宋"/>
          <w:color w:val="auto"/>
          <w:kern w:val="0"/>
          <w:sz w:val="32"/>
          <w:szCs w:val="32"/>
          <w:highlight w:val="none"/>
          <w:shd w:val="clear" w:color="auto" w:fill="auto"/>
          <w:lang w:val="en-US" w:eastAsia="zh-CN" w:bidi="ar"/>
        </w:rPr>
        <w:t>审核发现的</w:t>
      </w:r>
      <w:r>
        <w:rPr>
          <w:rFonts w:hint="default" w:ascii="仿宋" w:hAnsi="仿宋" w:eastAsia="仿宋" w:cs="仿宋"/>
          <w:color w:val="auto"/>
          <w:kern w:val="0"/>
          <w:sz w:val="32"/>
          <w:szCs w:val="32"/>
          <w:highlight w:val="none"/>
          <w:shd w:val="clear" w:color="auto" w:fill="auto"/>
          <w:lang w:val="en-US" w:eastAsia="zh-CN" w:bidi="ar"/>
        </w:rPr>
        <w:t>不合理费用</w:t>
      </w:r>
      <w:r>
        <w:rPr>
          <w:rFonts w:hint="eastAsia" w:ascii="仿宋" w:hAnsi="仿宋" w:eastAsia="仿宋" w:cs="仿宋"/>
          <w:color w:val="auto"/>
          <w:kern w:val="0"/>
          <w:sz w:val="32"/>
          <w:szCs w:val="32"/>
          <w:highlight w:val="none"/>
          <w:shd w:val="clear" w:color="auto" w:fill="auto"/>
          <w:lang w:val="en-US" w:eastAsia="zh-CN" w:bidi="ar"/>
        </w:rPr>
        <w:t>依协议</w:t>
      </w:r>
      <w:r>
        <w:rPr>
          <w:rFonts w:hint="default" w:ascii="仿宋" w:hAnsi="仿宋" w:eastAsia="仿宋" w:cs="仿宋"/>
          <w:color w:val="auto"/>
          <w:kern w:val="0"/>
          <w:sz w:val="32"/>
          <w:szCs w:val="32"/>
          <w:highlight w:val="none"/>
          <w:shd w:val="clear" w:color="auto" w:fill="auto"/>
          <w:lang w:val="en-US" w:eastAsia="zh-CN" w:bidi="ar"/>
        </w:rPr>
        <w:t>进行处理</w:t>
      </w:r>
      <w:r>
        <w:rPr>
          <w:rFonts w:hint="eastAsia" w:ascii="仿宋" w:hAnsi="仿宋" w:eastAsia="仿宋" w:cs="仿宋"/>
          <w:color w:val="auto"/>
          <w:kern w:val="0"/>
          <w:sz w:val="32"/>
          <w:szCs w:val="32"/>
          <w:highlight w:val="none"/>
          <w:shd w:val="clear" w:color="auto" w:fill="auto"/>
          <w:lang w:val="en-US" w:eastAsia="zh-CN" w:bidi="ar"/>
        </w:rPr>
        <w:t>，如涉及欺诈骗保行为的，应移交医疗保障行政部门进行处理，并可将有关情况通报</w:t>
      </w:r>
      <w:r>
        <w:rPr>
          <w:rFonts w:hint="eastAsia" w:ascii="仿宋" w:hAnsi="仿宋" w:eastAsia="仿宋" w:cs="仿宋"/>
          <w:strike w:val="0"/>
          <w:dstrike w:val="0"/>
          <w:color w:val="auto"/>
          <w:kern w:val="0"/>
          <w:sz w:val="32"/>
          <w:szCs w:val="32"/>
          <w:highlight w:val="none"/>
          <w:shd w:val="clear" w:color="auto" w:fill="auto"/>
          <w:lang w:val="en-US" w:eastAsia="zh-CN" w:bidi="ar"/>
        </w:rPr>
        <w:t>卫生健康等相关部门</w:t>
      </w:r>
      <w:r>
        <w:rPr>
          <w:rFonts w:hint="eastAsia" w:ascii="仿宋" w:hAnsi="仿宋" w:eastAsia="仿宋" w:cs="仿宋"/>
          <w:color w:val="auto"/>
          <w:kern w:val="0"/>
          <w:sz w:val="32"/>
          <w:szCs w:val="32"/>
          <w:highlight w:val="none"/>
          <w:shd w:val="clear" w:color="auto" w:fill="auto"/>
          <w:lang w:val="en-US" w:eastAsia="zh-CN" w:bidi="ar"/>
        </w:rPr>
        <w:t>。</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2312" w:hAnsi="方正仿宋_GB2312" w:eastAsia="方正仿宋_GB2312" w:cs="方正仿宋_GB2312"/>
          <w:color w:val="auto"/>
          <w:kern w:val="0"/>
          <w:sz w:val="32"/>
          <w:szCs w:val="32"/>
          <w:highlight w:val="none"/>
          <w:shd w:val="clear" w:color="auto" w:fill="auto"/>
          <w:lang w:val="en-US" w:eastAsia="zh-CN" w:bidi="en-US"/>
        </w:rPr>
      </w:pPr>
      <w:r>
        <w:rPr>
          <w:rFonts w:hint="default" w:ascii="黑体" w:hAnsi="黑体" w:eastAsia="黑体" w:cs="黑体"/>
          <w:b w:val="0"/>
          <w:bCs/>
          <w:color w:val="auto"/>
          <w:sz w:val="32"/>
          <w:szCs w:val="32"/>
          <w:highlight w:val="none"/>
          <w:shd w:val="clear" w:color="auto" w:fill="auto"/>
          <w:lang w:val="en-US" w:eastAsia="zh-CN" w:bidi="en-US"/>
        </w:rPr>
        <w:t>第</w:t>
      </w:r>
      <w:r>
        <w:rPr>
          <w:rFonts w:hint="eastAsia" w:ascii="黑体" w:hAnsi="黑体" w:eastAsia="黑体" w:cs="黑体"/>
          <w:b w:val="0"/>
          <w:bCs/>
          <w:color w:val="auto"/>
          <w:sz w:val="32"/>
          <w:szCs w:val="32"/>
          <w:highlight w:val="none"/>
          <w:shd w:val="clear" w:color="auto" w:fill="auto"/>
          <w:lang w:val="en-US" w:eastAsia="zh-CN" w:bidi="en-US"/>
        </w:rPr>
        <w:t>三十三</w:t>
      </w:r>
      <w:r>
        <w:rPr>
          <w:rFonts w:hint="default" w:ascii="黑体" w:hAnsi="黑体" w:eastAsia="黑体" w:cs="黑体"/>
          <w:b w:val="0"/>
          <w:bCs/>
          <w:color w:val="auto"/>
          <w:sz w:val="32"/>
          <w:szCs w:val="32"/>
          <w:highlight w:val="none"/>
          <w:shd w:val="clear" w:color="auto" w:fill="auto"/>
          <w:lang w:val="en-US" w:eastAsia="zh-CN" w:bidi="en-US"/>
        </w:rPr>
        <w:t>条</w:t>
      </w:r>
      <w:r>
        <w:rPr>
          <w:rFonts w:hint="eastAsia" w:ascii="黑体" w:hAnsi="黑体" w:eastAsia="黑体" w:cs="黑体"/>
          <w:b w:val="0"/>
          <w:bCs/>
          <w:color w:val="auto"/>
          <w:sz w:val="32"/>
          <w:szCs w:val="32"/>
          <w:highlight w:val="none"/>
          <w:shd w:val="clear" w:color="auto" w:fill="auto"/>
          <w:lang w:val="en-US" w:eastAsia="zh-CN" w:bidi="en-US"/>
        </w:rPr>
        <w:t xml:space="preserve"> </w:t>
      </w:r>
      <w:r>
        <w:rPr>
          <w:rFonts w:hint="default" w:ascii="黑体" w:hAnsi="黑体" w:eastAsia="黑体" w:cs="黑体"/>
          <w:b w:val="0"/>
          <w:bCs/>
          <w:color w:val="auto"/>
          <w:sz w:val="32"/>
          <w:szCs w:val="32"/>
          <w:highlight w:val="none"/>
          <w:shd w:val="clear" w:color="auto" w:fill="auto"/>
          <w:lang w:eastAsia="zh-CN" w:bidi="en-US"/>
        </w:rPr>
        <w:t>【</w:t>
      </w:r>
      <w:r>
        <w:rPr>
          <w:rFonts w:hint="default" w:ascii="黑体" w:hAnsi="黑体" w:eastAsia="黑体" w:cs="黑体"/>
          <w:b w:val="0"/>
          <w:bCs/>
          <w:color w:val="auto"/>
          <w:sz w:val="32"/>
          <w:szCs w:val="32"/>
          <w:highlight w:val="none"/>
          <w:shd w:val="clear" w:color="auto" w:fill="auto"/>
          <w:lang w:val="en-US" w:eastAsia="zh-CN" w:bidi="en-US"/>
        </w:rPr>
        <w:t>社会监督</w:t>
      </w:r>
      <w:r>
        <w:rPr>
          <w:rFonts w:hint="default" w:ascii="黑体" w:hAnsi="黑体" w:eastAsia="黑体" w:cs="黑体"/>
          <w:b w:val="0"/>
          <w:bCs/>
          <w:color w:val="auto"/>
          <w:sz w:val="32"/>
          <w:szCs w:val="32"/>
          <w:highlight w:val="none"/>
          <w:shd w:val="clear" w:color="auto" w:fill="auto"/>
          <w:lang w:eastAsia="zh-CN" w:bidi="en-US"/>
        </w:rPr>
        <w:t>】</w:t>
      </w:r>
      <w:r>
        <w:rPr>
          <w:rFonts w:hint="default" w:ascii="仿宋" w:hAnsi="仿宋" w:eastAsia="仿宋" w:cs="仿宋"/>
          <w:color w:val="auto"/>
          <w:kern w:val="0"/>
          <w:sz w:val="32"/>
          <w:szCs w:val="32"/>
          <w:highlight w:val="none"/>
          <w:shd w:val="clear" w:color="auto" w:fill="auto"/>
          <w:lang w:val="en-US" w:eastAsia="zh-CN" w:bidi="ar"/>
        </w:rPr>
        <w:t>畅通投诉举报途径，发挥舆论监督作用，鼓励和支持社会各界参与监督，实现多方监督良性互动。</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方正仿宋_GB2312" w:hAnsi="方正仿宋_GB2312" w:eastAsia="方正仿宋_GB2312" w:cs="方正仿宋_GB2312"/>
          <w:color w:val="auto"/>
          <w:sz w:val="32"/>
          <w:szCs w:val="32"/>
          <w:highlight w:val="none"/>
          <w:shd w:val="clear" w:color="auto" w:fill="auto"/>
          <w:lang w:val="en-US" w:eastAsia="zh-CN" w:bidi="en-US"/>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黑体" w:hAnsi="黑体" w:eastAsia="黑体" w:cs="黑体"/>
          <w:color w:val="auto"/>
          <w:sz w:val="32"/>
          <w:szCs w:val="32"/>
          <w:highlight w:val="none"/>
          <w:shd w:val="clear" w:color="auto" w:fill="auto"/>
          <w:lang w:val="en-US" w:eastAsia="zh-CN" w:bidi="en-US"/>
        </w:rPr>
      </w:pPr>
      <w:bookmarkStart w:id="20" w:name="_Toc30668"/>
      <w:bookmarkStart w:id="21" w:name="_Toc10496"/>
      <w:r>
        <w:rPr>
          <w:rFonts w:hint="eastAsia" w:ascii="黑体" w:hAnsi="黑体" w:eastAsia="黑体" w:cs="黑体"/>
          <w:color w:val="auto"/>
          <w:sz w:val="32"/>
          <w:szCs w:val="32"/>
          <w:highlight w:val="none"/>
          <w:shd w:val="clear" w:color="auto" w:fill="auto"/>
          <w:lang w:val="en-US" w:eastAsia="zh-CN" w:bidi="en-US"/>
        </w:rPr>
        <w:t>第七章  考核评价</w:t>
      </w:r>
      <w:bookmarkEnd w:id="20"/>
      <w:bookmarkEnd w:id="21"/>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黑体" w:hAnsi="黑体" w:eastAsia="黑体" w:cs="黑体"/>
          <w:color w:val="auto"/>
          <w:sz w:val="32"/>
          <w:szCs w:val="32"/>
          <w:highlight w:val="none"/>
          <w:shd w:val="clear" w:color="auto" w:fill="auto"/>
          <w:lang w:val="en-US" w:eastAsia="zh-CN" w:bidi="en-US"/>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2312" w:hAnsi="方正仿宋_GB2312" w:eastAsia="方正仿宋_GB2312" w:cs="方正仿宋_GB2312"/>
          <w:color w:val="auto"/>
          <w:sz w:val="32"/>
          <w:szCs w:val="32"/>
          <w:highlight w:val="none"/>
          <w:shd w:val="clear" w:color="auto" w:fill="auto"/>
          <w:lang w:val="en-US" w:eastAsia="zh-CN" w:bidi="en-US"/>
        </w:rPr>
      </w:pPr>
      <w:r>
        <w:rPr>
          <w:rFonts w:hint="default" w:ascii="黑体" w:hAnsi="黑体" w:eastAsia="黑体" w:cs="黑体"/>
          <w:color w:val="auto"/>
          <w:sz w:val="32"/>
          <w:szCs w:val="32"/>
          <w:highlight w:val="none"/>
          <w:shd w:val="clear" w:color="auto" w:fill="auto"/>
          <w:lang w:val="en-US" w:eastAsia="zh-CN" w:bidi="en-US"/>
        </w:rPr>
        <w:t>第</w:t>
      </w:r>
      <w:r>
        <w:rPr>
          <w:rFonts w:hint="eastAsia" w:ascii="黑体" w:hAnsi="黑体" w:eastAsia="黑体" w:cs="黑体"/>
          <w:color w:val="auto"/>
          <w:sz w:val="32"/>
          <w:szCs w:val="32"/>
          <w:highlight w:val="none"/>
          <w:shd w:val="clear" w:color="auto" w:fill="auto"/>
          <w:lang w:val="en-US" w:eastAsia="zh-CN" w:bidi="en-US"/>
        </w:rPr>
        <w:t>三十四</w:t>
      </w:r>
      <w:r>
        <w:rPr>
          <w:rFonts w:hint="default" w:ascii="黑体" w:hAnsi="黑体" w:eastAsia="黑体" w:cs="黑体"/>
          <w:color w:val="auto"/>
          <w:sz w:val="32"/>
          <w:szCs w:val="32"/>
          <w:highlight w:val="none"/>
          <w:shd w:val="clear" w:color="auto" w:fill="auto"/>
          <w:lang w:val="en-US" w:eastAsia="zh-CN" w:bidi="en-US"/>
        </w:rPr>
        <w:t xml:space="preserve">条 </w:t>
      </w:r>
      <w:r>
        <w:rPr>
          <w:rFonts w:hint="eastAsia" w:ascii="黑体" w:hAnsi="黑体" w:eastAsia="黑体" w:cs="黑体"/>
          <w:color w:val="auto"/>
          <w:sz w:val="32"/>
          <w:szCs w:val="32"/>
          <w:highlight w:val="none"/>
          <w:shd w:val="clear" w:color="auto" w:fill="auto"/>
          <w:lang w:val="en-US" w:eastAsia="zh-CN" w:bidi="en-US"/>
        </w:rPr>
        <w:t xml:space="preserve"> </w:t>
      </w:r>
      <w:r>
        <w:rPr>
          <w:rFonts w:hint="default" w:ascii="黑体" w:hAnsi="黑体" w:eastAsia="黑体" w:cs="黑体"/>
          <w:b w:val="0"/>
          <w:bCs/>
          <w:color w:val="auto"/>
          <w:sz w:val="32"/>
          <w:szCs w:val="32"/>
          <w:highlight w:val="none"/>
          <w:shd w:val="clear" w:color="auto" w:fill="auto"/>
          <w:lang w:eastAsia="zh-CN" w:bidi="en-US"/>
        </w:rPr>
        <w:t>【</w:t>
      </w:r>
      <w:r>
        <w:rPr>
          <w:rFonts w:hint="eastAsia" w:ascii="黑体" w:hAnsi="黑体" w:eastAsia="黑体" w:cs="黑体"/>
          <w:b w:val="0"/>
          <w:bCs/>
          <w:color w:val="auto"/>
          <w:sz w:val="32"/>
          <w:szCs w:val="32"/>
          <w:highlight w:val="none"/>
          <w:shd w:val="clear" w:color="auto" w:fill="auto"/>
          <w:lang w:val="en-US" w:eastAsia="zh-CN" w:bidi="en-US"/>
        </w:rPr>
        <w:t>建立考核机制</w:t>
      </w:r>
      <w:r>
        <w:rPr>
          <w:rFonts w:hint="default" w:ascii="黑体" w:hAnsi="黑体" w:eastAsia="黑体" w:cs="黑体"/>
          <w:b w:val="0"/>
          <w:bCs/>
          <w:color w:val="auto"/>
          <w:sz w:val="32"/>
          <w:szCs w:val="32"/>
          <w:highlight w:val="none"/>
          <w:shd w:val="clear" w:color="auto" w:fill="auto"/>
          <w:lang w:eastAsia="zh-CN" w:bidi="en-US"/>
        </w:rPr>
        <w:t>】</w:t>
      </w:r>
      <w:r>
        <w:rPr>
          <w:rFonts w:hint="eastAsia" w:ascii="仿宋" w:hAnsi="仿宋" w:eastAsia="仿宋" w:cs="仿宋"/>
          <w:color w:val="auto"/>
          <w:kern w:val="0"/>
          <w:sz w:val="32"/>
          <w:szCs w:val="32"/>
          <w:highlight w:val="none"/>
          <w:shd w:val="clear" w:color="auto" w:fill="auto"/>
          <w:lang w:val="en-US" w:eastAsia="zh-CN" w:bidi="ar"/>
        </w:rPr>
        <w:t>经办机构应建立考核评价机制，</w:t>
      </w:r>
      <w:r>
        <w:rPr>
          <w:rFonts w:hint="default" w:ascii="仿宋" w:hAnsi="仿宋" w:eastAsia="仿宋" w:cs="仿宋"/>
          <w:color w:val="auto"/>
          <w:kern w:val="0"/>
          <w:sz w:val="32"/>
          <w:szCs w:val="32"/>
          <w:highlight w:val="none"/>
          <w:shd w:val="clear" w:color="auto" w:fill="auto"/>
          <w:lang w:val="en-US" w:eastAsia="zh-CN" w:bidi="ar"/>
        </w:rPr>
        <w:t>遏制可能存在的</w:t>
      </w:r>
      <w:r>
        <w:rPr>
          <w:rFonts w:hint="eastAsia" w:ascii="仿宋" w:hAnsi="仿宋" w:eastAsia="仿宋" w:cs="仿宋"/>
          <w:color w:val="auto"/>
          <w:kern w:val="0"/>
          <w:sz w:val="32"/>
          <w:szCs w:val="32"/>
          <w:highlight w:val="none"/>
          <w:shd w:val="clear" w:color="auto" w:fill="auto"/>
          <w:lang w:val="en-US" w:eastAsia="zh-CN" w:bidi="ar"/>
        </w:rPr>
        <w:t>服务机构</w:t>
      </w:r>
      <w:r>
        <w:rPr>
          <w:rFonts w:hint="default" w:ascii="仿宋" w:hAnsi="仿宋" w:eastAsia="仿宋" w:cs="仿宋"/>
          <w:color w:val="auto"/>
          <w:kern w:val="0"/>
          <w:sz w:val="32"/>
          <w:szCs w:val="32"/>
          <w:highlight w:val="none"/>
          <w:shd w:val="clear" w:color="auto" w:fill="auto"/>
          <w:lang w:val="en-US" w:eastAsia="zh-CN" w:bidi="ar"/>
        </w:rPr>
        <w:t>选择轻症病人住院、推诿重症病人和服务不足等现象，建立区域点数法总额预算和多元复合式医保支付方式考核评价制度。</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2312" w:hAnsi="方正仿宋_GB2312" w:eastAsia="方正仿宋_GB2312" w:cs="方正仿宋_GB2312"/>
          <w:color w:val="auto"/>
          <w:sz w:val="32"/>
          <w:szCs w:val="32"/>
          <w:highlight w:val="none"/>
          <w:lang w:val="en-US" w:eastAsia="zh-CN" w:bidi="en-US"/>
        </w:rPr>
      </w:pPr>
      <w:r>
        <w:rPr>
          <w:rFonts w:hint="default" w:ascii="黑体" w:hAnsi="黑体" w:eastAsia="黑体" w:cs="黑体"/>
          <w:color w:val="auto"/>
          <w:sz w:val="32"/>
          <w:szCs w:val="32"/>
          <w:highlight w:val="none"/>
          <w:shd w:val="clear" w:color="auto" w:fill="auto"/>
          <w:lang w:val="en-US" w:eastAsia="zh-CN" w:bidi="en-US"/>
        </w:rPr>
        <w:t>第</w:t>
      </w:r>
      <w:r>
        <w:rPr>
          <w:rFonts w:hint="eastAsia" w:ascii="黑体" w:hAnsi="黑体" w:eastAsia="黑体" w:cs="黑体"/>
          <w:color w:val="auto"/>
          <w:sz w:val="32"/>
          <w:szCs w:val="32"/>
          <w:highlight w:val="none"/>
          <w:shd w:val="clear" w:color="auto" w:fill="auto"/>
          <w:lang w:val="en-US" w:eastAsia="zh-CN" w:bidi="en-US"/>
        </w:rPr>
        <w:t>三十五</w:t>
      </w:r>
      <w:r>
        <w:rPr>
          <w:rFonts w:hint="default" w:ascii="黑体" w:hAnsi="黑体" w:eastAsia="黑体" w:cs="黑体"/>
          <w:color w:val="auto"/>
          <w:sz w:val="32"/>
          <w:szCs w:val="32"/>
          <w:highlight w:val="none"/>
          <w:shd w:val="clear" w:color="auto" w:fill="auto"/>
          <w:lang w:val="en-US" w:eastAsia="zh-CN" w:bidi="en-US"/>
        </w:rPr>
        <w:t xml:space="preserve">条 </w:t>
      </w:r>
      <w:r>
        <w:rPr>
          <w:rFonts w:hint="eastAsia" w:ascii="黑体" w:hAnsi="黑体" w:eastAsia="黑体" w:cs="黑体"/>
          <w:color w:val="auto"/>
          <w:sz w:val="32"/>
          <w:szCs w:val="32"/>
          <w:highlight w:val="none"/>
          <w:shd w:val="clear" w:color="auto" w:fill="auto"/>
          <w:lang w:val="en-US" w:eastAsia="zh-CN" w:bidi="en-US"/>
        </w:rPr>
        <w:t xml:space="preserve"> </w:t>
      </w:r>
      <w:r>
        <w:rPr>
          <w:rFonts w:hint="default" w:ascii="黑体" w:hAnsi="黑体" w:eastAsia="黑体" w:cs="黑体"/>
          <w:b w:val="0"/>
          <w:bCs/>
          <w:color w:val="auto"/>
          <w:sz w:val="32"/>
          <w:szCs w:val="32"/>
          <w:highlight w:val="none"/>
          <w:shd w:val="clear" w:color="auto" w:fill="auto"/>
          <w:lang w:eastAsia="zh-CN" w:bidi="en-US"/>
        </w:rPr>
        <w:t>【</w:t>
      </w:r>
      <w:r>
        <w:rPr>
          <w:rFonts w:hint="eastAsia" w:ascii="黑体" w:hAnsi="黑体" w:eastAsia="黑体" w:cs="黑体"/>
          <w:b w:val="0"/>
          <w:bCs/>
          <w:color w:val="auto"/>
          <w:sz w:val="32"/>
          <w:szCs w:val="32"/>
          <w:highlight w:val="none"/>
          <w:shd w:val="clear" w:color="auto" w:fill="auto"/>
          <w:lang w:val="en-US" w:eastAsia="zh-CN" w:bidi="en-US"/>
        </w:rPr>
        <w:t>考核指标</w:t>
      </w:r>
      <w:r>
        <w:rPr>
          <w:rFonts w:hint="default" w:ascii="黑体" w:hAnsi="黑体" w:eastAsia="黑体" w:cs="黑体"/>
          <w:b w:val="0"/>
          <w:bCs/>
          <w:color w:val="auto"/>
          <w:sz w:val="32"/>
          <w:szCs w:val="32"/>
          <w:highlight w:val="none"/>
          <w:shd w:val="clear" w:color="auto" w:fill="auto"/>
          <w:lang w:eastAsia="zh-CN" w:bidi="en-US"/>
        </w:rPr>
        <w:t>】</w:t>
      </w:r>
      <w:r>
        <w:rPr>
          <w:rFonts w:hint="default" w:ascii="仿宋" w:hAnsi="仿宋" w:eastAsia="仿宋" w:cs="仿宋"/>
          <w:color w:val="auto"/>
          <w:kern w:val="0"/>
          <w:sz w:val="32"/>
          <w:szCs w:val="32"/>
          <w:highlight w:val="none"/>
          <w:shd w:val="clear" w:color="auto" w:fill="auto"/>
          <w:lang w:val="en-US" w:eastAsia="zh-CN" w:bidi="ar"/>
        </w:rPr>
        <w:t>经办机构确定</w:t>
      </w:r>
      <w:r>
        <w:rPr>
          <w:rFonts w:hint="eastAsia" w:ascii="仿宋" w:hAnsi="仿宋" w:eastAsia="仿宋" w:cs="仿宋"/>
          <w:strike w:val="0"/>
          <w:dstrike w:val="0"/>
          <w:color w:val="auto"/>
          <w:kern w:val="0"/>
          <w:sz w:val="32"/>
          <w:szCs w:val="32"/>
          <w:highlight w:val="none"/>
          <w:shd w:val="clear" w:color="auto" w:fill="auto"/>
          <w:lang w:val="en-US" w:eastAsia="zh-CN" w:bidi="ar"/>
        </w:rPr>
        <w:t>科学合理</w:t>
      </w:r>
      <w:r>
        <w:rPr>
          <w:rFonts w:hint="default" w:ascii="仿宋" w:hAnsi="仿宋" w:eastAsia="仿宋" w:cs="仿宋"/>
          <w:color w:val="auto"/>
          <w:kern w:val="0"/>
          <w:sz w:val="32"/>
          <w:szCs w:val="32"/>
          <w:highlight w:val="none"/>
          <w:shd w:val="clear" w:color="auto" w:fill="auto"/>
          <w:lang w:val="en-US" w:eastAsia="zh-CN" w:bidi="ar"/>
        </w:rPr>
        <w:t>的</w:t>
      </w:r>
      <w:r>
        <w:rPr>
          <w:rFonts w:hint="eastAsia" w:ascii="仿宋" w:hAnsi="仿宋" w:eastAsia="仿宋" w:cs="仿宋"/>
          <w:color w:val="auto"/>
          <w:kern w:val="0"/>
          <w:sz w:val="32"/>
          <w:szCs w:val="32"/>
          <w:highlight w:val="none"/>
          <w:shd w:val="clear" w:color="auto" w:fill="auto"/>
          <w:lang w:val="en-US" w:eastAsia="zh-CN" w:bidi="ar"/>
        </w:rPr>
        <w:t>服务机构</w:t>
      </w:r>
      <w:r>
        <w:rPr>
          <w:rFonts w:hint="default" w:ascii="仿宋" w:hAnsi="仿宋" w:eastAsia="仿宋" w:cs="仿宋"/>
          <w:color w:val="auto"/>
          <w:kern w:val="0"/>
          <w:sz w:val="32"/>
          <w:szCs w:val="32"/>
          <w:highlight w:val="none"/>
          <w:shd w:val="clear" w:color="auto" w:fill="auto"/>
          <w:lang w:val="en-US" w:eastAsia="zh-CN" w:bidi="ar"/>
        </w:rPr>
        <w:t>考核指标，将日常考核与定期考核有机结合，建立激励约束机制，加强考核结果的应用，引导</w:t>
      </w:r>
      <w:r>
        <w:rPr>
          <w:rFonts w:hint="eastAsia" w:ascii="仿宋" w:hAnsi="仿宋" w:eastAsia="仿宋" w:cs="仿宋"/>
          <w:color w:val="auto"/>
          <w:kern w:val="0"/>
          <w:sz w:val="32"/>
          <w:szCs w:val="32"/>
          <w:highlight w:val="none"/>
          <w:shd w:val="clear" w:color="auto" w:fill="auto"/>
          <w:lang w:val="en-US" w:eastAsia="zh-CN" w:bidi="ar"/>
        </w:rPr>
        <w:t>服务机构</w:t>
      </w:r>
      <w:r>
        <w:rPr>
          <w:rFonts w:hint="default" w:ascii="仿宋" w:hAnsi="仿宋" w:eastAsia="仿宋" w:cs="仿宋"/>
          <w:color w:val="auto"/>
          <w:kern w:val="0"/>
          <w:sz w:val="32"/>
          <w:szCs w:val="32"/>
          <w:highlight w:val="none"/>
          <w:shd w:val="clear" w:color="auto" w:fill="auto"/>
          <w:lang w:val="en-US" w:eastAsia="zh-CN" w:bidi="ar"/>
        </w:rPr>
        <w:t>提质增效。推进区域点数法总额预算和多元复合式医保支付与医院管理联动，合理控制医疗成本，提高医疗服务质量，促进</w:t>
      </w:r>
      <w:r>
        <w:rPr>
          <w:rFonts w:hint="eastAsia" w:ascii="仿宋" w:hAnsi="仿宋" w:eastAsia="仿宋" w:cs="仿宋"/>
          <w:color w:val="auto"/>
          <w:kern w:val="0"/>
          <w:sz w:val="32"/>
          <w:szCs w:val="32"/>
          <w:highlight w:val="none"/>
          <w:shd w:val="clear" w:color="auto" w:fill="auto"/>
          <w:lang w:val="en-US" w:eastAsia="zh-CN" w:bidi="ar"/>
        </w:rPr>
        <w:t>服务机构</w:t>
      </w:r>
      <w:r>
        <w:rPr>
          <w:rFonts w:hint="default" w:ascii="仿宋" w:hAnsi="仿宋" w:eastAsia="仿宋" w:cs="仿宋"/>
          <w:color w:val="auto"/>
          <w:kern w:val="0"/>
          <w:sz w:val="32"/>
          <w:szCs w:val="32"/>
          <w:highlight w:val="none"/>
          <w:shd w:val="clear" w:color="auto" w:fill="auto"/>
          <w:lang w:val="en-US" w:eastAsia="zh-CN" w:bidi="ar"/>
        </w:rPr>
        <w:t>不断提升规范化、精细化医疗服务管理水平。</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黑体" w:hAnsi="黑体" w:eastAsia="黑体" w:cs="黑体"/>
          <w:b w:val="0"/>
          <w:bCs/>
          <w:color w:val="auto"/>
          <w:sz w:val="32"/>
          <w:szCs w:val="32"/>
          <w:highlight w:val="none"/>
          <w:lang w:bidi="en-US"/>
        </w:rPr>
      </w:pPr>
      <w:bookmarkStart w:id="22" w:name="_Toc26912"/>
      <w:bookmarkStart w:id="23" w:name="_Toc28879"/>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黑体" w:hAnsi="黑体" w:eastAsia="黑体" w:cs="黑体"/>
          <w:b w:val="0"/>
          <w:bCs/>
          <w:color w:val="auto"/>
          <w:sz w:val="32"/>
          <w:szCs w:val="32"/>
          <w:highlight w:val="none"/>
          <w:lang w:val="en-US" w:bidi="en-US"/>
        </w:rPr>
      </w:pPr>
      <w:r>
        <w:rPr>
          <w:rFonts w:hint="eastAsia" w:ascii="黑体" w:hAnsi="黑体" w:eastAsia="黑体" w:cs="黑体"/>
          <w:b w:val="0"/>
          <w:bCs/>
          <w:color w:val="auto"/>
          <w:sz w:val="32"/>
          <w:szCs w:val="32"/>
          <w:highlight w:val="none"/>
          <w:lang w:bidi="en-US"/>
        </w:rPr>
        <w:t>第</w:t>
      </w:r>
      <w:r>
        <w:rPr>
          <w:rFonts w:hint="eastAsia" w:ascii="黑体" w:hAnsi="黑体" w:eastAsia="黑体" w:cs="黑体"/>
          <w:b w:val="0"/>
          <w:bCs/>
          <w:color w:val="auto"/>
          <w:sz w:val="32"/>
          <w:szCs w:val="32"/>
          <w:highlight w:val="none"/>
          <w:lang w:val="en-US" w:eastAsia="zh-CN" w:bidi="en-US"/>
        </w:rPr>
        <w:t>八</w:t>
      </w:r>
      <w:r>
        <w:rPr>
          <w:rFonts w:hint="eastAsia" w:ascii="黑体" w:hAnsi="黑体" w:eastAsia="黑体" w:cs="黑体"/>
          <w:b w:val="0"/>
          <w:bCs/>
          <w:color w:val="auto"/>
          <w:sz w:val="32"/>
          <w:szCs w:val="32"/>
          <w:highlight w:val="none"/>
          <w:lang w:bidi="en-US"/>
        </w:rPr>
        <w:t xml:space="preserve">章  </w:t>
      </w:r>
      <w:r>
        <w:rPr>
          <w:rFonts w:hint="eastAsia" w:ascii="黑体" w:hAnsi="黑体" w:eastAsia="黑体" w:cs="黑体"/>
          <w:b w:val="0"/>
          <w:bCs/>
          <w:color w:val="auto"/>
          <w:sz w:val="32"/>
          <w:szCs w:val="32"/>
          <w:highlight w:val="none"/>
          <w:lang w:val="en-US" w:eastAsia="zh-CN" w:bidi="en-US"/>
        </w:rPr>
        <w:t>信息管理</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color w:val="auto"/>
          <w:sz w:val="32"/>
          <w:szCs w:val="32"/>
          <w:highlight w:val="none"/>
          <w:lang w:bidi="en-US"/>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2312" w:hAnsi="方正仿宋_GB2312" w:eastAsia="方正仿宋_GB2312" w:cs="方正仿宋_GB2312"/>
          <w:b w:val="0"/>
          <w:bCs/>
          <w:color w:val="auto"/>
          <w:sz w:val="32"/>
          <w:szCs w:val="32"/>
          <w:highlight w:val="none"/>
          <w:lang w:eastAsia="zh-CN" w:bidi="en-US"/>
        </w:rPr>
      </w:pPr>
      <w:r>
        <w:rPr>
          <w:rFonts w:hint="eastAsia" w:ascii="黑体" w:hAnsi="黑体" w:eastAsia="黑体" w:cs="黑体"/>
          <w:b w:val="0"/>
          <w:bCs/>
          <w:color w:val="auto"/>
          <w:sz w:val="32"/>
          <w:szCs w:val="32"/>
          <w:highlight w:val="none"/>
          <w:lang w:bidi="en-US"/>
        </w:rPr>
        <w:t>第</w:t>
      </w:r>
      <w:r>
        <w:rPr>
          <w:rFonts w:hint="eastAsia" w:ascii="黑体" w:hAnsi="黑体" w:eastAsia="黑体" w:cs="黑体"/>
          <w:b w:val="0"/>
          <w:bCs/>
          <w:color w:val="auto"/>
          <w:sz w:val="32"/>
          <w:szCs w:val="32"/>
          <w:highlight w:val="none"/>
          <w:lang w:val="en-US" w:eastAsia="zh-CN" w:bidi="en-US"/>
        </w:rPr>
        <w:t>三十六</w:t>
      </w:r>
      <w:r>
        <w:rPr>
          <w:rFonts w:hint="eastAsia" w:ascii="黑体" w:hAnsi="黑体" w:eastAsia="黑体" w:cs="黑体"/>
          <w:b w:val="0"/>
          <w:bCs/>
          <w:color w:val="auto"/>
          <w:sz w:val="32"/>
          <w:szCs w:val="32"/>
          <w:highlight w:val="none"/>
          <w:lang w:bidi="en-US"/>
        </w:rPr>
        <w:t>条</w:t>
      </w:r>
      <w:r>
        <w:rPr>
          <w:rFonts w:hint="eastAsia" w:ascii="仿宋" w:hAnsi="仿宋" w:eastAsia="仿宋"/>
          <w:b/>
          <w:color w:val="auto"/>
          <w:sz w:val="32"/>
          <w:szCs w:val="32"/>
          <w:highlight w:val="none"/>
          <w:lang w:bidi="en-US"/>
        </w:rPr>
        <w:t xml:space="preserve"> </w:t>
      </w:r>
      <w:r>
        <w:rPr>
          <w:rFonts w:hint="eastAsia" w:ascii="仿宋" w:hAnsi="仿宋" w:eastAsia="仿宋"/>
          <w:b/>
          <w:color w:val="auto"/>
          <w:sz w:val="32"/>
          <w:szCs w:val="32"/>
          <w:highlight w:val="none"/>
          <w:lang w:val="en-US" w:eastAsia="zh-CN" w:bidi="en-US"/>
        </w:rPr>
        <w:t xml:space="preserve"> 【原则】</w:t>
      </w:r>
      <w:r>
        <w:rPr>
          <w:rFonts w:hint="eastAsia" w:ascii="仿宋" w:hAnsi="仿宋" w:eastAsia="仿宋" w:cs="仿宋"/>
          <w:color w:val="auto"/>
          <w:kern w:val="0"/>
          <w:sz w:val="32"/>
          <w:szCs w:val="32"/>
          <w:highlight w:val="none"/>
          <w:lang w:val="en-US" w:eastAsia="zh-CN" w:bidi="ar"/>
        </w:rPr>
        <w:t>信息系统建设应遵循</w:t>
      </w:r>
      <w:r>
        <w:rPr>
          <w:rFonts w:hint="default" w:ascii="仿宋" w:hAnsi="仿宋" w:eastAsia="仿宋" w:cs="仿宋"/>
          <w:color w:val="auto"/>
          <w:kern w:val="0"/>
          <w:sz w:val="32"/>
          <w:szCs w:val="32"/>
          <w:highlight w:val="none"/>
          <w:lang w:eastAsia="zh-CN" w:bidi="ar"/>
        </w:rPr>
        <w:t>全省</w:t>
      </w:r>
      <w:r>
        <w:rPr>
          <w:rFonts w:hint="eastAsia" w:ascii="仿宋" w:hAnsi="仿宋" w:eastAsia="仿宋" w:cs="仿宋"/>
          <w:color w:val="auto"/>
          <w:kern w:val="0"/>
          <w:sz w:val="32"/>
          <w:szCs w:val="32"/>
          <w:highlight w:val="none"/>
          <w:lang w:val="en-US" w:eastAsia="zh-CN" w:bidi="ar"/>
        </w:rPr>
        <w:t>统一的医保信息平台要求，落实国家及本地区网络与信息安全相关法律法规、政策标准规范，特别是信息系统等级保护相关政策规范，做好网络与信息安全保障；及时处理各个业务环节中的系统问题。</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2312" w:hAnsi="方正仿宋_GB2312" w:eastAsia="方正仿宋_GB2312" w:cs="方正仿宋_GB2312"/>
          <w:b w:val="0"/>
          <w:bCs/>
          <w:color w:val="auto"/>
          <w:sz w:val="32"/>
          <w:szCs w:val="32"/>
          <w:highlight w:val="none"/>
          <w:lang w:eastAsia="zh-CN" w:bidi="en-US"/>
        </w:rPr>
      </w:pPr>
      <w:r>
        <w:rPr>
          <w:rFonts w:hint="eastAsia" w:ascii="黑体" w:hAnsi="黑体" w:eastAsia="黑体" w:cs="黑体"/>
          <w:b w:val="0"/>
          <w:bCs/>
          <w:color w:val="auto"/>
          <w:sz w:val="32"/>
          <w:szCs w:val="32"/>
          <w:highlight w:val="none"/>
          <w:lang w:bidi="en-US"/>
        </w:rPr>
        <w:t>第</w:t>
      </w:r>
      <w:r>
        <w:rPr>
          <w:rFonts w:hint="eastAsia" w:ascii="黑体" w:hAnsi="黑体" w:eastAsia="黑体" w:cs="黑体"/>
          <w:b w:val="0"/>
          <w:bCs/>
          <w:color w:val="auto"/>
          <w:sz w:val="32"/>
          <w:szCs w:val="32"/>
          <w:highlight w:val="none"/>
          <w:lang w:val="en-US" w:eastAsia="zh-CN" w:bidi="en-US"/>
        </w:rPr>
        <w:t>三十七</w:t>
      </w:r>
      <w:r>
        <w:rPr>
          <w:rFonts w:hint="eastAsia" w:ascii="黑体" w:hAnsi="黑体" w:eastAsia="黑体" w:cs="黑体"/>
          <w:b w:val="0"/>
          <w:bCs/>
          <w:color w:val="auto"/>
          <w:sz w:val="32"/>
          <w:szCs w:val="32"/>
          <w:highlight w:val="none"/>
          <w:lang w:bidi="en-US"/>
        </w:rPr>
        <w:t xml:space="preserve">条 </w:t>
      </w:r>
      <w:r>
        <w:rPr>
          <w:rFonts w:hint="eastAsia" w:ascii="黑体" w:hAnsi="黑体" w:eastAsia="黑体" w:cs="黑体"/>
          <w:b w:val="0"/>
          <w:bCs/>
          <w:color w:val="auto"/>
          <w:sz w:val="32"/>
          <w:szCs w:val="32"/>
          <w:highlight w:val="none"/>
          <w:lang w:val="en-US" w:eastAsia="zh-CN" w:bidi="en-US"/>
        </w:rPr>
        <w:t xml:space="preserve"> 【信息系统实现功能】</w:t>
      </w:r>
      <w:r>
        <w:rPr>
          <w:rFonts w:hint="eastAsia" w:ascii="仿宋" w:hAnsi="仿宋" w:eastAsia="仿宋" w:cs="仿宋"/>
          <w:color w:val="auto"/>
          <w:kern w:val="0"/>
          <w:sz w:val="32"/>
          <w:szCs w:val="32"/>
          <w:highlight w:val="none"/>
          <w:lang w:val="en-US" w:eastAsia="zh-CN" w:bidi="ar"/>
        </w:rPr>
        <w:t>使用全</w:t>
      </w:r>
      <w:r>
        <w:rPr>
          <w:rFonts w:hint="default" w:ascii="仿宋" w:hAnsi="仿宋" w:eastAsia="仿宋" w:cs="仿宋"/>
          <w:color w:val="auto"/>
          <w:kern w:val="0"/>
          <w:sz w:val="32"/>
          <w:szCs w:val="32"/>
          <w:highlight w:val="none"/>
          <w:lang w:eastAsia="zh-CN" w:bidi="ar"/>
        </w:rPr>
        <w:t>省</w:t>
      </w:r>
      <w:r>
        <w:rPr>
          <w:rFonts w:hint="eastAsia" w:ascii="仿宋" w:hAnsi="仿宋" w:eastAsia="仿宋" w:cs="仿宋"/>
          <w:color w:val="auto"/>
          <w:kern w:val="0"/>
          <w:sz w:val="32"/>
          <w:szCs w:val="32"/>
          <w:highlight w:val="none"/>
          <w:lang w:val="en-US" w:eastAsia="zh-CN" w:bidi="ar"/>
        </w:rPr>
        <w:t>统一的医保信息平台实现多元复合式支付方式所需的数据采集和质量控制、分组方案管理、分组服务、权重和费率测算、审核结算管理、</w:t>
      </w:r>
      <w:r>
        <w:rPr>
          <w:rFonts w:hint="default" w:ascii="仿宋" w:hAnsi="仿宋" w:eastAsia="仿宋" w:cs="仿宋"/>
          <w:color w:val="auto"/>
          <w:kern w:val="0"/>
          <w:sz w:val="32"/>
          <w:szCs w:val="32"/>
          <w:highlight w:val="none"/>
          <w:lang w:eastAsia="zh-CN" w:bidi="ar"/>
        </w:rPr>
        <w:t>费用审核</w:t>
      </w:r>
      <w:r>
        <w:rPr>
          <w:rFonts w:hint="eastAsia" w:ascii="仿宋" w:hAnsi="仿宋" w:eastAsia="仿宋" w:cs="仿宋"/>
          <w:color w:val="auto"/>
          <w:kern w:val="0"/>
          <w:sz w:val="32"/>
          <w:szCs w:val="32"/>
          <w:highlight w:val="none"/>
          <w:lang w:val="en-US" w:eastAsia="zh-CN" w:bidi="ar"/>
        </w:rPr>
        <w:t>监控预警与医疗服务考核评价等功能，为DRG/DIP付费管理提供数据和平台支撑。将区域点数法总额预算和多元复合式医保支付方式融合，实现各种支付方式的点数转化和结算功能。</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2312" w:hAnsi="方正仿宋_GB2312" w:eastAsia="方正仿宋_GB2312" w:cs="方正仿宋_GB2312"/>
          <w:b w:val="0"/>
          <w:bCs/>
          <w:color w:val="auto"/>
          <w:sz w:val="32"/>
          <w:szCs w:val="32"/>
          <w:highlight w:val="none"/>
          <w:lang w:val="en-US" w:eastAsia="zh-CN" w:bidi="en-US"/>
        </w:rPr>
      </w:pPr>
      <w:r>
        <w:rPr>
          <w:rFonts w:hint="eastAsia" w:ascii="黑体" w:hAnsi="黑体" w:eastAsia="黑体" w:cs="黑体"/>
          <w:b w:val="0"/>
          <w:bCs/>
          <w:color w:val="auto"/>
          <w:sz w:val="32"/>
          <w:szCs w:val="32"/>
          <w:highlight w:val="none"/>
          <w:lang w:bidi="en-US"/>
        </w:rPr>
        <w:t>第</w:t>
      </w:r>
      <w:r>
        <w:rPr>
          <w:rFonts w:hint="eastAsia" w:ascii="黑体" w:hAnsi="黑体" w:eastAsia="黑体" w:cs="黑体"/>
          <w:b w:val="0"/>
          <w:bCs/>
          <w:color w:val="auto"/>
          <w:sz w:val="32"/>
          <w:szCs w:val="32"/>
          <w:highlight w:val="none"/>
          <w:lang w:val="en-US" w:eastAsia="zh-CN" w:bidi="en-US"/>
        </w:rPr>
        <w:t>三十八</w:t>
      </w:r>
      <w:r>
        <w:rPr>
          <w:rFonts w:hint="eastAsia" w:ascii="黑体" w:hAnsi="黑体" w:eastAsia="黑体" w:cs="黑体"/>
          <w:b w:val="0"/>
          <w:bCs/>
          <w:color w:val="auto"/>
          <w:sz w:val="32"/>
          <w:szCs w:val="32"/>
          <w:highlight w:val="none"/>
          <w:lang w:bidi="en-US"/>
        </w:rPr>
        <w:t xml:space="preserve">条 </w:t>
      </w:r>
      <w:r>
        <w:rPr>
          <w:rFonts w:hint="eastAsia" w:ascii="黑体" w:hAnsi="黑体" w:eastAsia="黑体" w:cs="黑体"/>
          <w:b w:val="0"/>
          <w:bCs/>
          <w:color w:val="auto"/>
          <w:sz w:val="32"/>
          <w:szCs w:val="32"/>
          <w:highlight w:val="none"/>
          <w:lang w:val="en-US" w:eastAsia="zh-CN" w:bidi="en-US"/>
        </w:rPr>
        <w:t xml:space="preserve"> 【与服务机构对接】</w:t>
      </w:r>
      <w:r>
        <w:rPr>
          <w:rFonts w:hint="eastAsia" w:ascii="仿宋" w:hAnsi="仿宋" w:eastAsia="仿宋" w:cs="仿宋"/>
          <w:color w:val="auto"/>
          <w:kern w:val="0"/>
          <w:sz w:val="32"/>
          <w:szCs w:val="32"/>
          <w:highlight w:val="none"/>
          <w:lang w:val="en-US" w:eastAsia="zh-CN" w:bidi="ar"/>
        </w:rPr>
        <w:t>医保信息系统要实现与服务机构上下联通和数据的快速归集，做好信息系统技术支撑，满足区域点数法和多元复合式支付方式管理需要。</w:t>
      </w:r>
    </w:p>
    <w:p>
      <w:pPr>
        <w:pStyle w:val="8"/>
        <w:ind w:firstLine="640" w:firstLineChars="200"/>
        <w:rPr>
          <w:rFonts w:hint="eastAsia" w:ascii="方正仿宋_GB2312" w:hAnsi="方正仿宋_GB2312" w:eastAsia="方正仿宋_GB2312" w:cs="方正仿宋_GB2312"/>
          <w:b w:val="0"/>
          <w:bCs/>
          <w:color w:val="auto"/>
          <w:sz w:val="32"/>
          <w:szCs w:val="32"/>
          <w:highlight w:val="none"/>
          <w:lang w:bidi="en-US"/>
        </w:rPr>
      </w:pPr>
      <w:r>
        <w:rPr>
          <w:rFonts w:hint="eastAsia" w:ascii="黑体" w:hAnsi="黑体" w:eastAsia="黑体" w:cs="黑体"/>
          <w:b w:val="0"/>
          <w:bCs/>
          <w:color w:val="auto"/>
          <w:sz w:val="32"/>
          <w:szCs w:val="32"/>
          <w:highlight w:val="none"/>
          <w:lang w:bidi="en-US"/>
        </w:rPr>
        <w:t>第</w:t>
      </w:r>
      <w:r>
        <w:rPr>
          <w:rFonts w:hint="eastAsia" w:ascii="黑体" w:hAnsi="黑体" w:eastAsia="黑体" w:cs="黑体"/>
          <w:b w:val="0"/>
          <w:bCs/>
          <w:color w:val="auto"/>
          <w:sz w:val="32"/>
          <w:szCs w:val="32"/>
          <w:highlight w:val="none"/>
          <w:lang w:val="en-US" w:eastAsia="zh-CN" w:bidi="en-US"/>
        </w:rPr>
        <w:t>三十九</w:t>
      </w:r>
      <w:r>
        <w:rPr>
          <w:rFonts w:hint="eastAsia" w:ascii="黑体" w:hAnsi="黑体" w:eastAsia="黑体" w:cs="黑体"/>
          <w:b w:val="0"/>
          <w:bCs/>
          <w:color w:val="auto"/>
          <w:sz w:val="32"/>
          <w:szCs w:val="32"/>
          <w:highlight w:val="none"/>
          <w:lang w:bidi="en-US"/>
        </w:rPr>
        <w:t xml:space="preserve">条 </w:t>
      </w:r>
      <w:r>
        <w:rPr>
          <w:rFonts w:hint="eastAsia" w:ascii="黑体" w:hAnsi="黑体" w:eastAsia="黑体" w:cs="黑体"/>
          <w:b w:val="0"/>
          <w:bCs/>
          <w:color w:val="auto"/>
          <w:sz w:val="32"/>
          <w:szCs w:val="32"/>
          <w:highlight w:val="none"/>
          <w:lang w:eastAsia="zh-CN" w:bidi="en-US"/>
        </w:rPr>
        <w:t>【</w:t>
      </w:r>
      <w:r>
        <w:rPr>
          <w:rFonts w:hint="eastAsia" w:ascii="黑体" w:hAnsi="黑体" w:eastAsia="黑体" w:cs="黑体"/>
          <w:b w:val="0"/>
          <w:bCs/>
          <w:color w:val="auto"/>
          <w:sz w:val="32"/>
          <w:szCs w:val="32"/>
          <w:highlight w:val="none"/>
          <w:lang w:val="en-US" w:eastAsia="zh-CN" w:bidi="en-US"/>
        </w:rPr>
        <w:t>结算功能</w:t>
      </w:r>
      <w:r>
        <w:rPr>
          <w:rFonts w:hint="eastAsia" w:ascii="黑体" w:hAnsi="黑体" w:eastAsia="黑体" w:cs="黑体"/>
          <w:b w:val="0"/>
          <w:bCs/>
          <w:color w:val="auto"/>
          <w:sz w:val="32"/>
          <w:szCs w:val="32"/>
          <w:highlight w:val="none"/>
          <w:lang w:eastAsia="zh-CN" w:bidi="en-US"/>
        </w:rPr>
        <w:t>】</w:t>
      </w:r>
      <w:r>
        <w:rPr>
          <w:rFonts w:hint="eastAsia" w:ascii="黑体" w:hAnsi="黑体" w:eastAsia="黑体" w:cs="黑体"/>
          <w:b w:val="0"/>
          <w:bCs/>
          <w:color w:val="auto"/>
          <w:sz w:val="32"/>
          <w:szCs w:val="32"/>
          <w:highlight w:val="none"/>
          <w:lang w:val="en-US" w:eastAsia="zh-CN" w:bidi="en-US"/>
        </w:rPr>
        <w:t xml:space="preserve"> </w:t>
      </w:r>
      <w:r>
        <w:rPr>
          <w:rFonts w:hint="eastAsia" w:ascii="仿宋" w:hAnsi="仿宋" w:eastAsia="仿宋" w:cs="仿宋"/>
          <w:color w:val="auto"/>
          <w:kern w:val="0"/>
          <w:sz w:val="32"/>
          <w:szCs w:val="32"/>
          <w:highlight w:val="none"/>
          <w:lang w:val="en-US" w:eastAsia="zh-CN" w:bidi="ar"/>
        </w:rPr>
        <w:t>医保信息系统要根据基础参数自动生成《吉林省医疗保障区域点数法总额预算和多元复合式医保支付方式暂行办法》中所需点数、点值，及相应服务机构预算总额、季度门诊预算总额、季度住院预算总额、服务机构门诊总点数、服务机构住院总点数、服务机构季度门诊结算额度、服务机构季度住院结算额度、服务机构年度门诊结算额度、服务机构年度住院结算额度、统筹区门诊年度结算金额和统筹区住院年度结算金额。</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
          <w:color w:val="auto"/>
          <w:sz w:val="32"/>
          <w:szCs w:val="32"/>
          <w:highlight w:val="none"/>
        </w:rPr>
      </w:pPr>
      <w:r>
        <w:rPr>
          <w:rFonts w:hint="eastAsia" w:ascii="黑体" w:hAnsi="黑体" w:eastAsia="黑体" w:cs="黑体"/>
          <w:b w:val="0"/>
          <w:bCs/>
          <w:color w:val="auto"/>
          <w:sz w:val="32"/>
          <w:szCs w:val="32"/>
          <w:highlight w:val="none"/>
          <w:lang w:bidi="en-US"/>
        </w:rPr>
        <w:t>第</w:t>
      </w:r>
      <w:r>
        <w:rPr>
          <w:rFonts w:hint="eastAsia" w:ascii="黑体" w:hAnsi="黑体" w:eastAsia="黑体" w:cs="黑体"/>
          <w:b w:val="0"/>
          <w:bCs/>
          <w:color w:val="auto"/>
          <w:sz w:val="32"/>
          <w:szCs w:val="32"/>
          <w:highlight w:val="none"/>
          <w:lang w:val="en-US" w:eastAsia="zh-CN" w:bidi="en-US"/>
        </w:rPr>
        <w:t>四十</w:t>
      </w:r>
      <w:r>
        <w:rPr>
          <w:rFonts w:hint="eastAsia" w:ascii="黑体" w:hAnsi="黑体" w:eastAsia="黑体" w:cs="黑体"/>
          <w:b w:val="0"/>
          <w:bCs/>
          <w:color w:val="auto"/>
          <w:sz w:val="32"/>
          <w:szCs w:val="32"/>
          <w:highlight w:val="none"/>
          <w:lang w:bidi="en-US"/>
        </w:rPr>
        <w:t xml:space="preserve">条 </w:t>
      </w:r>
      <w:r>
        <w:rPr>
          <w:rFonts w:hint="eastAsia" w:ascii="黑体" w:hAnsi="黑体" w:eastAsia="黑体" w:cs="黑体"/>
          <w:b w:val="0"/>
          <w:bCs/>
          <w:color w:val="auto"/>
          <w:sz w:val="32"/>
          <w:szCs w:val="32"/>
          <w:highlight w:val="none"/>
          <w:lang w:val="en-US" w:eastAsia="zh-CN" w:bidi="en-US"/>
        </w:rPr>
        <w:t xml:space="preserve"> 【结算清单上传】</w:t>
      </w:r>
      <w:r>
        <w:rPr>
          <w:rFonts w:hint="eastAsia" w:ascii="仿宋" w:hAnsi="仿宋" w:eastAsia="仿宋" w:cs="仿宋"/>
          <w:color w:val="auto"/>
          <w:kern w:val="0"/>
          <w:sz w:val="32"/>
          <w:szCs w:val="32"/>
          <w:highlight w:val="none"/>
          <w:lang w:val="en-US" w:eastAsia="zh-CN" w:bidi="ar"/>
        </w:rPr>
        <w:t>定点服务机构按规定及时、准确将医疗保障基金结算清单上传至医保信息平台，做好数据安全维护工作。各定点机构可通过医保接口下载查看清单数据上传结果。</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2312" w:hAnsi="方正仿宋_GB2312" w:eastAsia="方正仿宋_GB2312" w:cs="方正仿宋_GB2312"/>
          <w:color w:val="auto"/>
          <w:sz w:val="32"/>
          <w:szCs w:val="32"/>
          <w:highlight w:val="none"/>
          <w:lang w:bidi="en-US"/>
        </w:rPr>
      </w:pPr>
      <w:r>
        <w:rPr>
          <w:rFonts w:hint="eastAsia" w:ascii="黑体" w:hAnsi="黑体" w:eastAsia="黑体" w:cs="黑体"/>
          <w:b w:val="0"/>
          <w:bCs/>
          <w:color w:val="auto"/>
          <w:sz w:val="32"/>
          <w:szCs w:val="32"/>
          <w:highlight w:val="none"/>
          <w:lang w:bidi="en-US"/>
        </w:rPr>
        <w:t>第</w:t>
      </w:r>
      <w:r>
        <w:rPr>
          <w:rFonts w:hint="eastAsia" w:ascii="黑体" w:hAnsi="黑体" w:eastAsia="黑体" w:cs="黑体"/>
          <w:b w:val="0"/>
          <w:bCs/>
          <w:color w:val="auto"/>
          <w:sz w:val="32"/>
          <w:szCs w:val="32"/>
          <w:highlight w:val="none"/>
          <w:lang w:eastAsia="zh-CN" w:bidi="en-US"/>
        </w:rPr>
        <w:t>四十一</w:t>
      </w:r>
      <w:r>
        <w:rPr>
          <w:rFonts w:hint="eastAsia" w:ascii="黑体" w:hAnsi="黑体" w:eastAsia="黑体" w:cs="黑体"/>
          <w:b w:val="0"/>
          <w:bCs/>
          <w:color w:val="auto"/>
          <w:sz w:val="32"/>
          <w:szCs w:val="32"/>
          <w:highlight w:val="none"/>
          <w:lang w:bidi="en-US"/>
        </w:rPr>
        <w:t xml:space="preserve">条 </w:t>
      </w:r>
      <w:r>
        <w:rPr>
          <w:rFonts w:hint="eastAsia" w:ascii="黑体" w:hAnsi="黑体" w:eastAsia="黑体" w:cs="黑体"/>
          <w:b w:val="0"/>
          <w:bCs/>
          <w:color w:val="auto"/>
          <w:sz w:val="32"/>
          <w:szCs w:val="32"/>
          <w:highlight w:val="none"/>
          <w:lang w:val="en-US" w:eastAsia="zh-CN" w:bidi="en-US"/>
        </w:rPr>
        <w:t xml:space="preserve"> 【数据校验】</w:t>
      </w:r>
      <w:r>
        <w:rPr>
          <w:rFonts w:hint="eastAsia" w:ascii="仿宋" w:hAnsi="仿宋" w:eastAsia="仿宋" w:cs="仿宋"/>
          <w:color w:val="auto"/>
          <w:kern w:val="0"/>
          <w:sz w:val="32"/>
          <w:szCs w:val="32"/>
          <w:highlight w:val="none"/>
          <w:lang w:val="en-US" w:eastAsia="zh-CN" w:bidi="ar"/>
        </w:rPr>
        <w:t>加强医疗保障基金结算清单数据上传质量管理，实现对上传结果的系统校验功能。医保经办机构对采集数据进行完整性、规范性检查，对有问题的数据及时返回服务机构核对修正并重传，同时建立数据质量评价管理机制，审核和评估服务机构的数据质量并及时反馈校验结果。</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default" w:ascii="黑体" w:hAnsi="黑体" w:eastAsia="黑体" w:cs="黑体"/>
          <w:b w:val="0"/>
          <w:bCs/>
          <w:color w:val="auto"/>
          <w:sz w:val="32"/>
          <w:szCs w:val="32"/>
          <w:highlight w:val="none"/>
          <w:lang w:val="en-US" w:eastAsia="zh-CN" w:bidi="en-US"/>
        </w:rPr>
      </w:pPr>
      <w:r>
        <w:rPr>
          <w:rFonts w:hint="eastAsia" w:ascii="黑体" w:hAnsi="黑体" w:eastAsia="黑体" w:cs="黑体"/>
          <w:b w:val="0"/>
          <w:bCs/>
          <w:color w:val="auto"/>
          <w:sz w:val="32"/>
          <w:szCs w:val="32"/>
          <w:highlight w:val="none"/>
          <w:lang w:bidi="en-US"/>
        </w:rPr>
        <w:t>第</w:t>
      </w:r>
      <w:r>
        <w:rPr>
          <w:rFonts w:hint="eastAsia" w:ascii="黑体" w:hAnsi="黑体" w:eastAsia="黑体" w:cs="黑体"/>
          <w:b w:val="0"/>
          <w:bCs/>
          <w:color w:val="auto"/>
          <w:sz w:val="32"/>
          <w:szCs w:val="32"/>
          <w:highlight w:val="none"/>
          <w:lang w:val="en-US" w:eastAsia="zh-CN" w:bidi="en-US"/>
        </w:rPr>
        <w:t>四十二</w:t>
      </w:r>
      <w:r>
        <w:rPr>
          <w:rFonts w:hint="eastAsia" w:ascii="黑体" w:hAnsi="黑体" w:eastAsia="黑体" w:cs="黑体"/>
          <w:b w:val="0"/>
          <w:bCs/>
          <w:color w:val="auto"/>
          <w:sz w:val="32"/>
          <w:szCs w:val="32"/>
          <w:highlight w:val="none"/>
          <w:lang w:bidi="en-US"/>
        </w:rPr>
        <w:t xml:space="preserve">条 </w:t>
      </w:r>
      <w:r>
        <w:rPr>
          <w:rFonts w:hint="eastAsia" w:ascii="黑体" w:hAnsi="黑体" w:eastAsia="黑体" w:cs="黑体"/>
          <w:b w:val="0"/>
          <w:bCs/>
          <w:color w:val="auto"/>
          <w:sz w:val="32"/>
          <w:szCs w:val="32"/>
          <w:highlight w:val="none"/>
          <w:lang w:val="en-US" w:eastAsia="zh-CN" w:bidi="en-US"/>
        </w:rPr>
        <w:t xml:space="preserve"> 【纳入考核】</w:t>
      </w:r>
      <w:r>
        <w:rPr>
          <w:rFonts w:hint="eastAsia" w:ascii="仿宋" w:hAnsi="仿宋" w:eastAsia="仿宋" w:cs="仿宋"/>
          <w:color w:val="auto"/>
          <w:kern w:val="0"/>
          <w:sz w:val="32"/>
          <w:szCs w:val="32"/>
          <w:highlight w:val="none"/>
          <w:lang w:val="en-US" w:eastAsia="zh-CN" w:bidi="ar"/>
        </w:rPr>
        <w:t>服务机构的信息系统建设和数据上传、清单质量纳入年度考核范围。</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黑体" w:hAnsi="黑体" w:eastAsia="黑体" w:cs="黑体"/>
          <w:color w:val="auto"/>
          <w:sz w:val="32"/>
          <w:szCs w:val="32"/>
          <w:highlight w:val="none"/>
          <w:lang w:val="en-US" w:eastAsia="zh-CN" w:bidi="en-US"/>
        </w:rPr>
      </w:pPr>
    </w:p>
    <w:p>
      <w:pPr>
        <w:pStyle w:val="8"/>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黑体" w:hAnsi="黑体" w:eastAsia="黑体" w:cs="黑体"/>
          <w:color w:val="auto"/>
          <w:sz w:val="32"/>
          <w:szCs w:val="32"/>
          <w:highlight w:val="none"/>
          <w:lang w:val="en-US" w:eastAsia="zh-CN" w:bidi="en-US"/>
        </w:rPr>
      </w:pPr>
      <w:r>
        <w:rPr>
          <w:rFonts w:hint="eastAsia" w:ascii="黑体" w:hAnsi="黑体" w:eastAsia="黑体" w:cs="黑体"/>
          <w:color w:val="auto"/>
          <w:sz w:val="32"/>
          <w:szCs w:val="32"/>
          <w:highlight w:val="none"/>
          <w:lang w:val="en-US" w:eastAsia="zh-CN" w:bidi="en-US"/>
        </w:rPr>
        <w:t xml:space="preserve"> </w:t>
      </w:r>
      <w:r>
        <w:rPr>
          <w:rFonts w:hint="default" w:ascii="黑体" w:hAnsi="黑体" w:eastAsia="黑体" w:cs="黑体"/>
          <w:color w:val="auto"/>
          <w:sz w:val="32"/>
          <w:szCs w:val="32"/>
          <w:highlight w:val="none"/>
          <w:lang w:val="en-US" w:eastAsia="zh-CN" w:bidi="en-US"/>
        </w:rPr>
        <w:t>协商谈判</w:t>
      </w:r>
      <w:bookmarkEnd w:id="22"/>
      <w:bookmarkEnd w:id="23"/>
      <w:r>
        <w:rPr>
          <w:rFonts w:hint="eastAsia" w:ascii="黑体" w:hAnsi="黑体" w:eastAsia="黑体" w:cs="黑体"/>
          <w:color w:val="auto"/>
          <w:sz w:val="32"/>
          <w:szCs w:val="32"/>
          <w:highlight w:val="none"/>
          <w:lang w:val="en-US" w:eastAsia="zh-CN" w:bidi="en-US"/>
        </w:rPr>
        <w:t>及争议处理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0"/>
        <w:rPr>
          <w:rFonts w:hint="default" w:ascii="黑体" w:hAnsi="黑体" w:eastAsia="黑体" w:cs="黑体"/>
          <w:color w:val="auto"/>
          <w:sz w:val="32"/>
          <w:szCs w:val="32"/>
          <w:highlight w:val="none"/>
          <w:lang w:val="en-US" w:eastAsia="zh-CN" w:bidi="en-US"/>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2312" w:hAnsi="方正仿宋_GB2312" w:eastAsia="方正仿宋_GB2312" w:cs="方正仿宋_GB2312"/>
          <w:color w:val="auto"/>
          <w:sz w:val="32"/>
          <w:szCs w:val="32"/>
          <w:highlight w:val="none"/>
          <w:lang w:val="en-US" w:eastAsia="zh-CN" w:bidi="en-US"/>
        </w:rPr>
      </w:pPr>
      <w:r>
        <w:rPr>
          <w:rFonts w:hint="default" w:ascii="黑体" w:hAnsi="黑体" w:eastAsia="黑体" w:cs="黑体"/>
          <w:color w:val="auto"/>
          <w:sz w:val="32"/>
          <w:szCs w:val="32"/>
          <w:highlight w:val="none"/>
          <w:lang w:val="en-US" w:eastAsia="zh-CN" w:bidi="en-US"/>
        </w:rPr>
        <w:t>第</w:t>
      </w:r>
      <w:r>
        <w:rPr>
          <w:rFonts w:hint="eastAsia" w:ascii="黑体" w:hAnsi="黑体" w:eastAsia="黑体" w:cs="黑体"/>
          <w:color w:val="auto"/>
          <w:sz w:val="32"/>
          <w:szCs w:val="32"/>
          <w:highlight w:val="none"/>
          <w:lang w:val="en-US" w:eastAsia="zh-CN" w:bidi="en-US"/>
        </w:rPr>
        <w:t>四十三</w:t>
      </w:r>
      <w:r>
        <w:rPr>
          <w:rFonts w:hint="default" w:ascii="黑体" w:hAnsi="黑体" w:eastAsia="黑体" w:cs="黑体"/>
          <w:color w:val="auto"/>
          <w:sz w:val="32"/>
          <w:szCs w:val="32"/>
          <w:highlight w:val="none"/>
          <w:lang w:val="en-US" w:eastAsia="zh-CN" w:bidi="en-US"/>
        </w:rPr>
        <w:t>条</w:t>
      </w:r>
      <w:r>
        <w:rPr>
          <w:rFonts w:hint="eastAsia" w:ascii="黑体" w:hAnsi="黑体" w:eastAsia="黑体" w:cs="黑体"/>
          <w:color w:val="auto"/>
          <w:sz w:val="32"/>
          <w:szCs w:val="32"/>
          <w:highlight w:val="none"/>
          <w:lang w:val="en-US" w:eastAsia="zh-CN" w:bidi="en-US"/>
        </w:rPr>
        <w:t xml:space="preserve"> </w:t>
      </w:r>
      <w:r>
        <w:rPr>
          <w:rFonts w:hint="default" w:ascii="仿宋" w:hAnsi="仿宋" w:eastAsia="仿宋" w:cs="仿宋"/>
          <w:color w:val="auto"/>
          <w:kern w:val="0"/>
          <w:sz w:val="32"/>
          <w:szCs w:val="32"/>
          <w:highlight w:val="none"/>
          <w:lang w:val="en-US" w:eastAsia="zh-CN" w:bidi="ar"/>
        </w:rPr>
        <w:t>在区域点数法总额预算和多元复合式医保支付方式的分组、预算、支付等相关标准制定中，逐步建立并完善医保协商谈判机制。</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2312" w:hAnsi="方正仿宋_GB2312" w:eastAsia="方正仿宋_GB2312" w:cs="方正仿宋_GB2312"/>
          <w:color w:val="auto"/>
          <w:sz w:val="32"/>
          <w:szCs w:val="32"/>
          <w:highlight w:val="none"/>
          <w:lang w:val="en-US" w:eastAsia="zh-CN" w:bidi="en-US"/>
        </w:rPr>
      </w:pPr>
      <w:r>
        <w:rPr>
          <w:rFonts w:hint="default" w:ascii="黑体" w:hAnsi="黑体" w:eastAsia="黑体" w:cs="黑体"/>
          <w:color w:val="auto"/>
          <w:sz w:val="32"/>
          <w:szCs w:val="32"/>
          <w:highlight w:val="none"/>
          <w:lang w:val="en-US" w:eastAsia="zh-CN" w:bidi="en-US"/>
        </w:rPr>
        <w:t>第</w:t>
      </w:r>
      <w:r>
        <w:rPr>
          <w:rFonts w:hint="eastAsia" w:ascii="黑体" w:hAnsi="黑体" w:eastAsia="黑体" w:cs="黑体"/>
          <w:color w:val="auto"/>
          <w:sz w:val="32"/>
          <w:szCs w:val="32"/>
          <w:highlight w:val="none"/>
          <w:lang w:val="en-US" w:eastAsia="zh-CN" w:bidi="en-US"/>
        </w:rPr>
        <w:t>四十四</w:t>
      </w:r>
      <w:r>
        <w:rPr>
          <w:rFonts w:hint="default" w:ascii="黑体" w:hAnsi="黑体" w:eastAsia="黑体" w:cs="黑体"/>
          <w:color w:val="auto"/>
          <w:sz w:val="32"/>
          <w:szCs w:val="32"/>
          <w:highlight w:val="none"/>
          <w:lang w:val="en-US" w:eastAsia="zh-CN" w:bidi="en-US"/>
        </w:rPr>
        <w:t xml:space="preserve">条 </w:t>
      </w:r>
      <w:r>
        <w:rPr>
          <w:rFonts w:hint="default" w:ascii="仿宋" w:hAnsi="仿宋" w:eastAsia="仿宋" w:cs="仿宋"/>
          <w:color w:val="auto"/>
          <w:kern w:val="0"/>
          <w:sz w:val="32"/>
          <w:szCs w:val="32"/>
          <w:highlight w:val="none"/>
          <w:lang w:val="en-US" w:eastAsia="zh-CN" w:bidi="ar"/>
        </w:rPr>
        <w:t>协商谈判要充分考虑各类</w:t>
      </w:r>
      <w:r>
        <w:rPr>
          <w:rFonts w:hint="eastAsia" w:ascii="仿宋" w:hAnsi="仿宋" w:eastAsia="仿宋" w:cs="仿宋"/>
          <w:color w:val="auto"/>
          <w:kern w:val="0"/>
          <w:sz w:val="32"/>
          <w:szCs w:val="32"/>
          <w:highlight w:val="none"/>
          <w:lang w:val="en-US" w:eastAsia="zh-CN" w:bidi="ar"/>
        </w:rPr>
        <w:t>服务机构</w:t>
      </w:r>
      <w:r>
        <w:rPr>
          <w:rFonts w:hint="default" w:ascii="仿宋" w:hAnsi="仿宋" w:eastAsia="仿宋" w:cs="仿宋"/>
          <w:color w:val="auto"/>
          <w:kern w:val="0"/>
          <w:sz w:val="32"/>
          <w:szCs w:val="32"/>
          <w:highlight w:val="none"/>
          <w:lang w:val="en-US" w:eastAsia="zh-CN" w:bidi="ar"/>
        </w:rPr>
        <w:t>的</w:t>
      </w:r>
      <w:r>
        <w:rPr>
          <w:rFonts w:hint="eastAsia" w:ascii="仿宋" w:hAnsi="仿宋" w:eastAsia="仿宋" w:cs="仿宋"/>
          <w:color w:val="auto"/>
          <w:kern w:val="0"/>
          <w:sz w:val="32"/>
          <w:szCs w:val="32"/>
          <w:highlight w:val="none"/>
          <w:lang w:val="en-US" w:eastAsia="zh-CN" w:bidi="ar"/>
        </w:rPr>
        <w:t>实际情况</w:t>
      </w:r>
      <w:r>
        <w:rPr>
          <w:rFonts w:hint="default" w:ascii="仿宋" w:hAnsi="仿宋" w:eastAsia="仿宋" w:cs="仿宋"/>
          <w:color w:val="auto"/>
          <w:kern w:val="0"/>
          <w:sz w:val="32"/>
          <w:szCs w:val="32"/>
          <w:highlight w:val="none"/>
          <w:lang w:val="en-US" w:eastAsia="zh-CN" w:bidi="ar"/>
        </w:rPr>
        <w:t>，各级别、各类型</w:t>
      </w:r>
      <w:r>
        <w:rPr>
          <w:rFonts w:hint="eastAsia" w:ascii="仿宋" w:hAnsi="仿宋" w:eastAsia="仿宋" w:cs="仿宋"/>
          <w:color w:val="auto"/>
          <w:kern w:val="0"/>
          <w:sz w:val="32"/>
          <w:szCs w:val="32"/>
          <w:highlight w:val="none"/>
          <w:lang w:val="en-US" w:eastAsia="zh-CN" w:bidi="ar"/>
        </w:rPr>
        <w:t>服务机构</w:t>
      </w:r>
      <w:r>
        <w:rPr>
          <w:rFonts w:hint="default" w:ascii="仿宋" w:hAnsi="仿宋" w:eastAsia="仿宋" w:cs="仿宋"/>
          <w:color w:val="auto"/>
          <w:kern w:val="0"/>
          <w:sz w:val="32"/>
          <w:szCs w:val="32"/>
          <w:highlight w:val="none"/>
          <w:lang w:val="en-US" w:eastAsia="zh-CN" w:bidi="ar"/>
        </w:rPr>
        <w:t>都可派代表参加协商谈判。</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2312" w:hAnsi="方正仿宋_GB2312" w:eastAsia="方正仿宋_GB2312" w:cs="方正仿宋_GB2312"/>
          <w:color w:val="auto"/>
          <w:sz w:val="32"/>
          <w:szCs w:val="32"/>
          <w:highlight w:val="none"/>
          <w:lang w:val="en-US" w:eastAsia="zh-CN" w:bidi="en-US"/>
        </w:rPr>
      </w:pPr>
      <w:r>
        <w:rPr>
          <w:rFonts w:hint="default" w:ascii="黑体" w:hAnsi="黑体" w:eastAsia="黑体" w:cs="黑体"/>
          <w:color w:val="auto"/>
          <w:sz w:val="32"/>
          <w:szCs w:val="32"/>
          <w:highlight w:val="none"/>
          <w:lang w:val="en-US" w:eastAsia="zh-CN" w:bidi="en-US"/>
        </w:rPr>
        <w:t>第</w:t>
      </w:r>
      <w:r>
        <w:rPr>
          <w:rFonts w:hint="eastAsia" w:ascii="黑体" w:hAnsi="黑体" w:eastAsia="黑体" w:cs="黑体"/>
          <w:color w:val="auto"/>
          <w:sz w:val="32"/>
          <w:szCs w:val="32"/>
          <w:highlight w:val="none"/>
          <w:lang w:val="en-US" w:eastAsia="zh-CN" w:bidi="en-US"/>
        </w:rPr>
        <w:t>四十五</w:t>
      </w:r>
      <w:r>
        <w:rPr>
          <w:rFonts w:hint="default" w:ascii="黑体" w:hAnsi="黑体" w:eastAsia="黑体" w:cs="黑体"/>
          <w:color w:val="auto"/>
          <w:sz w:val="32"/>
          <w:szCs w:val="32"/>
          <w:highlight w:val="none"/>
          <w:lang w:val="en-US" w:eastAsia="zh-CN" w:bidi="en-US"/>
        </w:rPr>
        <w:t xml:space="preserve">条 </w:t>
      </w:r>
      <w:r>
        <w:rPr>
          <w:rFonts w:hint="default" w:ascii="仿宋" w:hAnsi="仿宋" w:eastAsia="仿宋" w:cs="仿宋"/>
          <w:color w:val="auto"/>
          <w:kern w:val="0"/>
          <w:sz w:val="32"/>
          <w:szCs w:val="32"/>
          <w:highlight w:val="none"/>
          <w:lang w:val="en-US" w:eastAsia="zh-CN" w:bidi="ar"/>
        </w:rPr>
        <w:t>加强组织管理，建立协商谈判相关的工作机制。提出协商方案，接受</w:t>
      </w:r>
      <w:r>
        <w:rPr>
          <w:rFonts w:hint="eastAsia" w:ascii="仿宋" w:hAnsi="仿宋" w:eastAsia="仿宋" w:cs="仿宋"/>
          <w:color w:val="auto"/>
          <w:kern w:val="0"/>
          <w:sz w:val="32"/>
          <w:szCs w:val="32"/>
          <w:highlight w:val="none"/>
          <w:lang w:val="en-US" w:eastAsia="zh-CN" w:bidi="ar"/>
        </w:rPr>
        <w:t>服务机构</w:t>
      </w:r>
      <w:r>
        <w:rPr>
          <w:rFonts w:hint="default" w:ascii="仿宋" w:hAnsi="仿宋" w:eastAsia="仿宋" w:cs="仿宋"/>
          <w:color w:val="auto"/>
          <w:kern w:val="0"/>
          <w:sz w:val="32"/>
          <w:szCs w:val="32"/>
          <w:highlight w:val="none"/>
          <w:lang w:val="en-US" w:eastAsia="zh-CN" w:bidi="ar"/>
        </w:rPr>
        <w:t>的质询，通过充分的讨论和磋商，最终达成统一的意见。</w:t>
      </w:r>
    </w:p>
    <w:p>
      <w:pPr>
        <w:keepNext w:val="0"/>
        <w:keepLines w:val="0"/>
        <w:pageBreakBefore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color w:val="auto"/>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四十六</w:t>
      </w:r>
      <w:r>
        <w:rPr>
          <w:rFonts w:hint="eastAsia" w:ascii="黑体" w:hAnsi="黑体" w:eastAsia="黑体" w:cs="黑体"/>
          <w:b w:val="0"/>
          <w:bCs w:val="0"/>
          <w:color w:val="auto"/>
          <w:sz w:val="32"/>
          <w:szCs w:val="32"/>
          <w:highlight w:val="none"/>
        </w:rPr>
        <w:t xml:space="preserve">条 </w:t>
      </w:r>
      <w:r>
        <w:rPr>
          <w:rFonts w:hint="eastAsia" w:ascii="黑体" w:hAnsi="黑体" w:eastAsia="黑体" w:cs="黑体"/>
          <w:b w:val="0"/>
          <w:bCs w:val="0"/>
          <w:color w:val="auto"/>
          <w:sz w:val="32"/>
          <w:szCs w:val="32"/>
          <w:highlight w:val="none"/>
          <w:lang w:val="en-US" w:eastAsia="zh-CN"/>
        </w:rPr>
        <w:t xml:space="preserve"> </w:t>
      </w:r>
      <w:r>
        <w:rPr>
          <w:rFonts w:hint="default" w:ascii="仿宋" w:hAnsi="仿宋" w:eastAsia="仿宋" w:cs="仿宋"/>
          <w:color w:val="auto"/>
          <w:kern w:val="0"/>
          <w:sz w:val="32"/>
          <w:szCs w:val="32"/>
          <w:highlight w:val="none"/>
          <w:lang w:val="en-US" w:eastAsia="zh-CN" w:bidi="ar"/>
        </w:rPr>
        <w:t>遵循</w:t>
      </w:r>
      <w:r>
        <w:rPr>
          <w:rFonts w:hint="eastAsia" w:ascii="仿宋" w:hAnsi="仿宋" w:eastAsia="仿宋" w:cs="仿宋"/>
          <w:color w:val="auto"/>
          <w:kern w:val="0"/>
          <w:sz w:val="32"/>
          <w:szCs w:val="32"/>
          <w:highlight w:val="none"/>
          <w:lang w:val="en-US" w:eastAsia="zh-CN" w:bidi="ar"/>
        </w:rPr>
        <w:t>“</w:t>
      </w:r>
      <w:r>
        <w:rPr>
          <w:rFonts w:hint="default" w:ascii="仿宋" w:hAnsi="仿宋" w:eastAsia="仿宋" w:cs="仿宋"/>
          <w:color w:val="auto"/>
          <w:kern w:val="0"/>
          <w:sz w:val="32"/>
          <w:szCs w:val="32"/>
          <w:highlight w:val="none"/>
          <w:lang w:val="en-US" w:eastAsia="zh-CN" w:bidi="ar"/>
        </w:rPr>
        <w:t>公平公正、客观合理、多方参与、及时处理</w:t>
      </w:r>
      <w:r>
        <w:rPr>
          <w:rFonts w:hint="eastAsia" w:ascii="仿宋" w:hAnsi="仿宋" w:eastAsia="仿宋" w:cs="仿宋"/>
          <w:color w:val="auto"/>
          <w:kern w:val="0"/>
          <w:sz w:val="32"/>
          <w:szCs w:val="32"/>
          <w:highlight w:val="none"/>
          <w:lang w:val="en-US" w:eastAsia="zh-CN" w:bidi="ar"/>
        </w:rPr>
        <w:t>”</w:t>
      </w:r>
      <w:r>
        <w:rPr>
          <w:rFonts w:hint="default" w:ascii="仿宋" w:hAnsi="仿宋" w:eastAsia="仿宋" w:cs="仿宋"/>
          <w:color w:val="auto"/>
          <w:kern w:val="0"/>
          <w:sz w:val="32"/>
          <w:szCs w:val="32"/>
          <w:highlight w:val="none"/>
          <w:lang w:val="en-US" w:eastAsia="zh-CN" w:bidi="ar"/>
        </w:rPr>
        <w:t>的原则</w:t>
      </w:r>
      <w:r>
        <w:rPr>
          <w:rFonts w:hint="eastAsia" w:ascii="仿宋" w:hAnsi="仿宋" w:eastAsia="仿宋" w:cs="仿宋"/>
          <w:color w:val="auto"/>
          <w:kern w:val="0"/>
          <w:sz w:val="32"/>
          <w:szCs w:val="32"/>
          <w:highlight w:val="none"/>
          <w:lang w:val="en-US" w:eastAsia="zh-CN" w:bidi="ar"/>
        </w:rPr>
        <w:t>建立争议处理机制，解决服务机构提出的多元复合式支付方式改革相关争议问题</w:t>
      </w:r>
      <w:r>
        <w:rPr>
          <w:rFonts w:hint="default" w:ascii="仿宋" w:hAnsi="仿宋" w:eastAsia="仿宋" w:cs="仿宋"/>
          <w:color w:val="auto"/>
          <w:kern w:val="0"/>
          <w:sz w:val="32"/>
          <w:szCs w:val="32"/>
          <w:highlight w:val="none"/>
          <w:lang w:val="en-US" w:eastAsia="zh-CN" w:bidi="ar"/>
        </w:rPr>
        <w:t>。</w:t>
      </w:r>
    </w:p>
    <w:p>
      <w:pPr>
        <w:keepNext w:val="0"/>
        <w:keepLines w:val="0"/>
        <w:pageBreakBefore w:val="0"/>
        <w:kinsoku/>
        <w:overflowPunct/>
        <w:topLinePunct w:val="0"/>
        <w:bidi w:val="0"/>
        <w:adjustRightInd/>
        <w:snapToGrid/>
        <w:spacing w:line="560" w:lineRule="exact"/>
        <w:ind w:firstLine="640" w:firstLineChars="200"/>
        <w:textAlignment w:val="auto"/>
        <w:rPr>
          <w:rFonts w:hint="default" w:ascii="仿宋" w:hAnsi="仿宋" w:eastAsia="仿宋" w:cs="仿宋"/>
          <w:color w:val="auto"/>
          <w:kern w:val="0"/>
          <w:sz w:val="32"/>
          <w:szCs w:val="32"/>
          <w:highlight w:val="none"/>
          <w:lang w:val="en-US" w:eastAsia="zh-CN" w:bidi="ar"/>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四十七</w:t>
      </w:r>
      <w:r>
        <w:rPr>
          <w:rFonts w:hint="eastAsia" w:ascii="黑体" w:hAnsi="黑体" w:eastAsia="黑体" w:cs="黑体"/>
          <w:b w:val="0"/>
          <w:bCs w:val="0"/>
          <w:color w:val="auto"/>
          <w:sz w:val="32"/>
          <w:szCs w:val="32"/>
          <w:highlight w:val="none"/>
        </w:rPr>
        <w:t xml:space="preserve">条 </w:t>
      </w:r>
      <w:r>
        <w:rPr>
          <w:rFonts w:hint="eastAsia" w:ascii="黑体" w:hAnsi="黑体" w:eastAsia="黑体" w:cs="黑体"/>
          <w:b w:val="0"/>
          <w:bCs w:val="0"/>
          <w:color w:val="auto"/>
          <w:sz w:val="32"/>
          <w:szCs w:val="32"/>
          <w:highlight w:val="none"/>
          <w:lang w:val="en-US" w:eastAsia="zh-CN"/>
        </w:rPr>
        <w:t xml:space="preserve"> </w:t>
      </w:r>
      <w:r>
        <w:rPr>
          <w:rFonts w:hint="default" w:ascii="仿宋" w:hAnsi="仿宋" w:eastAsia="仿宋" w:cs="仿宋"/>
          <w:color w:val="auto"/>
          <w:kern w:val="0"/>
          <w:sz w:val="32"/>
          <w:szCs w:val="32"/>
          <w:highlight w:val="none"/>
          <w:lang w:val="en-US" w:eastAsia="zh-CN" w:bidi="ar"/>
        </w:rPr>
        <w:t>经办机构与</w:t>
      </w:r>
      <w:r>
        <w:rPr>
          <w:rFonts w:hint="eastAsia" w:ascii="仿宋" w:hAnsi="仿宋" w:eastAsia="仿宋" w:cs="仿宋"/>
          <w:color w:val="auto"/>
          <w:kern w:val="0"/>
          <w:sz w:val="32"/>
          <w:szCs w:val="32"/>
          <w:highlight w:val="none"/>
          <w:lang w:val="en-US" w:eastAsia="zh-CN" w:bidi="ar"/>
        </w:rPr>
        <w:t>服务机构</w:t>
      </w:r>
      <w:r>
        <w:rPr>
          <w:rFonts w:hint="default" w:ascii="仿宋" w:hAnsi="仿宋" w:eastAsia="仿宋" w:cs="仿宋"/>
          <w:color w:val="auto"/>
          <w:kern w:val="0"/>
          <w:sz w:val="32"/>
          <w:szCs w:val="32"/>
          <w:highlight w:val="none"/>
          <w:lang w:val="en-US" w:eastAsia="zh-CN" w:bidi="ar"/>
        </w:rPr>
        <w:t>在多元复合式医保支付方式付费中出现的各类争议，均应按照医疗保障服务协议及相关法律法规处理。</w:t>
      </w:r>
    </w:p>
    <w:p>
      <w:pPr>
        <w:pStyle w:val="7"/>
        <w:rPr>
          <w:rFonts w:hint="eastAsia"/>
          <w:color w:val="auto"/>
          <w:highlight w:val="none"/>
        </w:rPr>
      </w:pPr>
    </w:p>
    <w:p>
      <w:pPr>
        <w:keepNext w:val="0"/>
        <w:keepLines w:val="0"/>
        <w:pageBreakBefore w:val="0"/>
        <w:widowControl w:val="0"/>
        <w:kinsoku/>
        <w:wordWrap/>
        <w:overflowPunct/>
        <w:topLinePunct w:val="0"/>
        <w:bidi w:val="0"/>
        <w:adjustRightInd/>
        <w:snapToGrid/>
        <w:spacing w:line="560" w:lineRule="exact"/>
        <w:ind w:right="0" w:rightChars="0"/>
        <w:jc w:val="center"/>
        <w:textAlignment w:val="auto"/>
        <w:outlineLvl w:val="0"/>
        <w:rPr>
          <w:rFonts w:hint="eastAsia" w:ascii="黑体" w:hAnsi="黑体" w:eastAsia="黑体" w:cs="黑体"/>
          <w:b w:val="0"/>
          <w:bCs w:val="0"/>
          <w:color w:val="auto"/>
          <w:sz w:val="32"/>
          <w:szCs w:val="32"/>
          <w:highlight w:val="none"/>
        </w:rPr>
      </w:pPr>
      <w:bookmarkStart w:id="24" w:name="_Toc17535"/>
      <w:bookmarkStart w:id="25" w:name="_Toc21126"/>
      <w:r>
        <w:rPr>
          <w:rFonts w:hint="eastAsia" w:ascii="黑体" w:hAnsi="黑体" w:eastAsia="黑体" w:cs="黑体"/>
          <w:b w:val="0"/>
          <w:bCs w:val="0"/>
          <w:color w:val="auto"/>
          <w:sz w:val="32"/>
          <w:szCs w:val="32"/>
          <w:highlight w:val="none"/>
        </w:rPr>
        <w:t xml:space="preserve">第十章 </w:t>
      </w: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附</w:t>
      </w: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则</w:t>
      </w:r>
      <w:bookmarkEnd w:id="24"/>
      <w:bookmarkEnd w:id="25"/>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rPr>
          <w:rFonts w:hint="default" w:ascii="仿宋" w:hAnsi="仿宋" w:eastAsia="仿宋" w:cs="仿宋"/>
          <w:color w:val="auto"/>
          <w:kern w:val="0"/>
          <w:sz w:val="32"/>
          <w:szCs w:val="32"/>
          <w:lang w:val="en-US" w:eastAsia="zh-CN" w:bidi="ar"/>
        </w:rPr>
      </w:pPr>
      <w:r>
        <w:rPr>
          <w:rFonts w:hint="eastAsia" w:ascii="黑体" w:hAnsi="黑体" w:eastAsia="黑体" w:cs="黑体"/>
          <w:b w:val="0"/>
          <w:bCs/>
          <w:color w:val="000000"/>
          <w:kern w:val="0"/>
          <w:sz w:val="32"/>
          <w:szCs w:val="32"/>
          <w:lang w:val="en-US" w:eastAsia="zh-CN" w:bidi="en-US"/>
        </w:rPr>
        <w:t>第四十八</w:t>
      </w:r>
      <w:r>
        <w:rPr>
          <w:rFonts w:hint="default" w:ascii="黑体" w:hAnsi="黑体" w:eastAsia="黑体" w:cs="黑体"/>
          <w:b w:val="0"/>
          <w:bCs/>
          <w:color w:val="000000"/>
          <w:kern w:val="0"/>
          <w:sz w:val="32"/>
          <w:szCs w:val="32"/>
          <w:lang w:val="en-US" w:eastAsia="zh-CN" w:bidi="en-US"/>
        </w:rPr>
        <w:t>条</w:t>
      </w:r>
      <w:r>
        <w:rPr>
          <w:rFonts w:hint="eastAsia" w:ascii="黑体" w:hAnsi="黑体" w:eastAsia="黑体" w:cs="黑体"/>
          <w:b w:val="0"/>
          <w:bCs/>
          <w:color w:val="000000"/>
          <w:kern w:val="0"/>
          <w:sz w:val="32"/>
          <w:szCs w:val="32"/>
          <w:lang w:val="en-US" w:eastAsia="zh-CN" w:bidi="en-US"/>
        </w:rPr>
        <w:t xml:space="preserve">  </w:t>
      </w:r>
      <w:r>
        <w:rPr>
          <w:rFonts w:hint="default" w:ascii="仿宋" w:hAnsi="仿宋" w:eastAsia="仿宋" w:cs="仿宋"/>
          <w:color w:val="auto"/>
          <w:kern w:val="0"/>
          <w:sz w:val="32"/>
          <w:szCs w:val="32"/>
          <w:lang w:val="en-US" w:eastAsia="zh-CN" w:bidi="ar"/>
        </w:rPr>
        <w:t>本规程由</w:t>
      </w:r>
      <w:r>
        <w:rPr>
          <w:rFonts w:hint="eastAsia" w:ascii="仿宋" w:hAnsi="仿宋" w:eastAsia="仿宋" w:cs="仿宋"/>
          <w:color w:val="auto"/>
          <w:kern w:val="0"/>
          <w:sz w:val="32"/>
          <w:szCs w:val="32"/>
          <w:lang w:val="en-US" w:eastAsia="zh-CN" w:bidi="ar"/>
        </w:rPr>
        <w:t>吉林省医疗保障局</w:t>
      </w:r>
      <w:r>
        <w:rPr>
          <w:rFonts w:hint="default" w:ascii="仿宋" w:hAnsi="仿宋" w:eastAsia="仿宋" w:cs="仿宋"/>
          <w:color w:val="auto"/>
          <w:kern w:val="0"/>
          <w:sz w:val="32"/>
          <w:szCs w:val="32"/>
          <w:lang w:val="en-US" w:eastAsia="zh-CN" w:bidi="ar"/>
        </w:rPr>
        <w:t>负责解释。</w:t>
      </w:r>
      <w:r>
        <w:rPr>
          <w:rFonts w:hint="eastAsia" w:ascii="仿宋" w:hAnsi="仿宋" w:eastAsia="仿宋" w:cs="仿宋"/>
          <w:color w:val="auto"/>
          <w:kern w:val="0"/>
          <w:sz w:val="32"/>
          <w:szCs w:val="32"/>
          <w:lang w:val="en-US" w:eastAsia="zh-CN" w:bidi="ar"/>
        </w:rPr>
        <w:t>省级经办机构可就本规程中住院支付标准、门诊支付标准及结算管理等内容适时进行调整，并组织全省经办机构实施。</w:t>
      </w:r>
    </w:p>
    <w:p>
      <w:pPr>
        <w:pStyle w:val="7"/>
        <w:ind w:firstLine="640" w:firstLineChars="200"/>
        <w:rPr>
          <w:rFonts w:hint="eastAsia"/>
        </w:rPr>
      </w:pPr>
      <w:r>
        <w:rPr>
          <w:rFonts w:hint="eastAsia" w:ascii="黑体" w:hAnsi="黑体" w:eastAsia="黑体" w:cs="黑体"/>
          <w:b w:val="0"/>
          <w:bCs/>
          <w:color w:val="000000"/>
          <w:kern w:val="0"/>
          <w:sz w:val="32"/>
          <w:szCs w:val="32"/>
          <w:lang w:val="en-US" w:eastAsia="zh-CN" w:bidi="en-US"/>
        </w:rPr>
        <w:t>第四十九</w:t>
      </w:r>
      <w:r>
        <w:rPr>
          <w:rFonts w:hint="default" w:ascii="黑体" w:hAnsi="黑体" w:eastAsia="黑体" w:cs="黑体"/>
          <w:b w:val="0"/>
          <w:bCs/>
          <w:color w:val="000000"/>
          <w:kern w:val="0"/>
          <w:sz w:val="32"/>
          <w:szCs w:val="32"/>
          <w:lang w:val="en-US" w:eastAsia="zh-CN" w:bidi="en-US"/>
        </w:rPr>
        <w:t>条</w:t>
      </w:r>
      <w:r>
        <w:rPr>
          <w:rFonts w:hint="eastAsia" w:ascii="黑体" w:hAnsi="黑体" w:eastAsia="黑体" w:cs="黑体"/>
          <w:b w:val="0"/>
          <w:bCs/>
          <w:color w:val="000000"/>
          <w:kern w:val="0"/>
          <w:sz w:val="32"/>
          <w:szCs w:val="32"/>
          <w:lang w:val="en-US" w:eastAsia="zh-CN" w:bidi="en-US"/>
        </w:rPr>
        <w:t xml:space="preserve">  </w:t>
      </w:r>
      <w:r>
        <w:rPr>
          <w:rFonts w:hint="default" w:ascii="仿宋" w:hAnsi="仿宋" w:eastAsia="仿宋" w:cs="仿宋"/>
          <w:color w:val="auto"/>
          <w:kern w:val="0"/>
          <w:sz w:val="32"/>
          <w:szCs w:val="32"/>
          <w:lang w:val="en-US" w:eastAsia="zh-CN" w:bidi="ar"/>
        </w:rPr>
        <w:t>本规程</w:t>
      </w:r>
      <w:r>
        <w:rPr>
          <w:rFonts w:hint="eastAsia" w:ascii="仿宋" w:hAnsi="仿宋" w:eastAsia="仿宋" w:cs="仿宋"/>
          <w:color w:val="auto"/>
          <w:kern w:val="0"/>
          <w:sz w:val="32"/>
          <w:szCs w:val="32"/>
          <w:lang w:val="en-US" w:eastAsia="zh-CN" w:bidi="ar"/>
        </w:rPr>
        <w:t>自发布之日起实施</w:t>
      </w:r>
      <w:r>
        <w:rPr>
          <w:rFonts w:hint="default" w:ascii="仿宋" w:hAnsi="仿宋" w:eastAsia="仿宋" w:cs="仿宋"/>
          <w:color w:val="auto"/>
          <w:kern w:val="0"/>
          <w:sz w:val="32"/>
          <w:szCs w:val="32"/>
          <w:lang w:val="en-US" w:eastAsia="zh-CN" w:bidi="ar"/>
        </w:rPr>
        <w:t>。</w:t>
      </w:r>
    </w:p>
    <w:p>
      <w:pPr>
        <w:keepNext w:val="0"/>
        <w:keepLines w:val="0"/>
        <w:pageBreakBefore w:val="0"/>
        <w:widowControl w:val="0"/>
        <w:kinsoku/>
        <w:wordWrap/>
        <w:overflowPunct/>
        <w:topLinePunct w:val="0"/>
        <w:bidi w:val="0"/>
        <w:adjustRightInd/>
        <w:snapToGrid/>
        <w:spacing w:line="560" w:lineRule="exact"/>
        <w:ind w:left="0" w:leftChars="0" w:right="0" w:rightChars="0" w:firstLine="643" w:firstLineChars="200"/>
        <w:jc w:val="left"/>
        <w:textAlignment w:val="auto"/>
        <w:rPr>
          <w:rFonts w:ascii="仿宋" w:hAnsi="仿宋" w:eastAsia="仿宋"/>
          <w:b/>
          <w:bCs/>
          <w:sz w:val="32"/>
          <w:szCs w:val="32"/>
        </w:rPr>
      </w:pP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附件：1.吉林省定点服务机构医疗保障费用月度结算表</w:t>
      </w:r>
    </w:p>
    <w:p>
      <w:pPr>
        <w:pStyle w:val="7"/>
        <w:numPr>
          <w:ilvl w:val="0"/>
          <w:numId w:val="0"/>
        </w:numPr>
        <w:ind w:left="1600" w:leftChars="0" w:firstLine="0" w:firstLineChars="0"/>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2.吉林省定点服务机构医疗保障费用季度结算表</w:t>
      </w:r>
    </w:p>
    <w:p>
      <w:pPr>
        <w:pStyle w:val="7"/>
        <w:numPr>
          <w:ilvl w:val="0"/>
          <w:numId w:val="0"/>
        </w:numPr>
        <w:ind w:left="1600" w:leftChars="0"/>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3.吉林省定点服务机构医疗保障费用季度拨付表</w:t>
      </w:r>
    </w:p>
    <w:p>
      <w:pPr>
        <w:pStyle w:val="7"/>
        <w:numPr>
          <w:ilvl w:val="0"/>
          <w:numId w:val="0"/>
        </w:numPr>
        <w:ind w:left="1600" w:leftChars="0"/>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4.吉林省定点服务机构医疗保障费用年度结算表</w:t>
      </w:r>
    </w:p>
    <w:p>
      <w:pPr>
        <w:pStyle w:val="7"/>
        <w:numPr>
          <w:ilvl w:val="0"/>
          <w:numId w:val="0"/>
        </w:numPr>
        <w:ind w:left="1600" w:leftChars="0"/>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5.结算流程图</w:t>
      </w:r>
    </w:p>
    <w:p>
      <w:pPr>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br w:type="page"/>
      </w:r>
      <w:bookmarkStart w:id="26" w:name="_GoBack"/>
      <w:bookmarkEnd w:id="26"/>
    </w:p>
    <w:p>
      <w:pPr>
        <w:pStyle w:val="7"/>
        <w:numPr>
          <w:ilvl w:val="0"/>
          <w:numId w:val="0"/>
        </w:numPr>
        <w:rPr>
          <w:rFonts w:hint="default"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附件1：</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97"/>
        <w:gridCol w:w="548"/>
        <w:gridCol w:w="390"/>
        <w:gridCol w:w="600"/>
        <w:gridCol w:w="994"/>
        <w:gridCol w:w="951"/>
        <w:gridCol w:w="959"/>
        <w:gridCol w:w="951"/>
        <w:gridCol w:w="959"/>
        <w:gridCol w:w="957"/>
        <w:gridCol w:w="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 w:hRule="atLeast"/>
        </w:trPr>
        <w:tc>
          <w:tcPr>
            <w:tcW w:w="5000" w:type="pct"/>
            <w:gridSpan w:val="11"/>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0"/>
                <w:szCs w:val="30"/>
                <w:u w:val="none"/>
                <w:lang w:val="en-US" w:eastAsia="zh-CN" w:bidi="ar"/>
              </w:rPr>
              <w:t>吉林省____定点服务机构医疗保障费用月度结算表（XXXX年XX期）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82" w:hRule="exact"/>
        </w:trPr>
        <w:tc>
          <w:tcPr>
            <w:tcW w:w="1763" w:type="pct"/>
            <w:gridSpan w:val="5"/>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定点机构编码名称：</w:t>
            </w:r>
          </w:p>
        </w:tc>
        <w:tc>
          <w:tcPr>
            <w:tcW w:w="53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pct"/>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结算日期：</w:t>
            </w:r>
          </w:p>
        </w:tc>
        <w:tc>
          <w:tcPr>
            <w:tcW w:w="536"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9"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9"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82" w:hRule="exact"/>
        </w:trPr>
        <w:tc>
          <w:tcPr>
            <w:tcW w:w="1763" w:type="pct"/>
            <w:gridSpan w:val="5"/>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银行账户名称：</w:t>
            </w:r>
          </w:p>
        </w:tc>
        <w:tc>
          <w:tcPr>
            <w:tcW w:w="53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pct"/>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银行账号：</w:t>
            </w:r>
          </w:p>
        </w:tc>
        <w:tc>
          <w:tcPr>
            <w:tcW w:w="536"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9"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4" w:type="pct"/>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82" w:hRule="exact"/>
        </w:trPr>
        <w:tc>
          <w:tcPr>
            <w:tcW w:w="1763" w:type="pct"/>
            <w:gridSpan w:val="5"/>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开户银行：</w:t>
            </w:r>
          </w:p>
        </w:tc>
        <w:tc>
          <w:tcPr>
            <w:tcW w:w="53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6" w:type="pct"/>
            <w:gridSpan w:val="3"/>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结算申请流水号：</w:t>
            </w:r>
          </w:p>
        </w:tc>
        <w:tc>
          <w:tcPr>
            <w:tcW w:w="539"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82" w:hRule="exact"/>
        </w:trPr>
        <w:tc>
          <w:tcPr>
            <w:tcW w:w="337"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865"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付费方式</w:t>
            </w:r>
          </w:p>
        </w:tc>
        <w:tc>
          <w:tcPr>
            <w:tcW w:w="560"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项目付费</w:t>
            </w:r>
          </w:p>
        </w:tc>
        <w:tc>
          <w:tcPr>
            <w:tcW w:w="53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床日付费</w:t>
            </w:r>
          </w:p>
        </w:tc>
        <w:tc>
          <w:tcPr>
            <w:tcW w:w="540"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人头付费</w:t>
            </w:r>
          </w:p>
        </w:tc>
        <w:tc>
          <w:tcPr>
            <w:tcW w:w="53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病种付费</w:t>
            </w: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DRG付费</w:t>
            </w: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DIP付费</w:t>
            </w:r>
          </w:p>
        </w:tc>
        <w:tc>
          <w:tcPr>
            <w:tcW w:w="544"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82" w:hRule="exact"/>
        </w:trPr>
        <w:tc>
          <w:tcPr>
            <w:tcW w:w="1203" w:type="pct"/>
            <w:gridSpan w:val="4"/>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甲栏</w:t>
            </w:r>
          </w:p>
        </w:tc>
        <w:tc>
          <w:tcPr>
            <w:tcW w:w="560"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3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40"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3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39" w:type="pct"/>
            <w:tcBorders>
              <w:top w:val="single" w:color="000000" w:sz="4" w:space="0"/>
              <w:left w:val="single" w:color="000000" w:sz="4" w:space="0"/>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44" w:type="pct"/>
            <w:tcBorders>
              <w:top w:val="single" w:color="000000" w:sz="4" w:space="0"/>
              <w:left w:val="single" w:color="000000" w:sz="4" w:space="0"/>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82" w:hRule="exact"/>
        </w:trPr>
        <w:tc>
          <w:tcPr>
            <w:tcW w:w="337" w:type="pct"/>
            <w:vMerge w:val="restart"/>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发生额</w:t>
            </w:r>
          </w:p>
        </w:tc>
        <w:tc>
          <w:tcPr>
            <w:tcW w:w="309" w:type="pct"/>
            <w:vMerge w:val="restart"/>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w:t>
            </w:r>
          </w:p>
        </w:tc>
        <w:tc>
          <w:tcPr>
            <w:tcW w:w="21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本地</w:t>
            </w:r>
          </w:p>
        </w:tc>
        <w:tc>
          <w:tcPr>
            <w:tcW w:w="336" w:type="pct"/>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w:t>
            </w:r>
          </w:p>
        </w:tc>
        <w:tc>
          <w:tcPr>
            <w:tcW w:w="560"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nil"/>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82" w:hRule="exact"/>
        </w:trPr>
        <w:tc>
          <w:tcPr>
            <w:tcW w:w="337" w:type="pct"/>
            <w:vMerge w:val="continue"/>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9" w:type="pct"/>
            <w:vMerge w:val="continue"/>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6" w:type="pct"/>
            <w:tcBorders>
              <w:top w:val="single" w:color="000000" w:sz="4" w:space="0"/>
              <w:left w:val="single" w:color="000000" w:sz="4" w:space="0"/>
              <w:bottom w:val="single" w:color="000000" w:sz="4" w:space="0"/>
              <w:right w:val="nil"/>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w:t>
            </w:r>
          </w:p>
        </w:tc>
        <w:tc>
          <w:tcPr>
            <w:tcW w:w="560" w:type="pct"/>
            <w:tcBorders>
              <w:top w:val="single" w:color="000000" w:sz="4" w:space="0"/>
              <w:left w:val="single" w:color="000000" w:sz="4" w:space="0"/>
              <w:bottom w:val="single" w:color="000000" w:sz="4" w:space="0"/>
              <w:right w:val="single" w:color="000000" w:sz="4" w:space="0"/>
            </w:tcBorders>
            <w:shd w:val="clear" w:color="333333" w:fill="FFFFFF"/>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333333" w:fill="FFFFFF"/>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333333" w:fill="FFFFFF"/>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333333" w:fill="FFFFFF"/>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539" w:type="pct"/>
            <w:tcBorders>
              <w:top w:val="single" w:color="000000" w:sz="4" w:space="0"/>
              <w:left w:val="single" w:color="000000" w:sz="4" w:space="0"/>
              <w:bottom w:val="single" w:color="000000" w:sz="4" w:space="0"/>
              <w:right w:val="nil"/>
            </w:tcBorders>
            <w:shd w:val="clear" w:color="333333" w:fill="FFFFFF"/>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333333" w:fill="FFFFFF"/>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82" w:hRule="exact"/>
        </w:trPr>
        <w:tc>
          <w:tcPr>
            <w:tcW w:w="337" w:type="pct"/>
            <w:vMerge w:val="continue"/>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9" w:type="pct"/>
            <w:vMerge w:val="continue"/>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6" w:type="pct"/>
            <w:gridSpan w:val="2"/>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省内异地</w:t>
            </w:r>
          </w:p>
        </w:tc>
        <w:tc>
          <w:tcPr>
            <w:tcW w:w="560" w:type="pct"/>
            <w:tcBorders>
              <w:top w:val="single" w:color="000000" w:sz="4" w:space="0"/>
              <w:left w:val="single" w:color="000000" w:sz="4" w:space="0"/>
              <w:bottom w:val="single" w:color="000000" w:sz="4" w:space="0"/>
              <w:right w:val="single" w:color="000000" w:sz="4" w:space="0"/>
            </w:tcBorders>
            <w:shd w:val="clear" w:color="333333" w:fill="FFFFFF"/>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333333" w:fill="FFFFFF"/>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333333" w:fill="FFFFFF"/>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333333" w:fill="FFFFFF"/>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539" w:type="pct"/>
            <w:tcBorders>
              <w:top w:val="single" w:color="000000" w:sz="4" w:space="0"/>
              <w:left w:val="single" w:color="000000" w:sz="4" w:space="0"/>
              <w:bottom w:val="single" w:color="000000" w:sz="4" w:space="0"/>
              <w:right w:val="nil"/>
            </w:tcBorders>
            <w:shd w:val="clear" w:color="333333" w:fill="FFFFFF"/>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82" w:hRule="exact"/>
        </w:trPr>
        <w:tc>
          <w:tcPr>
            <w:tcW w:w="337" w:type="pct"/>
            <w:vMerge w:val="continue"/>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9" w:type="pct"/>
            <w:vMerge w:val="continue"/>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6" w:type="pct"/>
            <w:gridSpan w:val="2"/>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跨省异地</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nil"/>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82" w:hRule="exact"/>
        </w:trPr>
        <w:tc>
          <w:tcPr>
            <w:tcW w:w="337" w:type="pct"/>
            <w:vMerge w:val="continue"/>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65" w:type="pct"/>
            <w:gridSpan w:val="3"/>
            <w:tcBorders>
              <w:top w:val="single" w:color="000000" w:sz="4" w:space="0"/>
              <w:left w:val="single" w:color="000000" w:sz="4" w:space="0"/>
              <w:bottom w:val="single" w:color="000000" w:sz="4" w:space="0"/>
              <w:right w:val="nil"/>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生育</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nil"/>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82" w:hRule="exact"/>
        </w:trPr>
        <w:tc>
          <w:tcPr>
            <w:tcW w:w="337" w:type="pct"/>
            <w:vMerge w:val="continue"/>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65" w:type="pct"/>
            <w:gridSpan w:val="3"/>
            <w:tcBorders>
              <w:top w:val="single" w:color="000000" w:sz="4" w:space="0"/>
              <w:left w:val="single" w:color="000000" w:sz="4" w:space="0"/>
              <w:bottom w:val="single" w:color="000000" w:sz="4" w:space="0"/>
              <w:right w:val="nil"/>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离休</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nil"/>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82" w:hRule="exact"/>
        </w:trPr>
        <w:tc>
          <w:tcPr>
            <w:tcW w:w="337" w:type="pct"/>
            <w:vMerge w:val="continue"/>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65" w:type="pct"/>
            <w:gridSpan w:val="3"/>
            <w:tcBorders>
              <w:top w:val="single" w:color="000000" w:sz="4" w:space="0"/>
              <w:left w:val="single" w:color="000000" w:sz="4" w:space="0"/>
              <w:bottom w:val="single" w:color="000000" w:sz="4" w:space="0"/>
              <w:right w:val="nil"/>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长护（照护）</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nil"/>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82" w:hRule="exact"/>
        </w:trPr>
        <w:tc>
          <w:tcPr>
            <w:tcW w:w="337" w:type="pct"/>
            <w:vMerge w:val="continue"/>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65"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nil"/>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82" w:hRule="exact"/>
        </w:trPr>
        <w:tc>
          <w:tcPr>
            <w:tcW w:w="1203" w:type="pct"/>
            <w:gridSpan w:val="4"/>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定额标准</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nil"/>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82" w:hRule="exact"/>
        </w:trPr>
        <w:tc>
          <w:tcPr>
            <w:tcW w:w="1203" w:type="pct"/>
            <w:gridSpan w:val="4"/>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定额结余</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nil"/>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82" w:hRule="exact"/>
        </w:trPr>
        <w:tc>
          <w:tcPr>
            <w:tcW w:w="337" w:type="pct"/>
            <w:vMerge w:val="restar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扣款</w:t>
            </w:r>
          </w:p>
        </w:tc>
        <w:tc>
          <w:tcPr>
            <w:tcW w:w="865"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保证金</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nil"/>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82" w:hRule="exact"/>
        </w:trPr>
        <w:tc>
          <w:tcPr>
            <w:tcW w:w="337" w:type="pct"/>
            <w:vMerge w:val="continue"/>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65"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超定额</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nil"/>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82" w:hRule="exact"/>
        </w:trPr>
        <w:tc>
          <w:tcPr>
            <w:tcW w:w="337" w:type="pct"/>
            <w:vMerge w:val="continue"/>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65"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预付金、周转金返还</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nil"/>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82" w:hRule="exact"/>
        </w:trPr>
        <w:tc>
          <w:tcPr>
            <w:tcW w:w="337" w:type="pct"/>
            <w:vMerge w:val="continue"/>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65"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审核扣款</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nil"/>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82" w:hRule="exact"/>
        </w:trPr>
        <w:tc>
          <w:tcPr>
            <w:tcW w:w="337" w:type="pct"/>
            <w:vMerge w:val="continue"/>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65"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nil"/>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82" w:hRule="exact"/>
        </w:trPr>
        <w:tc>
          <w:tcPr>
            <w:tcW w:w="1203" w:type="pct"/>
            <w:gridSpan w:val="4"/>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实际拨付</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nil"/>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82" w:hRule="exact"/>
        </w:trPr>
        <w:tc>
          <w:tcPr>
            <w:tcW w:w="1763" w:type="pct"/>
            <w:gridSpan w:val="5"/>
            <w:tcBorders>
              <w:top w:val="single" w:color="000000" w:sz="4" w:space="0"/>
              <w:left w:val="nil"/>
              <w:bottom w:val="nil"/>
              <w:right w:val="nil"/>
            </w:tcBorders>
            <w:shd w:val="clear" w:color="000000"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定点机构审核人员：</w:t>
            </w:r>
          </w:p>
        </w:tc>
        <w:tc>
          <w:tcPr>
            <w:tcW w:w="536" w:type="pct"/>
            <w:tcBorders>
              <w:top w:val="single" w:color="000000" w:sz="4" w:space="0"/>
              <w:left w:val="nil"/>
              <w:bottom w:val="nil"/>
              <w:right w:val="nil"/>
            </w:tcBorders>
            <w:shd w:val="clear" w:color="333333" w:fill="FFFFFF"/>
            <w:tcMar>
              <w:top w:w="15" w:type="dxa"/>
              <w:left w:w="15" w:type="dxa"/>
              <w:right w:w="15" w:type="dxa"/>
            </w:tcMar>
            <w:vAlign w:val="center"/>
          </w:tcPr>
          <w:p>
            <w:pPr>
              <w:jc w:val="center"/>
              <w:rPr>
                <w:rFonts w:hint="eastAsia" w:ascii="微软雅黑" w:hAnsi="微软雅黑" w:eastAsia="微软雅黑" w:cs="微软雅黑"/>
                <w:i w:val="0"/>
                <w:color w:val="333333"/>
                <w:sz w:val="18"/>
                <w:szCs w:val="18"/>
                <w:u w:val="none"/>
              </w:rPr>
            </w:pPr>
          </w:p>
        </w:tc>
        <w:tc>
          <w:tcPr>
            <w:tcW w:w="2155" w:type="pct"/>
            <w:gridSpan w:val="4"/>
            <w:tcBorders>
              <w:top w:val="single" w:color="000000" w:sz="4" w:space="0"/>
              <w:left w:val="nil"/>
              <w:bottom w:val="nil"/>
              <w:right w:val="nil"/>
            </w:tcBorders>
            <w:shd w:val="clear" w:color="000000"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定点机构审核负责人：</w:t>
            </w:r>
          </w:p>
        </w:tc>
        <w:tc>
          <w:tcPr>
            <w:tcW w:w="54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82" w:hRule="exact"/>
        </w:trPr>
        <w:tc>
          <w:tcPr>
            <w:tcW w:w="1763" w:type="pct"/>
            <w:gridSpan w:val="5"/>
            <w:tcBorders>
              <w:top w:val="nil"/>
              <w:left w:val="nil"/>
              <w:bottom w:val="nil"/>
              <w:right w:val="nil"/>
            </w:tcBorders>
            <w:shd w:val="clear" w:color="000000"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定点机构领导审批：</w:t>
            </w:r>
          </w:p>
        </w:tc>
        <w:tc>
          <w:tcPr>
            <w:tcW w:w="536" w:type="pct"/>
            <w:tcBorders>
              <w:top w:val="nil"/>
              <w:left w:val="nil"/>
              <w:bottom w:val="nil"/>
              <w:right w:val="nil"/>
            </w:tcBorders>
            <w:shd w:val="clear" w:color="333333" w:fill="FFFFFF"/>
            <w:tcMar>
              <w:top w:w="15" w:type="dxa"/>
              <w:left w:w="15" w:type="dxa"/>
              <w:right w:w="15" w:type="dxa"/>
            </w:tcMar>
            <w:vAlign w:val="center"/>
          </w:tcPr>
          <w:p>
            <w:pPr>
              <w:jc w:val="center"/>
              <w:rPr>
                <w:rFonts w:hint="eastAsia" w:ascii="微软雅黑" w:hAnsi="微软雅黑" w:eastAsia="微软雅黑" w:cs="微软雅黑"/>
                <w:i w:val="0"/>
                <w:color w:val="333333"/>
                <w:sz w:val="18"/>
                <w:szCs w:val="18"/>
                <w:u w:val="none"/>
              </w:rPr>
            </w:pPr>
          </w:p>
        </w:tc>
        <w:tc>
          <w:tcPr>
            <w:tcW w:w="2155" w:type="pct"/>
            <w:gridSpan w:val="4"/>
            <w:tcBorders>
              <w:top w:val="nil"/>
              <w:left w:val="nil"/>
              <w:bottom w:val="nil"/>
              <w:right w:val="nil"/>
            </w:tcBorders>
            <w:shd w:val="clear" w:color="333333"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申报日期：</w:t>
            </w:r>
          </w:p>
        </w:tc>
        <w:tc>
          <w:tcPr>
            <w:tcW w:w="54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附件2：</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14"/>
        <w:gridCol w:w="515"/>
        <w:gridCol w:w="350"/>
        <w:gridCol w:w="681"/>
        <w:gridCol w:w="958"/>
        <w:gridCol w:w="964"/>
        <w:gridCol w:w="1150"/>
        <w:gridCol w:w="932"/>
        <w:gridCol w:w="935"/>
        <w:gridCol w:w="935"/>
        <w:gridCol w:w="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5000" w:type="pct"/>
            <w:gridSpan w:val="11"/>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吉林省____定点服务机构医疗保障费用季度结算表（XXXX年XX季度）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2279" w:type="pct"/>
            <w:gridSpan w:val="6"/>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定点机构编码名称：</w:t>
            </w:r>
          </w:p>
        </w:tc>
        <w:tc>
          <w:tcPr>
            <w:tcW w:w="556"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银行账户名称：</w:t>
            </w:r>
          </w:p>
        </w:tc>
        <w:tc>
          <w:tcPr>
            <w:tcW w:w="539"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541"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83" w:type="pct"/>
            <w:gridSpan w:val="2"/>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结算日期：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2279" w:type="pct"/>
            <w:gridSpan w:val="6"/>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银行账号：</w:t>
            </w:r>
          </w:p>
        </w:tc>
        <w:tc>
          <w:tcPr>
            <w:tcW w:w="556"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开户银行：</w:t>
            </w:r>
          </w:p>
        </w:tc>
        <w:tc>
          <w:tcPr>
            <w:tcW w:w="539"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541"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83" w:type="pct"/>
            <w:gridSpan w:val="2"/>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304"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305"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险种</w:t>
            </w:r>
          </w:p>
        </w:tc>
        <w:tc>
          <w:tcPr>
            <w:tcW w:w="557" w:type="pct"/>
            <w:gridSpan w:val="2"/>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付费方式</w:t>
            </w:r>
          </w:p>
        </w:tc>
        <w:tc>
          <w:tcPr>
            <w:tcW w:w="554"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项目付费</w:t>
            </w:r>
          </w:p>
        </w:tc>
        <w:tc>
          <w:tcPr>
            <w:tcW w:w="55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床日付费</w:t>
            </w:r>
          </w:p>
        </w:tc>
        <w:tc>
          <w:tcPr>
            <w:tcW w:w="55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人头付费</w:t>
            </w: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病种付费</w:t>
            </w: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DRG付费</w:t>
            </w: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DIP付费</w:t>
            </w: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1168" w:type="pct"/>
            <w:gridSpan w:val="4"/>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甲栏</w:t>
            </w:r>
          </w:p>
        </w:tc>
        <w:tc>
          <w:tcPr>
            <w:tcW w:w="554" w:type="pct"/>
            <w:tcBorders>
              <w:top w:val="single" w:color="000000" w:sz="4" w:space="0"/>
              <w:left w:val="nil"/>
              <w:bottom w:val="nil"/>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556"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56"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539"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541"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41"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541"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304" w:type="pct"/>
            <w:vMerge w:val="restar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发生额</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医疗</w:t>
            </w:r>
          </w:p>
        </w:tc>
        <w:tc>
          <w:tcPr>
            <w:tcW w:w="16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本地</w:t>
            </w:r>
          </w:p>
        </w:tc>
        <w:tc>
          <w:tcPr>
            <w:tcW w:w="396" w:type="pct"/>
            <w:tcBorders>
              <w:top w:val="single" w:color="000000" w:sz="4" w:space="0"/>
              <w:left w:val="single" w:color="000000" w:sz="4" w:space="0"/>
              <w:bottom w:val="single" w:color="000000" w:sz="4" w:space="0"/>
              <w:right w:val="nil"/>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职工</w:t>
            </w:r>
          </w:p>
        </w:tc>
        <w:tc>
          <w:tcPr>
            <w:tcW w:w="554"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6"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304" w:type="pct"/>
            <w:vMerge w:val="continue"/>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pct"/>
            <w:tcBorders>
              <w:top w:val="single" w:color="000000" w:sz="4" w:space="0"/>
              <w:left w:val="single" w:color="000000" w:sz="4" w:space="0"/>
              <w:bottom w:val="single" w:color="000000" w:sz="4" w:space="0"/>
              <w:right w:val="nil"/>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居民</w:t>
            </w:r>
          </w:p>
        </w:tc>
        <w:tc>
          <w:tcPr>
            <w:tcW w:w="554"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6"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304" w:type="pct"/>
            <w:vMerge w:val="continue"/>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7" w:type="pct"/>
            <w:gridSpan w:val="2"/>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省内异地</w:t>
            </w:r>
          </w:p>
        </w:tc>
        <w:tc>
          <w:tcPr>
            <w:tcW w:w="554" w:type="pct"/>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304" w:type="pct"/>
            <w:vMerge w:val="continue"/>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7" w:type="pct"/>
            <w:gridSpan w:val="2"/>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跨省异地</w:t>
            </w:r>
          </w:p>
        </w:tc>
        <w:tc>
          <w:tcPr>
            <w:tcW w:w="554" w:type="pct"/>
            <w:tcBorders>
              <w:top w:val="single" w:color="000000" w:sz="4" w:space="0"/>
              <w:left w:val="nil"/>
              <w:bottom w:val="nil"/>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304" w:type="pct"/>
            <w:vMerge w:val="continue"/>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63" w:type="pct"/>
            <w:gridSpan w:val="3"/>
            <w:tcBorders>
              <w:top w:val="single" w:color="000000" w:sz="4" w:space="0"/>
              <w:left w:val="single" w:color="000000" w:sz="4" w:space="0"/>
              <w:bottom w:val="single" w:color="000000" w:sz="4" w:space="0"/>
              <w:right w:val="nil"/>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生育</w:t>
            </w:r>
          </w:p>
        </w:tc>
        <w:tc>
          <w:tcPr>
            <w:tcW w:w="554"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6"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304" w:type="pct"/>
            <w:vMerge w:val="continue"/>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63" w:type="pct"/>
            <w:gridSpan w:val="3"/>
            <w:tcBorders>
              <w:top w:val="single" w:color="000000" w:sz="4" w:space="0"/>
              <w:left w:val="single" w:color="000000" w:sz="4" w:space="0"/>
              <w:bottom w:val="single" w:color="000000" w:sz="4" w:space="0"/>
              <w:right w:val="nil"/>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小计</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6"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1168" w:type="pct"/>
            <w:gridSpan w:val="4"/>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点数</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6"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168" w:type="pct"/>
            <w:gridSpan w:val="4"/>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点值</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6"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1168" w:type="pct"/>
            <w:gridSpan w:val="4"/>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结算额度</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6"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304" w:type="pct"/>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863" w:type="pct"/>
            <w:gridSpan w:val="3"/>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个人负担</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6"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168" w:type="pct"/>
            <w:gridSpan w:val="4"/>
            <w:tcBorders>
              <w:top w:val="single" w:color="000000" w:sz="4" w:space="0"/>
              <w:left w:val="single" w:color="000000" w:sz="4" w:space="0"/>
              <w:bottom w:val="single" w:color="000000" w:sz="4" w:space="0"/>
              <w:right w:val="nil"/>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基金结算额度</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6"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304" w:type="pct"/>
            <w:vMerge w:val="restar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扣款</w:t>
            </w:r>
          </w:p>
        </w:tc>
        <w:tc>
          <w:tcPr>
            <w:tcW w:w="863" w:type="pct"/>
            <w:gridSpan w:val="3"/>
            <w:tcBorders>
              <w:top w:val="single" w:color="000000" w:sz="4" w:space="0"/>
              <w:left w:val="single" w:color="000000" w:sz="4" w:space="0"/>
              <w:bottom w:val="single" w:color="000000" w:sz="4" w:space="0"/>
              <w:right w:val="nil"/>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保证金</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6"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304" w:type="pct"/>
            <w:vMerge w:val="continue"/>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63" w:type="pct"/>
            <w:gridSpan w:val="3"/>
            <w:tcBorders>
              <w:top w:val="single" w:color="000000" w:sz="4" w:space="0"/>
              <w:left w:val="single" w:color="000000" w:sz="4" w:space="0"/>
              <w:bottom w:val="single" w:color="000000" w:sz="4" w:space="0"/>
              <w:right w:val="nil"/>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超定额</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6"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304" w:type="pct"/>
            <w:vMerge w:val="continue"/>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63" w:type="pct"/>
            <w:gridSpan w:val="3"/>
            <w:tcBorders>
              <w:top w:val="single" w:color="000000" w:sz="4" w:space="0"/>
              <w:left w:val="single" w:color="000000" w:sz="4" w:space="0"/>
              <w:bottom w:val="single" w:color="000000" w:sz="4" w:space="0"/>
              <w:right w:val="nil"/>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预付金、周转金返还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6"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304" w:type="pct"/>
            <w:vMerge w:val="continue"/>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63" w:type="pct"/>
            <w:gridSpan w:val="3"/>
            <w:tcBorders>
              <w:top w:val="single" w:color="000000" w:sz="4" w:space="0"/>
              <w:left w:val="single" w:color="000000" w:sz="4" w:space="0"/>
              <w:bottom w:val="single" w:color="000000" w:sz="4" w:space="0"/>
              <w:right w:val="nil"/>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审核扣款</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6"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304" w:type="pct"/>
            <w:vMerge w:val="continue"/>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63" w:type="pct"/>
            <w:gridSpan w:val="3"/>
            <w:tcBorders>
              <w:top w:val="single" w:color="000000" w:sz="4" w:space="0"/>
              <w:left w:val="single" w:color="000000" w:sz="4" w:space="0"/>
              <w:bottom w:val="single" w:color="000000" w:sz="4" w:space="0"/>
              <w:right w:val="nil"/>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小计</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6"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1168" w:type="pct"/>
            <w:gridSpan w:val="4"/>
            <w:tcBorders>
              <w:top w:val="single" w:color="000000" w:sz="4" w:space="0"/>
              <w:left w:val="single" w:color="000000" w:sz="4" w:space="0"/>
              <w:bottom w:val="single" w:color="000000" w:sz="4" w:space="0"/>
              <w:right w:val="nil"/>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实际拨付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6"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6"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1"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30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0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2279" w:type="pct"/>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定点机构审核人员：</w:t>
            </w:r>
          </w:p>
        </w:tc>
        <w:tc>
          <w:tcPr>
            <w:tcW w:w="556"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2164" w:type="pct"/>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定点机构审核负责人员：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304"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05"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61"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54"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56"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56"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39"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41"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41"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41"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2279" w:type="pct"/>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定点机构领导审批：</w:t>
            </w:r>
          </w:p>
        </w:tc>
        <w:tc>
          <w:tcPr>
            <w:tcW w:w="556"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2164" w:type="pct"/>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申报日期：</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附件3：</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0"/>
        <w:gridCol w:w="700"/>
        <w:gridCol w:w="700"/>
        <w:gridCol w:w="674"/>
        <w:gridCol w:w="621"/>
        <w:gridCol w:w="615"/>
        <w:gridCol w:w="617"/>
        <w:gridCol w:w="1150"/>
        <w:gridCol w:w="622"/>
        <w:gridCol w:w="621"/>
        <w:gridCol w:w="624"/>
        <w:gridCol w:w="631"/>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5000" w:type="pct"/>
            <w:gridSpan w:val="13"/>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吉林省____定点服务机构医疗保障费用季度拨付表（XXXX年XX季度）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1510" w:type="pct"/>
            <w:gridSpan w:val="4"/>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定点机构编码名称：</w:t>
            </w:r>
          </w:p>
        </w:tc>
        <w:tc>
          <w:tcPr>
            <w:tcW w:w="383"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1"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09"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银行账户名称：</w:t>
            </w:r>
          </w:p>
        </w:tc>
        <w:tc>
          <w:tcPr>
            <w:tcW w:w="384"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4"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6"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777" w:type="pct"/>
            <w:gridSpan w:val="2"/>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结算日期：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1096" w:type="pct"/>
            <w:gridSpan w:val="3"/>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银行账号：</w:t>
            </w:r>
          </w:p>
        </w:tc>
        <w:tc>
          <w:tcPr>
            <w:tcW w:w="413"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3"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1"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09"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开户银行：</w:t>
            </w:r>
          </w:p>
        </w:tc>
        <w:tc>
          <w:tcPr>
            <w:tcW w:w="384"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4"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6"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777" w:type="pct"/>
            <w:gridSpan w:val="2"/>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1096" w:type="pct"/>
            <w:gridSpan w:val="3"/>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一、基金申报额</w:t>
            </w:r>
          </w:p>
        </w:tc>
        <w:tc>
          <w:tcPr>
            <w:tcW w:w="413"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3"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1"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1"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0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4"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4"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6"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9"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险种</w:t>
            </w:r>
          </w:p>
        </w:tc>
        <w:tc>
          <w:tcPr>
            <w:tcW w:w="1272"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基金申报总额</w:t>
            </w:r>
          </w:p>
        </w:tc>
        <w:tc>
          <w:tcPr>
            <w:tcW w:w="1147"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门诊基金申报</w:t>
            </w:r>
          </w:p>
        </w:tc>
        <w:tc>
          <w:tcPr>
            <w:tcW w:w="1178"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住院基金申报</w:t>
            </w:r>
          </w:p>
        </w:tc>
        <w:tc>
          <w:tcPr>
            <w:tcW w:w="1163"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其他门诊基金申报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基本医疗</w:t>
            </w:r>
          </w:p>
        </w:tc>
        <w:tc>
          <w:tcPr>
            <w:tcW w:w="1272"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47"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78"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63"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离休</w:t>
            </w:r>
          </w:p>
        </w:tc>
        <w:tc>
          <w:tcPr>
            <w:tcW w:w="1272"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47"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78"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63"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23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29"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29"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13"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3"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1"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1"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0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4"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4"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6"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9"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1096" w:type="pct"/>
            <w:gridSpan w:val="3"/>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二、季度指标额</w:t>
            </w:r>
          </w:p>
        </w:tc>
        <w:tc>
          <w:tcPr>
            <w:tcW w:w="413"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3"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1"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1"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0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4"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4"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6"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9"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付费方式</w:t>
            </w:r>
          </w:p>
        </w:tc>
        <w:tc>
          <w:tcPr>
            <w:tcW w:w="1272"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点数</w:t>
            </w:r>
          </w:p>
        </w:tc>
        <w:tc>
          <w:tcPr>
            <w:tcW w:w="1147"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点值</w:t>
            </w:r>
          </w:p>
        </w:tc>
        <w:tc>
          <w:tcPr>
            <w:tcW w:w="1178"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个人负担</w:t>
            </w:r>
          </w:p>
        </w:tc>
        <w:tc>
          <w:tcPr>
            <w:tcW w:w="116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基金结算额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DRG/DIP</w:t>
            </w:r>
          </w:p>
        </w:tc>
        <w:tc>
          <w:tcPr>
            <w:tcW w:w="1272"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47"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78"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63"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w:t>
            </w:r>
          </w:p>
        </w:tc>
        <w:tc>
          <w:tcPr>
            <w:tcW w:w="1272"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47"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78"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63"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床日</w:t>
            </w:r>
          </w:p>
        </w:tc>
        <w:tc>
          <w:tcPr>
            <w:tcW w:w="1272"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47"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78"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63"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人头</w:t>
            </w:r>
          </w:p>
        </w:tc>
        <w:tc>
          <w:tcPr>
            <w:tcW w:w="1272"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47"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78"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63" w:type="pct"/>
            <w:gridSpan w:val="3"/>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23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29"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29"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13"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3"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1"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1"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0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4"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4"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6"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9"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096" w:type="pct"/>
            <w:gridSpan w:val="3"/>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三、季度结算应拨付额</w:t>
            </w:r>
          </w:p>
        </w:tc>
        <w:tc>
          <w:tcPr>
            <w:tcW w:w="413"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3"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1"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1"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0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4"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4"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6"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9"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险种</w:t>
            </w:r>
          </w:p>
        </w:tc>
        <w:tc>
          <w:tcPr>
            <w:tcW w:w="1655" w:type="pct"/>
            <w:gridSpan w:val="4"/>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本季度已拨付额</w:t>
            </w:r>
          </w:p>
        </w:tc>
        <w:tc>
          <w:tcPr>
            <w:tcW w:w="1557" w:type="pct"/>
            <w:gridSpan w:val="4"/>
            <w:vMerge w:val="restar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本季度实际结算额度</w:t>
            </w:r>
          </w:p>
        </w:tc>
        <w:tc>
          <w:tcPr>
            <w:tcW w:w="1548" w:type="pct"/>
            <w:gridSpan w:val="4"/>
            <w:vMerge w:val="restar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季度结算应拨付额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小计</w:t>
            </w:r>
          </w:p>
        </w:tc>
        <w:tc>
          <w:tcPr>
            <w:tcW w:w="42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1月</w:t>
            </w:r>
          </w:p>
        </w:tc>
        <w:tc>
          <w:tcPr>
            <w:tcW w:w="413"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2月</w:t>
            </w:r>
          </w:p>
        </w:tc>
        <w:tc>
          <w:tcPr>
            <w:tcW w:w="383"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3月</w:t>
            </w:r>
          </w:p>
        </w:tc>
        <w:tc>
          <w:tcPr>
            <w:tcW w:w="1557" w:type="pct"/>
            <w:gridSpan w:val="4"/>
            <w:vMerge w:val="continue"/>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48" w:type="pct"/>
            <w:gridSpan w:val="4"/>
            <w:vMerge w:val="continue"/>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基本医疗</w:t>
            </w:r>
          </w:p>
        </w:tc>
        <w:tc>
          <w:tcPr>
            <w:tcW w:w="42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42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413"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57" w:type="pct"/>
            <w:gridSpan w:val="4"/>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48" w:type="pct"/>
            <w:gridSpan w:val="4"/>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离休</w:t>
            </w:r>
          </w:p>
        </w:tc>
        <w:tc>
          <w:tcPr>
            <w:tcW w:w="42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429"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413"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57" w:type="pct"/>
            <w:gridSpan w:val="4"/>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48" w:type="pct"/>
            <w:gridSpan w:val="4"/>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23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29"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29"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13"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3"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1"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1"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0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4"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4"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6"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9"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23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29"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29"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13"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3"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1"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1"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0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4"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4"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6"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9" w:type="pct"/>
            <w:tcBorders>
              <w:top w:val="nil"/>
              <w:left w:val="nil"/>
              <w:bottom w:val="nil"/>
              <w:right w:val="nil"/>
            </w:tcBorders>
            <w:shd w:val="clear" w:color="000000" w:fill="FFFFFF"/>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1894" w:type="pct"/>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定点机构审核人员：</w:t>
            </w:r>
          </w:p>
        </w:tc>
        <w:tc>
          <w:tcPr>
            <w:tcW w:w="38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0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45" w:type="pct"/>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定点机构审核负责人员：</w:t>
            </w:r>
          </w:p>
        </w:tc>
        <w:tc>
          <w:tcPr>
            <w:tcW w:w="38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238"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29"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29"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13"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3"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0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4"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4"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6"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9"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894" w:type="pct"/>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定点机构领导审批：</w:t>
            </w:r>
          </w:p>
        </w:tc>
        <w:tc>
          <w:tcPr>
            <w:tcW w:w="38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8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0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45" w:type="pct"/>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申报日期：</w:t>
            </w:r>
          </w:p>
        </w:tc>
        <w:tc>
          <w:tcPr>
            <w:tcW w:w="38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2"/>
          <w:sz w:val="32"/>
          <w:szCs w:val="32"/>
          <w:lang w:val="en-US" w:eastAsia="zh-CN" w:bidi="ar-SA"/>
        </w:rPr>
        <w:sectPr>
          <w:pgSz w:w="11906" w:h="16838"/>
          <w:pgMar w:top="2098" w:right="1474" w:bottom="1984" w:left="1587" w:header="851" w:footer="992" w:gutter="0"/>
          <w:pgNumType w:fmt="numberInDash"/>
          <w:cols w:space="425" w:num="1"/>
          <w:docGrid w:type="lines" w:linePitch="312" w:charSpace="0"/>
        </w:sectPr>
      </w:pPr>
    </w:p>
    <w:p>
      <w:pPr>
        <w:pStyle w:val="7"/>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10"/>
        <w:gridCol w:w="621"/>
        <w:gridCol w:w="599"/>
        <w:gridCol w:w="597"/>
        <w:gridCol w:w="600"/>
        <w:gridCol w:w="600"/>
        <w:gridCol w:w="598"/>
        <w:gridCol w:w="600"/>
        <w:gridCol w:w="598"/>
        <w:gridCol w:w="603"/>
        <w:gridCol w:w="598"/>
        <w:gridCol w:w="602"/>
        <w:gridCol w:w="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3" w:hRule="atLeast"/>
        </w:trPr>
        <w:tc>
          <w:tcPr>
            <w:tcW w:w="5000" w:type="pct"/>
            <w:gridSpan w:val="13"/>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吉林省____定点服务机构医疗保障费用月度结算表（XXXX年XX期）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3" w:hRule="atLeast"/>
        </w:trPr>
        <w:tc>
          <w:tcPr>
            <w:tcW w:w="826" w:type="pct"/>
            <w:gridSpan w:val="2"/>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定点机构编码名称：</w:t>
            </w:r>
          </w:p>
        </w:tc>
        <w:tc>
          <w:tcPr>
            <w:tcW w:w="378"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8"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8"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7" w:type="pct"/>
            <w:gridSpan w:val="2"/>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银行账户名称：</w:t>
            </w:r>
          </w:p>
        </w:tc>
        <w:tc>
          <w:tcPr>
            <w:tcW w:w="378"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8"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80"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78" w:type="pct"/>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80" w:type="pct"/>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结算日期：</w:t>
            </w:r>
          </w:p>
        </w:tc>
        <w:tc>
          <w:tcPr>
            <w:tcW w:w="384"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3" w:hRule="atLeast"/>
        </w:trPr>
        <w:tc>
          <w:tcPr>
            <w:tcW w:w="1962" w:type="pct"/>
            <w:gridSpan w:val="5"/>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开户银行：</w:t>
            </w:r>
          </w:p>
        </w:tc>
        <w:tc>
          <w:tcPr>
            <w:tcW w:w="378" w:type="pct"/>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银行账号：</w:t>
            </w:r>
          </w:p>
        </w:tc>
        <w:tc>
          <w:tcPr>
            <w:tcW w:w="378"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8" w:type="pct"/>
            <w:tcBorders>
              <w:top w:val="nil"/>
              <w:left w:val="nil"/>
              <w:bottom w:val="nil"/>
              <w:right w:val="nil"/>
            </w:tcBorders>
            <w:shd w:val="clear" w:color="000000"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8"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0" w:type="pct"/>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78" w:type="pct"/>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80" w:type="pct"/>
            <w:tcBorders>
              <w:top w:val="nil"/>
              <w:left w:val="nil"/>
              <w:bottom w:val="nil"/>
              <w:right w:val="nil"/>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c>
          <w:tcPr>
            <w:tcW w:w="384"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3" w:hRule="atLeast"/>
        </w:trPr>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险种</w:t>
            </w:r>
          </w:p>
        </w:tc>
        <w:tc>
          <w:tcPr>
            <w:tcW w:w="1907" w:type="pct"/>
            <w:gridSpan w:val="5"/>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保证金结算</w:t>
            </w:r>
          </w:p>
        </w:tc>
        <w:tc>
          <w:tcPr>
            <w:tcW w:w="1516"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定额结算</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调整金额</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审核扣款</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年终结算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实际拨付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3"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2" w:type="pct"/>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考核分数</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返还比例</w:t>
            </w:r>
          </w:p>
        </w:tc>
        <w:tc>
          <w:tcPr>
            <w:tcW w:w="1136" w:type="pct"/>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保证金返还金额</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超定额返还金额</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超支分担</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结余留用</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特例单议追加</w:t>
            </w: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3"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2" w:type="pct"/>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生育</w:t>
            </w: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3" w:hRule="atLeast"/>
        </w:trPr>
        <w:tc>
          <w:tcPr>
            <w:tcW w:w="1205"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甲栏</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3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3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38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3"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w:t>
            </w:r>
          </w:p>
        </w:tc>
        <w:tc>
          <w:tcPr>
            <w:tcW w:w="39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3"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w:t>
            </w:r>
          </w:p>
        </w:tc>
        <w:tc>
          <w:tcPr>
            <w:tcW w:w="39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3"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离休</w:t>
            </w:r>
          </w:p>
        </w:tc>
        <w:tc>
          <w:tcPr>
            <w:tcW w:w="39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3"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长护（照护）</w:t>
            </w:r>
          </w:p>
        </w:tc>
        <w:tc>
          <w:tcPr>
            <w:tcW w:w="39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3"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92" w:type="pc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3" w:hRule="atLeast"/>
        </w:trPr>
        <w:tc>
          <w:tcPr>
            <w:tcW w:w="82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年度医保发生额</w:t>
            </w:r>
          </w:p>
        </w:tc>
        <w:tc>
          <w:tcPr>
            <w:tcW w:w="75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年终结算前已拨付金额</w:t>
            </w:r>
          </w:p>
        </w:tc>
        <w:tc>
          <w:tcPr>
            <w:tcW w:w="75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年终结算实际拨付</w:t>
            </w:r>
          </w:p>
        </w:tc>
        <w:tc>
          <w:tcPr>
            <w:tcW w:w="2658" w:type="pct"/>
            <w:gridSpan w:val="7"/>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年终结算后按协议定点机构应承担费用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3" w:hRule="atLeast"/>
        </w:trPr>
        <w:tc>
          <w:tcPr>
            <w:tcW w:w="82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75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保证金</w:t>
            </w: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超定额</w:t>
            </w:r>
          </w:p>
        </w:tc>
        <w:tc>
          <w:tcPr>
            <w:tcW w:w="38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审核扣款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3" w:hRule="atLeast"/>
        </w:trPr>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75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3" w:hRule="atLeast"/>
        </w:trPr>
        <w:tc>
          <w:tcPr>
            <w:tcW w:w="826"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7"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9"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3" w:hRule="atLeast"/>
        </w:trPr>
        <w:tc>
          <w:tcPr>
            <w:tcW w:w="5000" w:type="pct"/>
            <w:gridSpan w:val="1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甲栏：1=2+3,10=1+4+5+6+7+8+9,10=13,11=12+13+14,14=15+16+17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备注：1.“保证金返还金额”是预留的保证金年终按比例返还的金额；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2.“超定额返还金额”是季度结算实扣的超支资金应由年结算时返还的金额；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3.“超支分担”是按付费方案，定点机构年终结算时超支补助的金额；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4.“结余留用”是按付费方案，定点机构年终结算时结余留用的金额；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5.“特例单议追加”是经专家评议，对定点服务机构提出的特例单议病例合理费用予以追加保障的金额；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6.“调整金额”是按付费方案对年初预算定额调整部分；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7.“审核扣款”是本年度月度结算中扣除的审核扣款金额；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8.“实际拨付”是本次年终结算拨付金额，金额为负的定点机构需将资金拨付至我单位财务专用账户中。</w:t>
            </w:r>
          </w:p>
        </w:tc>
      </w:tr>
    </w:tbl>
    <w:p/>
    <w:p/>
    <w:p/>
    <w:p/>
    <w:p/>
    <w:p/>
    <w:p/>
    <w:p/>
    <w:p/>
    <w:p/>
    <w:p>
      <w:pPr>
        <w:autoSpaceDE w:val="0"/>
        <w:autoSpaceDN w:val="0"/>
        <w:spacing w:line="560" w:lineRule="exact"/>
        <w:ind w:firstLine="160" w:firstLineChars="50"/>
        <w:jc w:val="left"/>
        <w:rPr>
          <w:rFonts w:ascii="仿宋_GB2312" w:hAnsi="仿宋_GB2312" w:eastAsia="仿宋_GB2312"/>
          <w:sz w:val="32"/>
          <w:szCs w:val="32"/>
        </w:rPr>
      </w:pPr>
      <w:r>
        <w:rPr>
          <w:rFonts w:hint="eastAsia" w:ascii="仿宋_GB2312" w:hAnsi="仿宋_GB2312" w:eastAsia="仿宋_GB2312"/>
          <w:sz w:val="32"/>
          <w:szCs w:val="32"/>
        </w:rPr>
        <w:t>附件5</w:t>
      </w:r>
      <w:r>
        <w:rPr>
          <w:rFonts w:ascii="仿宋_GB2312" w:hAnsi="仿宋_GB2312" w:eastAsia="仿宋_GB2312"/>
          <w:sz w:val="32"/>
          <w:szCs w:val="32"/>
        </w:rPr>
        <w:t xml:space="preserve"> </w:t>
      </w:r>
    </w:p>
    <w:p>
      <w:pPr>
        <w:autoSpaceDE w:val="0"/>
        <w:autoSpaceDN w:val="0"/>
        <w:spacing w:line="560" w:lineRule="exact"/>
        <w:ind w:firstLine="160" w:firstLineChars="50"/>
        <w:jc w:val="center"/>
        <w:rPr>
          <w:rFonts w:hint="eastAsia" w:ascii="仿宋_GB2312" w:hAnsi="仿宋_GB2312" w:eastAsia="仿宋_GB2312"/>
          <w:sz w:val="32"/>
          <w:szCs w:val="32"/>
        </w:rPr>
      </w:pPr>
      <w:r>
        <w:rPr>
          <w:rFonts w:hint="eastAsia" w:ascii="仿宋_GB2312" w:hAnsi="仿宋_GB2312" w:eastAsia="仿宋_GB2312"/>
          <w:sz w:val="32"/>
          <w:szCs w:val="32"/>
        </w:rPr>
        <w:t>结算流程图</w:t>
      </w:r>
    </w:p>
    <w:p>
      <w:pPr>
        <w:pStyle w:val="7"/>
      </w:pPr>
    </w:p>
    <w:p>
      <w:pPr>
        <w:rPr>
          <w:rFonts w:hint="eastAsia" w:eastAsiaTheme="minorEastAsia"/>
          <w:lang w:eastAsia="zh-CN"/>
        </w:rPr>
      </w:pPr>
      <w:r>
        <w:rPr>
          <w:rFonts w:hint="eastAsia" w:eastAsiaTheme="minorEastAsia"/>
          <w:lang w:eastAsia="zh-CN"/>
        </w:rPr>
        <w:drawing>
          <wp:inline distT="0" distB="0" distL="114300" distR="114300">
            <wp:extent cx="5270500" cy="5088255"/>
            <wp:effectExtent l="0" t="0" r="2540" b="1905"/>
            <wp:docPr id="2" name="图片 2" descr="f1e618f66d84ec837f3112f1b7c26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1e618f66d84ec837f3112f1b7c26f9"/>
                    <pic:cNvPicPr>
                      <a:picLocks noChangeAspect="1"/>
                    </pic:cNvPicPr>
                  </pic:nvPicPr>
                  <pic:blipFill>
                    <a:blip r:embed="rId4"/>
                    <a:stretch>
                      <a:fillRect/>
                    </a:stretch>
                  </pic:blipFill>
                  <pic:spPr>
                    <a:xfrm>
                      <a:off x="0" y="0"/>
                      <a:ext cx="5270500" cy="5088255"/>
                    </a:xfrm>
                    <a:prstGeom prst="rect">
                      <a:avLst/>
                    </a:prstGeom>
                  </pic:spPr>
                </pic:pic>
              </a:graphicData>
            </a:graphic>
          </wp:inline>
        </w:drawing>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4487F0-4993-42EC-B79B-D5415D6CDD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37398991-C023-4C63-8AB4-D106E801CE6D}"/>
  </w:font>
  <w:font w:name="仿宋_GB2312">
    <w:altName w:val="仿宋"/>
    <w:panose1 w:val="02010609030101010101"/>
    <w:charset w:val="86"/>
    <w:family w:val="modern"/>
    <w:pitch w:val="default"/>
    <w:sig w:usb0="00000000" w:usb1="00000000" w:usb2="00000000" w:usb3="00000000" w:csb0="00040000" w:csb1="00000000"/>
    <w:embedRegular r:id="rId3" w:fontKey="{E4B8425A-500F-4374-AE9D-6B132C3DF373}"/>
  </w:font>
  <w:font w:name="方正小标宋简体">
    <w:altName w:val="方正舒体"/>
    <w:panose1 w:val="02000000000000000000"/>
    <w:charset w:val="86"/>
    <w:family w:val="auto"/>
    <w:pitch w:val="default"/>
    <w:sig w:usb0="00000000" w:usb1="00000000" w:usb2="00000012" w:usb3="00000000" w:csb0="00040001" w:csb1="00000000"/>
    <w:embedRegular r:id="rId4" w:fontKey="{78EC7D64-0CB5-4BF8-8201-1CDA5F19B49C}"/>
  </w:font>
  <w:font w:name="方正仿宋_GB2312">
    <w:altName w:val="仿宋"/>
    <w:panose1 w:val="02000000000000000000"/>
    <w:charset w:val="86"/>
    <w:family w:val="auto"/>
    <w:pitch w:val="default"/>
    <w:sig w:usb0="00000000" w:usb1="00000000" w:usb2="00000012" w:usb3="00000000" w:csb0="00040001" w:csb1="00000000"/>
    <w:embedRegular r:id="rId5" w:fontKey="{D91062F9-66C5-4895-946F-28105F2FA239}"/>
  </w:font>
  <w:font w:name="微软雅黑">
    <w:panose1 w:val="020B0503020204020204"/>
    <w:charset w:val="86"/>
    <w:family w:val="auto"/>
    <w:pitch w:val="default"/>
    <w:sig w:usb0="80000287" w:usb1="2ACF3C50" w:usb2="00000016" w:usb3="00000000" w:csb0="0004001F" w:csb1="00000000"/>
    <w:embedRegular r:id="rId6" w:fontKey="{5D83B724-3150-4536-A012-8DB1329AF2FA}"/>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B6E109"/>
    <w:multiLevelType w:val="singleLevel"/>
    <w:tmpl w:val="AAB6E109"/>
    <w:lvl w:ilvl="0" w:tentative="0">
      <w:start w:val="4"/>
      <w:numFmt w:val="chineseCounting"/>
      <w:suff w:val="nothing"/>
      <w:lvlText w:val="（%1）"/>
      <w:lvlJc w:val="left"/>
      <w:rPr>
        <w:rFonts w:hint="eastAsia"/>
      </w:rPr>
    </w:lvl>
  </w:abstractNum>
  <w:abstractNum w:abstractNumId="1">
    <w:nsid w:val="3972882E"/>
    <w:multiLevelType w:val="singleLevel"/>
    <w:tmpl w:val="3972882E"/>
    <w:lvl w:ilvl="0" w:tentative="0">
      <w:start w:val="9"/>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MTk3NTk4YThiMzc4NTg5ZjZjOWVhZWE4M2U4NWEifQ=="/>
  </w:docVars>
  <w:rsids>
    <w:rsidRoot w:val="14BA46BD"/>
    <w:rsid w:val="0C503FCD"/>
    <w:rsid w:val="14BA46BD"/>
    <w:rsid w:val="14DC5FE6"/>
    <w:rsid w:val="16BD75B0"/>
    <w:rsid w:val="1B43291B"/>
    <w:rsid w:val="3FFDBAEF"/>
    <w:rsid w:val="44E93C84"/>
    <w:rsid w:val="4DA7C046"/>
    <w:rsid w:val="57FF0503"/>
    <w:rsid w:val="5AF7A8F3"/>
    <w:rsid w:val="65B7D334"/>
    <w:rsid w:val="675A53F1"/>
    <w:rsid w:val="6FDE1BFC"/>
    <w:rsid w:val="7BDF1F93"/>
    <w:rsid w:val="7DA8AE62"/>
    <w:rsid w:val="7FFD4AD4"/>
    <w:rsid w:val="BA592F56"/>
    <w:rsid w:val="E7FE538E"/>
    <w:rsid w:val="EFFF9239"/>
    <w:rsid w:val="F7D7E7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0"/>
    <w:pPr>
      <w:spacing w:after="120" w:afterLines="0" w:afterAutospacing="0" w:line="480" w:lineRule="auto"/>
      <w:ind w:left="420" w:leftChars="200"/>
    </w:pPr>
    <w:rPr>
      <w:rFonts w:eastAsia="仿宋" w:asciiTheme="minorAscii" w:hAnsiTheme="minorAscii"/>
      <w:sz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
    <w:name w:val="正文文本1"/>
    <w:basedOn w:val="1"/>
    <w:qFormat/>
    <w:uiPriority w:val="0"/>
    <w:pPr>
      <w:spacing w:line="432" w:lineRule="auto"/>
      <w:ind w:firstLine="400"/>
      <w:jc w:val="left"/>
    </w:pPr>
    <w:rPr>
      <w:rFonts w:ascii="宋体" w:hAnsi="宋体" w:cs="宋体"/>
      <w:kern w:val="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9111</Words>
  <Characters>9466</Characters>
  <Lines>0</Lines>
  <Paragraphs>0</Paragraphs>
  <TotalTime>9</TotalTime>
  <ScaleCrop>false</ScaleCrop>
  <LinksUpToDate>false</LinksUpToDate>
  <CharactersWithSpaces>9706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2023-10-16T00:32:00Z</dcterms:created>
  <dc:creator>喵筱懒</dc:creator>
  <cp:lastModifiedBy>limeng</cp:lastModifiedBy>
  <dcterms:modified xsi:type="dcterms:W3CDTF">2023-10-25T09:22:35Z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14356DD74CA4411E958C2744CA2E9A1E_13</vt:lpwstr>
  </property>
</Properties>
</file>