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《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北京市药品领域行政强制裁量基准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（征求意见稿）》</w:t>
      </w:r>
      <w:r>
        <w:rPr>
          <w:rFonts w:hint="eastAsia" w:ascii="方正小标宋简体" w:hAnsi="黑体" w:eastAsia="方正小标宋简体" w:cs="黑体"/>
          <w:sz w:val="44"/>
          <w:szCs w:val="44"/>
        </w:rPr>
        <w:t>的起草说明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《关于印发〈关于进一步规范行政裁量权基准制定和管理工作的实施意见〉的通知》（京依法行政办发〔2023〕4号）中关于制定行政强制裁量基准的要求，结合行政强制权力清单，北京市药品监督管理局依据现行有效的药品、医疗器械、化妆品法律、法规、规章，进一步梳理汇总了行政强制措施规定，形成了《北京市药品领域行政强制裁量基准（征求意见稿）》（以下简称“基准”），以实现细化我市药品领域行政强制措施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更好地行使行政强制权，规范行政强制行为，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减少执法人员实施行政强制措施过程中的主观因素，确保行政强制符合法律、法规、规章和标准规范的要求。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在起草《基准》过程中，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依据现行有效的药品、医疗器械、化妆品法律、法规、规章，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当前我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市药品领域（包括药品、医疗器械、化妆品，下同）行政强制规定进行全面梳理，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经不断修改完善，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形成了《基准》，包含18个药品领域的行政强制裁量基准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行政强制裁量基准包含行政强制的种类、依据、条件、程序和时限等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内容，</w:t>
      </w:r>
      <w:r>
        <w:rPr>
          <w:rFonts w:hint="eastAsia" w:ascii="仿宋_GB2312" w:hAnsi="仿宋" w:eastAsia="仿宋_GB2312"/>
          <w:sz w:val="32"/>
          <w:szCs w:val="32"/>
        </w:rPr>
        <w:t>现向社会公开征求意见。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楷体_GB2312" w:hAnsi="楷体_GB2312" w:eastAsia="楷体_GB2312" w:cs="楷体_GB2312"/>
          <w:sz w:val="32"/>
          <w:szCs w:val="32"/>
        </w:rPr>
        <w:t>〈</w:t>
      </w:r>
      <w:r>
        <w:rPr>
          <w:rFonts w:hint="eastAsia" w:ascii="仿宋_GB2312" w:eastAsia="仿宋_GB2312"/>
          <w:sz w:val="32"/>
          <w:szCs w:val="32"/>
        </w:rPr>
        <w:t>关于进一步规范行政裁量权基准制定和管理工作的实施意见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eastAsia="仿宋_GB2312"/>
          <w:sz w:val="32"/>
          <w:szCs w:val="32"/>
        </w:rPr>
        <w:t>的通知》（京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依法行政办</w:t>
      </w:r>
      <w:r>
        <w:rPr>
          <w:rFonts w:hint="eastAsia" w:ascii="仿宋_GB2312" w:eastAsia="仿宋_GB2312"/>
          <w:sz w:val="32"/>
          <w:szCs w:val="32"/>
        </w:rPr>
        <w:t>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和现行有效的药品、医疗器械、化妆品法律、法规、规章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《北京市药品领域行政强制裁量基准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（征求意见稿）》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北京市药品领域行政强制裁量基准（征求意见稿）》包含18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个药品领域的行政强制裁量基准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行政强制裁量基准包含行政强制的种类、依据、条件、程序和时限等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内容，全面梳理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汇总了所采取行政强制的方式、法律法规依据、适用条件、依法程序和时限要求等，致力于减少执法人员实施行政强制措施过程中的主观因素，确保实施行政强制符合法律、法规、规章和标准规范的要求。</w:t>
      </w:r>
    </w:p>
    <w:p>
      <w:pPr>
        <w:spacing w:line="578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TI0MDQ4YTkwMjRiNzhhNDgxYTY0Mzc5M2QzYTgifQ=="/>
  </w:docVars>
  <w:rsids>
    <w:rsidRoot w:val="00000000"/>
    <w:rsid w:val="004D0FA3"/>
    <w:rsid w:val="012375FA"/>
    <w:rsid w:val="02991ADA"/>
    <w:rsid w:val="0C933C4A"/>
    <w:rsid w:val="0EF941BA"/>
    <w:rsid w:val="0F8D51F0"/>
    <w:rsid w:val="10D607FE"/>
    <w:rsid w:val="118063A3"/>
    <w:rsid w:val="14D66AD5"/>
    <w:rsid w:val="15891CCA"/>
    <w:rsid w:val="1638549E"/>
    <w:rsid w:val="172D2B29"/>
    <w:rsid w:val="182E29B9"/>
    <w:rsid w:val="1CAC3418"/>
    <w:rsid w:val="1D4D7A81"/>
    <w:rsid w:val="1EFA7794"/>
    <w:rsid w:val="1F1A1BE5"/>
    <w:rsid w:val="227A6CA5"/>
    <w:rsid w:val="27B870F7"/>
    <w:rsid w:val="28433F5A"/>
    <w:rsid w:val="295D5E3E"/>
    <w:rsid w:val="29D07A70"/>
    <w:rsid w:val="2C770676"/>
    <w:rsid w:val="2E0A72C8"/>
    <w:rsid w:val="2F983931"/>
    <w:rsid w:val="304E7940"/>
    <w:rsid w:val="322E2569"/>
    <w:rsid w:val="32E601FF"/>
    <w:rsid w:val="335C05C6"/>
    <w:rsid w:val="364B2EC7"/>
    <w:rsid w:val="380D00E1"/>
    <w:rsid w:val="38491F5F"/>
    <w:rsid w:val="3934456B"/>
    <w:rsid w:val="3A163206"/>
    <w:rsid w:val="3B2E1EA3"/>
    <w:rsid w:val="3C6A5B02"/>
    <w:rsid w:val="3D5D4E57"/>
    <w:rsid w:val="3FDF3531"/>
    <w:rsid w:val="41537079"/>
    <w:rsid w:val="42760D2E"/>
    <w:rsid w:val="45AF0A29"/>
    <w:rsid w:val="47A83982"/>
    <w:rsid w:val="4A056160"/>
    <w:rsid w:val="4B066EEC"/>
    <w:rsid w:val="4C6618B2"/>
    <w:rsid w:val="4E630603"/>
    <w:rsid w:val="4E84393D"/>
    <w:rsid w:val="4F6042F5"/>
    <w:rsid w:val="50D964C7"/>
    <w:rsid w:val="55D24034"/>
    <w:rsid w:val="56FB4709"/>
    <w:rsid w:val="5805272B"/>
    <w:rsid w:val="599124C8"/>
    <w:rsid w:val="59F63254"/>
    <w:rsid w:val="5A334F54"/>
    <w:rsid w:val="5A9164F8"/>
    <w:rsid w:val="5DE52DE2"/>
    <w:rsid w:val="5ED36CD9"/>
    <w:rsid w:val="5FAF444F"/>
    <w:rsid w:val="627C0322"/>
    <w:rsid w:val="635307EE"/>
    <w:rsid w:val="6536207A"/>
    <w:rsid w:val="65DF45BB"/>
    <w:rsid w:val="6A366E0F"/>
    <w:rsid w:val="70F80C27"/>
    <w:rsid w:val="729A1F96"/>
    <w:rsid w:val="72F13B80"/>
    <w:rsid w:val="735C3655"/>
    <w:rsid w:val="738311F3"/>
    <w:rsid w:val="73E07E7C"/>
    <w:rsid w:val="74D55507"/>
    <w:rsid w:val="77516B4F"/>
    <w:rsid w:val="79DE1E27"/>
    <w:rsid w:val="7ABE07EB"/>
    <w:rsid w:val="7AEB5DD5"/>
    <w:rsid w:val="7B175B65"/>
    <w:rsid w:val="7C5C02BC"/>
    <w:rsid w:val="7E97382D"/>
    <w:rsid w:val="7EB8741F"/>
    <w:rsid w:val="FF6D863E"/>
    <w:rsid w:val="FFF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1231</Characters>
  <Lines>0</Lines>
  <Paragraphs>0</Paragraphs>
  <TotalTime>4</TotalTime>
  <ScaleCrop>false</ScaleCrop>
  <LinksUpToDate>false</LinksUpToDate>
  <CharactersWithSpaces>1235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2021-06-09T22:30:00Z</dcterms:created>
  <dc:creator>Administrator</dc:creator>
  <cp:lastModifiedBy>陈立伟</cp:lastModifiedBy>
  <dcterms:modified xsi:type="dcterms:W3CDTF">2023-10-12T19:48:24Z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5BFB9FAA84E04C2EBAC0629B6E91747C</vt:lpwstr>
  </property>
</Properties>
</file>