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bidi w:val="0"/>
        <w:rPr>
          <w:rFonts w:hint="eastAsia"/>
          <w:lang w:val="en-US" w:eastAsia="zh-CN"/>
        </w:rPr>
      </w:pPr>
      <w:r>
        <w:rPr>
          <w:rFonts w:hint="eastAsia"/>
          <w:lang w:val="en-US" w:eastAsia="zh-CN"/>
        </w:rPr>
        <w:t>江西省地方标准</w:t>
      </w:r>
    </w:p>
    <w:p>
      <w:pPr>
        <w:pStyle w:val="41"/>
        <w:bidi w:val="0"/>
        <w:rPr>
          <w:rFonts w:hint="eastAsia"/>
          <w:lang w:val="en-US" w:eastAsia="zh-CN"/>
        </w:rPr>
      </w:pPr>
      <w:r>
        <w:rPr>
          <w:rFonts w:hint="eastAsia"/>
          <w:lang w:val="en-US" w:eastAsia="zh-CN"/>
        </w:rPr>
        <w:fldChar w:fldCharType="begin">
          <w:ffData>
            <w:name w:val="StandNo"/>
            <w:enabled/>
            <w:calcOnExit w:val="0"/>
            <w:textInput>
              <w:default w:val="DB XX XXXXX—XXXX"/>
            </w:textInput>
          </w:ffData>
        </w:fldChar>
      </w:r>
      <w:bookmarkStart w:id="0" w:name="StandNo"/>
      <w:r>
        <w:rPr>
          <w:rFonts w:hint="eastAsia"/>
          <w:lang w:val="en-US" w:eastAsia="zh-CN"/>
        </w:rPr>
        <w:instrText xml:space="preserve">FORMTEXT</w:instrText>
      </w:r>
      <w:r>
        <w:rPr>
          <w:rFonts w:hint="eastAsia"/>
          <w:lang w:val="en-US" w:eastAsia="zh-CN"/>
        </w:rPr>
        <w:fldChar w:fldCharType="separate"/>
      </w:r>
      <w:r>
        <w:rPr>
          <w:rFonts w:hint="eastAsia"/>
          <w:lang w:val="en-US" w:eastAsia="zh-CN"/>
        </w:rPr>
        <w:t>DB XX XXXXX—XXXX</w:t>
      </w:r>
      <w:r>
        <w:rPr>
          <w:rFonts w:hint="eastAsia"/>
          <w:lang w:val="en-US" w:eastAsia="zh-CN"/>
        </w:rPr>
        <w:fldChar w:fldCharType="end"/>
      </w:r>
      <w:bookmarkEnd w:id="0"/>
    </w:p>
    <w:p>
      <w:pPr>
        <w:pStyle w:val="40"/>
        <w:bidi w:val="0"/>
        <w:rPr>
          <w:rFonts w:hint="eastAsia"/>
          <w:lang w:val="en-US" w:eastAsia="zh-CN"/>
        </w:rPr>
      </w:pPr>
      <w:r>
        <w:rPr>
          <w:rFonts w:hint="eastAsia"/>
          <w:lang w:val="en-US" w:eastAsia="zh-CN"/>
        </w:rPr>
        <w:fldChar w:fldCharType="begin">
          <w:ffData>
            <w:name w:val="ReplaceDB"/>
            <w:enabled/>
            <w:calcOnExit w:val="0"/>
            <w:textInput/>
          </w:ffData>
        </w:fldChar>
      </w:r>
      <w:bookmarkStart w:id="1"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1"/>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pPr>
              <w:pStyle w:val="35"/>
              <w:widowControl w:val="0"/>
              <w:bidi w:val="0"/>
              <w:jc w:val="both"/>
              <w:rPr>
                <w:rFonts w:hint="eastAsia"/>
                <w:sz w:val="10"/>
                <w:vertAlign w:val="baseline"/>
                <w:lang w:val="en-US" w:eastAsia="zh-CN"/>
              </w:rPr>
            </w:pPr>
          </w:p>
        </w:tc>
      </w:tr>
    </w:tbl>
    <w:p>
      <w:pPr>
        <w:pStyle w:val="42"/>
        <w:bidi w:val="0"/>
        <w:rPr>
          <w:rFonts w:hint="eastAsia"/>
          <w:lang w:val="en-US" w:eastAsia="zh-CN"/>
        </w:rPr>
      </w:pPr>
      <w:r>
        <w:rPr>
          <w:rFonts w:hint="eastAsia"/>
          <w:lang w:val="en-US" w:eastAsia="zh-CN"/>
        </w:rPr>
        <w:t>健康体检质控评价规范</w:t>
      </w:r>
    </w:p>
    <w:p>
      <w:pPr>
        <w:pStyle w:val="43"/>
        <w:bidi w:val="0"/>
        <w:rPr>
          <w:rFonts w:hint="eastAsia"/>
          <w:lang w:val="en-US" w:eastAsia="zh-CN"/>
        </w:rPr>
      </w:pPr>
      <w:r>
        <w:rPr>
          <w:rFonts w:hint="eastAsia"/>
          <w:lang w:val="en-US" w:eastAsia="zh-CN"/>
        </w:rPr>
        <w:t>Specification for quality control evaluation of physical examination</w:t>
      </w:r>
    </w:p>
    <w:p>
      <w:pPr>
        <w:pStyle w:val="44"/>
        <w:bidi w:val="0"/>
        <w:rPr>
          <w:rFonts w:hint="eastAsia"/>
          <w:lang w:val="en-US" w:eastAsia="zh-CN"/>
        </w:rPr>
      </w:pPr>
      <w:r>
        <w:rPr>
          <w:rFonts w:hint="eastAsia"/>
          <w:lang w:val="en-US" w:eastAsia="zh-CN"/>
        </w:rPr>
        <w:fldChar w:fldCharType="begin">
          <w:ffData>
            <w:name w:val="YZBS"/>
            <w:enabled/>
            <w:calcOnExit w:val="0"/>
            <w:textInput/>
          </w:ffData>
        </w:fldChar>
      </w:r>
      <w:bookmarkStart w:id="2" w:name="YZBS"/>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2"/>
    </w:p>
    <w:p>
      <w:pPr>
        <w:pStyle w:val="45"/>
        <w:bidi w:val="0"/>
        <w:spacing w:after="0"/>
        <w:rPr>
          <w:rFonts w:hint="eastAsia"/>
          <w:lang w:val="en-US" w:eastAsia="zh-CN"/>
        </w:rPr>
      </w:pPr>
      <w:r>
        <w:rPr>
          <w:rFonts w:hint="eastAsia"/>
          <w:lang w:val="en-US" w:eastAsia="zh-CN"/>
        </w:rPr>
        <w:fldChar w:fldCharType="begin">
          <w:ffData>
            <w:name w:val="LB"/>
            <w:enabled/>
            <w:calcOnExit w:val="0"/>
            <w:ddList>
              <w:listEntry w:val="     "/>
              <w:listEntry w:val="（工作组讨论稿）"/>
              <w:listEntry w:val="（征求意见稿）"/>
              <w:listEntry w:val="（送审讨论稿）"/>
              <w:listEntry w:val="（送审稿）"/>
              <w:listEntry w:val="（报批稿）"/>
            </w:ddList>
          </w:ffData>
        </w:fldChar>
      </w:r>
      <w:bookmarkStart w:id="3" w:name="LB"/>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3"/>
    </w:p>
    <w:p>
      <w:pPr>
        <w:pStyle w:val="46"/>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4"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4"/>
    </w:p>
    <w:p>
      <w:pPr>
        <w:pStyle w:val="47"/>
        <w:bidi w:val="0"/>
        <w:spacing w:before="687" w:beforeLines="220"/>
        <w:rPr>
          <w:rFonts w:hint="eastAsia"/>
          <w:lang w:val="en-US" w:eastAsia="zh-CN"/>
        </w:rPr>
      </w:pPr>
      <w:r>
        <w:rPr>
          <w:rFonts w:hint="eastAsia"/>
          <w:lang w:val="en-US" w:eastAsia="zh-CN"/>
        </w:rPr>
        <w:fldChar w:fldCharType="begin">
          <w:ffData>
            <w:name w:val="FileSelect"/>
            <w:enabled/>
            <w:calcOnExit w:val="0"/>
            <w:ddList>
              <w:listEntry w:val="     "/>
              <w:listEntry w:val="在提交反馈意见时，请将您知道的相关专利连同支持性文件一件附上。"/>
            </w:ddList>
          </w:ffData>
        </w:fldChar>
      </w:r>
      <w:bookmarkStart w:id="5" w:name="FileSelect"/>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5"/>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pPr>
              <w:pStyle w:val="39"/>
              <w:widowControl w:val="0"/>
              <w:bidi w:val="0"/>
              <w:jc w:val="both"/>
              <w:rPr>
                <w:rFonts w:hint="eastAsia"/>
                <w:vertAlign w:val="baseline"/>
                <w:lang w:val="en-US" w:eastAsia="zh-CN"/>
              </w:rPr>
            </w:pPr>
            <w:r>
              <w:rPr>
                <w:rFonts w:hint="eastAsia"/>
                <w:vertAlign w:val="baseline"/>
                <w:lang w:val="en-US" w:eastAsia="zh-CN"/>
              </w:rPr>
              <w:fldChar w:fldCharType="begin">
                <w:ffData>
                  <w:name w:val="FY"/>
                  <w:enabled/>
                  <w:calcOnExit w:val="0"/>
                  <w:textInput>
                    <w:maxLength w:val="4"/>
                  </w:textInput>
                </w:ffData>
              </w:fldChar>
            </w:r>
            <w:bookmarkStart w:id="6" w:name="F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 xml:space="preserve">    </w:t>
            </w:r>
            <w:r>
              <w:rPr>
                <w:rFonts w:hint="eastAsia"/>
                <w:vertAlign w:val="baseline"/>
                <w:lang w:val="en-US" w:eastAsia="zh-CN"/>
              </w:rPr>
              <w:fldChar w:fldCharType="end"/>
            </w:r>
            <w:bookmarkEnd w:id="6"/>
            <w:r>
              <w:rPr>
                <w:rFonts w:hint="eastAsia"/>
                <w:vertAlign w:val="baseline"/>
                <w:lang w:val="en-US" w:eastAsia="zh-CN"/>
              </w:rPr>
              <w:t xml:space="preserve"> - </w:t>
            </w:r>
            <w:r>
              <w:rPr>
                <w:rFonts w:hint="eastAsia"/>
                <w:vertAlign w:val="baseline"/>
                <w:lang w:val="en-US" w:eastAsia="zh-CN"/>
              </w:rPr>
              <w:fldChar w:fldCharType="begin">
                <w:ffData>
                  <w:name w:val="FM"/>
                  <w:enabled/>
                  <w:calcOnExit w:val="0"/>
                  <w:textInput>
                    <w:maxLength w:val="2"/>
                  </w:textInput>
                </w:ffData>
              </w:fldChar>
            </w:r>
            <w:bookmarkStart w:id="7"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 xml:space="preserve">  </w:t>
            </w:r>
            <w:r>
              <w:rPr>
                <w:rFonts w:hint="eastAsia"/>
                <w:vertAlign w:val="baseline"/>
                <w:lang w:val="en-US" w:eastAsia="zh-CN"/>
              </w:rPr>
              <w:fldChar w:fldCharType="end"/>
            </w:r>
            <w:bookmarkEnd w:id="7"/>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maxLength w:val="2"/>
                  </w:textInput>
                </w:ffData>
              </w:fldChar>
            </w:r>
            <w:bookmarkStart w:id="8"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 xml:space="preserve">  </w:t>
            </w:r>
            <w:r>
              <w:rPr>
                <w:rFonts w:hint="eastAsia"/>
                <w:vertAlign w:val="baseline"/>
                <w:lang w:val="en-US" w:eastAsia="zh-CN"/>
              </w:rPr>
              <w:fldChar w:fldCharType="end"/>
            </w:r>
            <w:bookmarkEnd w:id="8"/>
            <w:r>
              <w:rPr>
                <w:rFonts w:hint="eastAsia"/>
                <w:vertAlign w:val="baseline"/>
                <w:lang w:val="en-US" w:eastAsia="zh-CN"/>
              </w:rPr>
              <w:t xml:space="preserve"> 发布</w:t>
            </w:r>
          </w:p>
        </w:tc>
        <w:tc>
          <w:tcPr>
            <w:tcW w:w="4945" w:type="dxa"/>
            <w:tcBorders>
              <w:bottom w:val="single" w:color="auto" w:sz="8" w:space="0"/>
            </w:tcBorders>
            <w:tcMar>
              <w:right w:w="57" w:type="dxa"/>
            </w:tcMar>
          </w:tcPr>
          <w:p>
            <w:pPr>
              <w:pStyle w:val="39"/>
              <w:widowControl w:val="0"/>
              <w:bidi w:val="0"/>
              <w:jc w:val="right"/>
              <w:rPr>
                <w:rFonts w:hint="eastAsia"/>
                <w:vertAlign w:val="baseline"/>
                <w:lang w:val="en-US" w:eastAsia="zh-CN"/>
              </w:rPr>
            </w:pPr>
            <w:r>
              <w:rPr>
                <w:rFonts w:hint="eastAsia"/>
                <w:vertAlign w:val="baseline"/>
                <w:lang w:val="en-US" w:eastAsia="zh-CN"/>
              </w:rPr>
              <w:fldChar w:fldCharType="begin">
                <w:ffData>
                  <w:name w:val="SY"/>
                  <w:enabled/>
                  <w:calcOnExit w:val="0"/>
                  <w:textInput>
                    <w:maxLength w:val="4"/>
                  </w:textInput>
                </w:ffData>
              </w:fldChar>
            </w:r>
            <w:bookmarkStart w:id="9" w:name="S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 xml:space="preserve">    </w:t>
            </w:r>
            <w:r>
              <w:rPr>
                <w:rFonts w:hint="eastAsia"/>
                <w:vertAlign w:val="baseline"/>
                <w:lang w:val="en-US" w:eastAsia="zh-CN"/>
              </w:rPr>
              <w:fldChar w:fldCharType="end"/>
            </w:r>
            <w:bookmarkEnd w:id="9"/>
            <w:r>
              <w:rPr>
                <w:rFonts w:hint="eastAsia"/>
                <w:vertAlign w:val="baseline"/>
                <w:lang w:val="en-US" w:eastAsia="zh-CN"/>
              </w:rPr>
              <w:t xml:space="preserve"> - </w:t>
            </w:r>
            <w:r>
              <w:rPr>
                <w:rFonts w:hint="eastAsia"/>
                <w:vertAlign w:val="baseline"/>
                <w:lang w:val="en-US" w:eastAsia="zh-CN"/>
              </w:rPr>
              <w:fldChar w:fldCharType="begin">
                <w:ffData>
                  <w:name w:val="SM"/>
                  <w:enabled/>
                  <w:calcOnExit w:val="0"/>
                  <w:textInput>
                    <w:maxLength w:val="2"/>
                  </w:textInput>
                </w:ffData>
              </w:fldChar>
            </w:r>
            <w:bookmarkStart w:id="10"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 xml:space="preserve">  </w:t>
            </w:r>
            <w:r>
              <w:rPr>
                <w:rFonts w:hint="eastAsia"/>
                <w:vertAlign w:val="baseline"/>
                <w:lang w:val="en-US" w:eastAsia="zh-CN"/>
              </w:rPr>
              <w:fldChar w:fldCharType="end"/>
            </w:r>
            <w:bookmarkEnd w:id="10"/>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maxLength w:val="2"/>
                  </w:textInput>
                </w:ffData>
              </w:fldChar>
            </w:r>
            <w:bookmarkStart w:id="11"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 xml:space="preserve">  </w:t>
            </w:r>
            <w:r>
              <w:rPr>
                <w:rFonts w:hint="eastAsia"/>
                <w:vertAlign w:val="baseline"/>
                <w:lang w:val="en-US" w:eastAsia="zh-CN"/>
              </w:rPr>
              <w:fldChar w:fldCharType="end"/>
            </w:r>
            <w:bookmarkEnd w:id="11"/>
            <w:r>
              <w:rPr>
                <w:rFonts w:hint="eastAsia"/>
                <w:vertAlign w:val="baseline"/>
                <w:lang w:val="en-US" w:eastAsia="zh-CN"/>
              </w:rPr>
              <w:t xml:space="preserve"> 实施</w:t>
            </w:r>
          </w:p>
        </w:tc>
      </w:tr>
    </w:tbl>
    <w:p>
      <w:pPr>
        <w:pStyle w:val="49"/>
        <w:bidi w:val="0"/>
        <w:spacing w:before="0"/>
        <w:rPr>
          <w:rFonts w:hint="eastAsia"/>
          <w:spacing w:val="0"/>
          <w:w w:val="100"/>
          <w:sz w:val="28"/>
          <w:lang w:val="en-US" w:eastAsia="zh-CN"/>
        </w:rPr>
      </w:pPr>
      <w:r>
        <w:rPr>
          <w:rFonts w:hint="eastAsia"/>
          <w:lang w:val="en-US" w:eastAsia="zh-CN"/>
        </w:rPr>
        <w:fldChar w:fldCharType="begin">
          <w:ffData>
            <w:name w:val="FM2"/>
            <w:enabled/>
            <w:calcOnExit w:val="0"/>
            <w:textInput/>
          </w:ffData>
        </w:fldChar>
      </w:r>
      <w:bookmarkStart w:id="12" w:name="FM2"/>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12"/>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21"/>
        <w:tblW w:w="9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pPr>
              <w:pStyle w:val="53"/>
              <w:bidi w:val="0"/>
              <w:jc w:val="both"/>
              <w:rPr>
                <w:rFonts w:hint="eastAsia"/>
                <w:vertAlign w:val="baseline"/>
                <w:lang w:val="en-US" w:eastAsia="zh-CN"/>
              </w:rPr>
            </w:pPr>
            <w:r>
              <w:rPr>
                <w:rFonts w:hint="eastAsia"/>
                <w:vertAlign w:val="baseline"/>
                <w:lang w:val="en-US" w:eastAsia="zh-CN"/>
              </w:rPr>
              <w:t>ICS</w:t>
            </w:r>
          </w:p>
        </w:tc>
        <w:tc>
          <w:tcPr>
            <w:tcW w:w="9107" w:type="dxa"/>
          </w:tcPr>
          <w:p>
            <w:pPr>
              <w:pStyle w:val="53"/>
              <w:bidi w:val="0"/>
              <w:jc w:val="both"/>
              <w:rPr>
                <w:rFonts w:hint="eastAsia"/>
                <w:vertAlign w:val="baseline"/>
                <w:lang w:val="en-US" w:eastAsia="zh-CN"/>
              </w:rPr>
            </w:pPr>
            <w:bookmarkStart w:id="13" w:name="ICS"/>
            <w:r>
              <w:rPr>
                <w:rFonts w:hint="eastAsia"/>
                <w:vertAlign w:val="baseline"/>
                <w:lang w:val="en-US" w:eastAsia="zh-CN"/>
              </w:rPr>
              <w:fldChar w:fldCharType="begin">
                <w:ffData>
                  <w:name w:val="ICS"/>
                  <w:enabled/>
                  <w:calcOnExit w:val="0"/>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default"/>
                <w:vertAlign w:val="baseline"/>
                <w:lang w:val="en-US" w:eastAsia="zh-CN"/>
              </w:rPr>
              <w:t>     </w:t>
            </w:r>
            <w:r>
              <w:rPr>
                <w:rFonts w:hint="eastAsia"/>
                <w:vertAlign w:val="baseline"/>
                <w:lang w:val="en-US" w:eastAsia="zh-CN"/>
              </w:rPr>
              <w:fldChar w:fldCharType="end"/>
            </w:r>
            <w:bookmarkEnd w:id="1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pPr>
              <w:pStyle w:val="53"/>
              <w:bidi w:val="0"/>
              <w:jc w:val="both"/>
              <w:rPr>
                <w:rFonts w:hint="eastAsia"/>
                <w:vertAlign w:val="baseline"/>
                <w:lang w:val="en-US" w:eastAsia="zh-CN"/>
              </w:rPr>
            </w:pPr>
            <w:r>
              <w:rPr>
                <w:rFonts w:hint="eastAsia"/>
                <w:vertAlign w:val="baseline"/>
                <w:lang w:val="en-US" w:eastAsia="zh-CN"/>
              </w:rPr>
              <w:t>CCS</w:t>
            </w:r>
          </w:p>
        </w:tc>
        <w:tc>
          <w:tcPr>
            <w:tcW w:w="9107" w:type="dxa"/>
          </w:tcPr>
          <w:p>
            <w:pPr>
              <w:pStyle w:val="53"/>
              <w:bidi w:val="0"/>
              <w:jc w:val="both"/>
              <w:rPr>
                <w:rFonts w:hint="eastAsia"/>
                <w:vertAlign w:val="baseline"/>
                <w:lang w:val="en-US" w:eastAsia="zh-CN"/>
              </w:rPr>
            </w:pPr>
            <w:bookmarkStart w:id="14" w:name="CCS"/>
            <w:r>
              <w:rPr>
                <w:rFonts w:hint="eastAsia"/>
                <w:vertAlign w:val="baseline"/>
                <w:lang w:val="en-US" w:eastAsia="zh-CN"/>
              </w:rPr>
              <w:fldChar w:fldCharType="begin">
                <w:ffData>
                  <w:name w:val="CCS"/>
                  <w:enabled/>
                  <w:calcOnExit w:val="0"/>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default"/>
                <w:vertAlign w:val="baseline"/>
                <w:lang w:val="en-US" w:eastAsia="zh-CN"/>
              </w:rPr>
              <w:t>     </w:t>
            </w:r>
            <w:r>
              <w:rPr>
                <w:rFonts w:hint="eastAsia"/>
                <w:vertAlign w:val="baseline"/>
                <w:lang w:val="en-US" w:eastAsia="zh-CN"/>
              </w:rPr>
              <w:fldChar w:fldCharType="end"/>
            </w:r>
            <w:bookmarkEnd w:id="14"/>
          </w:p>
          <w:tbl>
            <w:tblPr>
              <w:tblStyle w:val="21"/>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pPr>
                    <w:pStyle w:val="53"/>
                    <w:bidi w:val="0"/>
                    <w:jc w:val="right"/>
                    <w:rPr>
                      <w:rFonts w:hint="default"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8"/>
                                <a:stretch>
                                  <a:fillRect/>
                                </a:stretch>
                              </pic:blipFill>
                              <pic:spPr>
                                <a:xfrm>
                                  <a:off x="0" y="0"/>
                                  <a:ext cx="798195" cy="399415"/>
                                </a:xfrm>
                                <a:prstGeom prst="rect">
                                  <a:avLst/>
                                </a:prstGeom>
                              </pic:spPr>
                            </pic:pic>
                          </a:graphicData>
                        </a:graphic>
                      </wp:inline>
                    </w:drawing>
                  </w:r>
                  <w:r>
                    <w:rPr>
                      <w:rFonts w:hint="eastAsia" w:eastAsia="宋体" w:cs="Times New Roman"/>
                      <w:b/>
                      <w:w w:val="130"/>
                      <w:kern w:val="0"/>
                      <w:sz w:val="21"/>
                      <w:vertAlign w:val="baseline"/>
                      <w:lang w:val="en-US" w:eastAsia="zh-CN"/>
                    </w:rPr>
                    <w:t xml:space="preserve"> </w:t>
                  </w:r>
                  <w:r>
                    <w:rPr>
                      <w:rFonts w:hint="eastAsia" w:eastAsia="宋体" w:cs="Times New Roman"/>
                      <w:b/>
                      <w:w w:val="130"/>
                      <w:kern w:val="0"/>
                      <w:sz w:val="96"/>
                      <w:vertAlign w:val="baseline"/>
                      <w:lang w:val="en-US" w:eastAsia="zh-CN"/>
                    </w:rPr>
                    <w:t>36</w:t>
                  </w:r>
                </w:p>
              </w:tc>
            </w:tr>
          </w:tbl>
          <w:p>
            <w:pPr>
              <w:pStyle w:val="53"/>
              <w:bidi w:val="0"/>
              <w:jc w:val="both"/>
              <w:rPr>
                <w:rFonts w:hint="eastAsia"/>
                <w:vertAlign w:val="baseline"/>
                <w:lang w:val="en-US" w:eastAsia="zh-CN"/>
              </w:rPr>
            </w:pPr>
          </w:p>
        </w:tc>
      </w:tr>
    </w:tbl>
    <w:p>
      <w:pPr>
        <w:pStyle w:val="53"/>
        <w:bidi w:val="0"/>
        <w:rPr>
          <w:rFonts w:hint="eastAsia"/>
          <w:lang w:val="en-US" w:eastAsia="zh-CN"/>
        </w:rPr>
        <w:sectPr>
          <w:headerReference r:id="rId3" w:type="default"/>
          <w:footerReference r:id="rId4" w:type="default"/>
          <w:pgSz w:w="11906" w:h="16838"/>
          <w:pgMar w:top="-340" w:right="1134" w:bottom="1021" w:left="1134" w:header="0" w:footer="0" w:gutter="284"/>
          <w:lnNumType w:countBy="0" w:restart="continuous"/>
          <w:pgNumType w:fmt="decimal" w:start="1"/>
          <w:cols w:space="425" w:num="1"/>
          <w:titlePg/>
          <w:docGrid w:type="lines" w:linePitch="312" w:charSpace="0"/>
        </w:sectPr>
      </w:pPr>
    </w:p>
    <w:p>
      <w:pPr>
        <w:pStyle w:val="54"/>
        <w:bidi w:val="0"/>
        <w:rPr>
          <w:rFonts w:hint="eastAsia"/>
          <w:lang w:val="en-US" w:eastAsia="zh-CN"/>
        </w:rPr>
      </w:pPr>
      <w:r>
        <w:rPr>
          <w:rFonts w:hint="eastAsia"/>
          <w:spacing w:val="317"/>
          <w:lang w:val="en-US" w:eastAsia="zh-CN"/>
        </w:rPr>
        <w:t>目</w:t>
      </w:r>
      <w:bookmarkStart w:id="15" w:name="BKML"/>
      <w:r>
        <w:rPr>
          <w:rFonts w:hint="eastAsia"/>
          <w:lang w:val="en-US" w:eastAsia="zh-CN"/>
        </w:rPr>
        <w:t>次</w:t>
      </w:r>
      <w:bookmarkEnd w:id="15"/>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TOC \t "标准文件_前言、引言标题,1,标准文件_章标题,1,标准文件_附录标识,1,标准文件_参考文献标题,1,标准文件_索引标题,1" \h</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_Toc24796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_Toc24796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_Toc31805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1</w:t>
      </w:r>
      <w:r>
        <w:rPr>
          <w:rFonts w:hint="eastAsia" w:cs="宋体"/>
          <w:spacing w:val="0"/>
          <w:lang w:val="en-US" w:eastAsia="zh-CN"/>
        </w:rPr>
        <w:t xml:space="preserve"> </w:t>
      </w:r>
      <w:r>
        <w:rPr>
          <w:rFonts w:hint="eastAsia" w:ascii="宋体" w:hAnsi="宋体" w:eastAsia="宋体" w:cs="宋体"/>
          <w:spacing w:val="0"/>
          <w:lang w:val="en-US" w:eastAsia="zh-CN"/>
        </w:rPr>
        <w:t xml:space="preserve"> 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_Toc31805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_Toc20177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2</w:t>
      </w:r>
      <w:r>
        <w:rPr>
          <w:rFonts w:hint="eastAsia" w:cs="宋体"/>
          <w:spacing w:val="0"/>
          <w:lang w:val="en-US" w:eastAsia="zh-CN"/>
        </w:rPr>
        <w:t xml:space="preserve"> </w:t>
      </w:r>
      <w:r>
        <w:rPr>
          <w:rFonts w:hint="eastAsia" w:ascii="宋体" w:hAnsi="宋体" w:eastAsia="宋体" w:cs="宋体"/>
          <w:spacing w:val="0"/>
          <w:lang w:val="en-US" w:eastAsia="zh-CN"/>
        </w:rPr>
        <w:t xml:space="preserve"> 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_Toc20177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_Toc3934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3</w:t>
      </w:r>
      <w:r>
        <w:rPr>
          <w:rFonts w:hint="eastAsia" w:cs="宋体"/>
          <w:spacing w:val="0"/>
          <w:lang w:val="en-US" w:eastAsia="zh-CN"/>
        </w:rPr>
        <w:t xml:space="preserve"> </w:t>
      </w:r>
      <w:r>
        <w:rPr>
          <w:rFonts w:hint="eastAsia" w:ascii="宋体" w:hAnsi="宋体" w:eastAsia="宋体" w:cs="宋体"/>
          <w:spacing w:val="0"/>
          <w:lang w:val="en-US" w:eastAsia="zh-CN"/>
        </w:rPr>
        <w:t xml:space="preserve"> 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_Toc3934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_Toc29062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4</w:t>
      </w:r>
      <w:r>
        <w:rPr>
          <w:rFonts w:hint="eastAsia" w:cs="宋体"/>
          <w:spacing w:val="0"/>
          <w:lang w:val="en-US" w:eastAsia="zh-CN"/>
        </w:rPr>
        <w:t xml:space="preserve"> </w:t>
      </w:r>
      <w:r>
        <w:rPr>
          <w:rFonts w:hint="eastAsia" w:ascii="宋体" w:hAnsi="宋体" w:eastAsia="宋体" w:cs="宋体"/>
          <w:spacing w:val="0"/>
          <w:lang w:val="en-US" w:eastAsia="zh-CN"/>
        </w:rPr>
        <w:t xml:space="preserve"> 评价原则</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_Toc29062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_Toc14742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5</w:t>
      </w:r>
      <w:r>
        <w:rPr>
          <w:rFonts w:hint="eastAsia" w:cs="宋体"/>
          <w:spacing w:val="0"/>
          <w:lang w:val="en-US" w:eastAsia="zh-CN"/>
        </w:rPr>
        <w:t xml:space="preserve"> </w:t>
      </w:r>
      <w:r>
        <w:rPr>
          <w:rFonts w:hint="eastAsia" w:ascii="宋体" w:hAnsi="宋体" w:eastAsia="宋体" w:cs="宋体"/>
          <w:spacing w:val="0"/>
          <w:lang w:val="en-US" w:eastAsia="zh-CN"/>
        </w:rPr>
        <w:t xml:space="preserve"> 评价方式</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_Toc14742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_Toc18433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6</w:t>
      </w:r>
      <w:r>
        <w:rPr>
          <w:rFonts w:hint="eastAsia" w:cs="宋体"/>
          <w:spacing w:val="0"/>
          <w:lang w:val="en-US" w:eastAsia="zh-CN"/>
        </w:rPr>
        <w:t xml:space="preserve"> </w:t>
      </w:r>
      <w:r>
        <w:rPr>
          <w:rFonts w:hint="eastAsia" w:ascii="宋体" w:hAnsi="宋体" w:eastAsia="宋体" w:cs="宋体"/>
          <w:spacing w:val="0"/>
          <w:lang w:val="en-US" w:eastAsia="zh-CN"/>
        </w:rPr>
        <w:t xml:space="preserve"> 评价内容</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_Toc18433 \h </w:instrText>
      </w:r>
      <w:r>
        <w:rPr>
          <w:rFonts w:hint="eastAsia" w:ascii="宋体" w:hAnsi="宋体" w:eastAsia="宋体" w:cs="宋体"/>
          <w:spacing w:val="0"/>
        </w:rPr>
        <w:fldChar w:fldCharType="separate"/>
      </w:r>
      <w:r>
        <w:rPr>
          <w:rFonts w:hint="eastAsia" w:ascii="宋体" w:hAnsi="宋体" w:eastAsia="宋体" w:cs="宋体"/>
          <w:spacing w:val="0"/>
        </w:rPr>
        <w:t>2</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_Toc4702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7</w:t>
      </w:r>
      <w:r>
        <w:rPr>
          <w:rFonts w:hint="eastAsia" w:cs="宋体"/>
          <w:spacing w:val="0"/>
          <w:lang w:val="en-US" w:eastAsia="zh-CN"/>
        </w:rPr>
        <w:t xml:space="preserve"> </w:t>
      </w:r>
      <w:r>
        <w:rPr>
          <w:rFonts w:hint="eastAsia" w:ascii="宋体" w:hAnsi="宋体" w:eastAsia="宋体" w:cs="宋体"/>
          <w:spacing w:val="0"/>
          <w:lang w:val="en-US" w:eastAsia="zh-CN"/>
        </w:rPr>
        <w:t xml:space="preserve"> 评价程序</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_Toc4702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_Toc5662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8</w:t>
      </w:r>
      <w:r>
        <w:rPr>
          <w:rFonts w:hint="eastAsia" w:cs="宋体"/>
          <w:spacing w:val="0"/>
          <w:lang w:val="en-US" w:eastAsia="zh-CN"/>
        </w:rPr>
        <w:t xml:space="preserve"> </w:t>
      </w:r>
      <w:r>
        <w:rPr>
          <w:rFonts w:hint="eastAsia" w:ascii="宋体" w:hAnsi="宋体" w:eastAsia="宋体" w:cs="宋体"/>
          <w:spacing w:val="0"/>
          <w:lang w:val="en-US" w:eastAsia="zh-CN"/>
        </w:rPr>
        <w:t xml:space="preserve"> 持续改进</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_Toc5662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_Toc22341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附录A（规范性）</w:t>
      </w:r>
      <w:r>
        <w:rPr>
          <w:rFonts w:hint="eastAsia" w:cs="宋体"/>
          <w:spacing w:val="0"/>
          <w:lang w:val="en-US" w:eastAsia="zh-CN"/>
        </w:rPr>
        <w:t xml:space="preserve"> </w:t>
      </w:r>
      <w:r>
        <w:rPr>
          <w:rFonts w:hint="eastAsia" w:ascii="宋体" w:hAnsi="宋体" w:eastAsia="宋体" w:cs="宋体"/>
          <w:spacing w:val="0"/>
          <w:lang w:val="en-US" w:eastAsia="zh-CN"/>
        </w:rPr>
        <w:t xml:space="preserve"> 健康体检质控评价指标</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_Toc22341 \h </w:instrText>
      </w:r>
      <w:r>
        <w:rPr>
          <w:rFonts w:hint="eastAsia" w:ascii="宋体" w:hAnsi="宋体" w:eastAsia="宋体" w:cs="宋体"/>
          <w:spacing w:val="0"/>
        </w:rPr>
        <w:fldChar w:fldCharType="separate"/>
      </w:r>
      <w:r>
        <w:rPr>
          <w:rFonts w:hint="eastAsia" w:ascii="宋体" w:hAnsi="宋体" w:eastAsia="宋体" w:cs="宋体"/>
          <w:spacing w:val="0"/>
        </w:rPr>
        <w:t>7</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val="en-US" w:eastAsia="zh-CN"/>
        </w:rPr>
        <w:fldChar w:fldCharType="begin"/>
      </w:r>
      <w:r>
        <w:rPr>
          <w:rFonts w:hint="eastAsia" w:ascii="宋体" w:hAnsi="宋体" w:eastAsia="宋体" w:cs="宋体"/>
          <w:spacing w:val="0"/>
          <w:lang w:val="en-US" w:eastAsia="zh-CN"/>
        </w:rPr>
        <w:instrText xml:space="preserve"> HYPERLINK \l _Toc4045 </w:instrText>
      </w:r>
      <w:r>
        <w:rPr>
          <w:rFonts w:hint="eastAsia" w:ascii="宋体" w:hAnsi="宋体" w:eastAsia="宋体" w:cs="宋体"/>
          <w:spacing w:val="0"/>
          <w:lang w:val="en-US" w:eastAsia="zh-CN"/>
        </w:rPr>
        <w:fldChar w:fldCharType="separate"/>
      </w:r>
      <w:r>
        <w:rPr>
          <w:rFonts w:hint="eastAsia" w:ascii="宋体" w:hAnsi="宋体" w:eastAsia="宋体" w:cs="宋体"/>
          <w:spacing w:val="0"/>
          <w:lang w:val="en-US" w:eastAsia="zh-CN"/>
        </w:rPr>
        <w:t>参考文献</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_Toc4045 \h </w:instrText>
      </w:r>
      <w:r>
        <w:rPr>
          <w:rFonts w:hint="eastAsia" w:ascii="宋体" w:hAnsi="宋体" w:eastAsia="宋体" w:cs="宋体"/>
          <w:spacing w:val="0"/>
        </w:rPr>
        <w:fldChar w:fldCharType="separate"/>
      </w:r>
      <w:r>
        <w:rPr>
          <w:rFonts w:hint="eastAsia" w:ascii="宋体" w:hAnsi="宋体" w:eastAsia="宋体" w:cs="宋体"/>
          <w:spacing w:val="0"/>
        </w:rPr>
        <w:t>17</w:t>
      </w:r>
      <w:r>
        <w:rPr>
          <w:rFonts w:hint="eastAsia" w:ascii="宋体" w:hAnsi="宋体" w:eastAsia="宋体" w:cs="宋体"/>
          <w:spacing w:val="0"/>
        </w:rPr>
        <w:fldChar w:fldCharType="end"/>
      </w:r>
      <w:r>
        <w:rPr>
          <w:rFonts w:hint="eastAsia" w:ascii="宋体" w:hAnsi="宋体" w:eastAsia="宋体" w:cs="宋体"/>
          <w:spacing w:val="0"/>
          <w:lang w:val="en-US" w:eastAsia="zh-CN"/>
        </w:rPr>
        <w:fldChar w:fldCharType="end"/>
      </w:r>
    </w:p>
    <w:p>
      <w:pPr>
        <w:bidi w:val="0"/>
        <w:ind w:left="0" w:leftChars="0" w:firstLine="0" w:firstLineChars="0"/>
        <w:rPr>
          <w:rFonts w:hint="eastAsia"/>
          <w:lang w:val="en-US" w:eastAsia="zh-CN"/>
        </w:rPr>
      </w:pPr>
      <w:r>
        <w:rPr>
          <w:rFonts w:hint="eastAsia" w:ascii="宋体" w:hAnsi="宋体" w:eastAsia="宋体" w:cs="宋体"/>
          <w:spacing w:val="0"/>
          <w:lang w:val="en-US" w:eastAsia="zh-CN"/>
        </w:rPr>
        <w:fldChar w:fldCharType="end"/>
      </w:r>
    </w:p>
    <w:p>
      <w:pPr>
        <w:pStyle w:val="54"/>
        <w:bidi w:val="0"/>
        <w:rPr>
          <w:rFonts w:hint="eastAsia"/>
          <w:lang w:val="en-US" w:eastAsia="zh-CN"/>
        </w:rPr>
      </w:pPr>
      <w:r>
        <w:rPr>
          <w:rFonts w:hint="eastAsia"/>
          <w:lang w:val="en-US" w:eastAsia="zh-CN"/>
        </w:rPr>
        <w:br w:type="page"/>
      </w:r>
    </w:p>
    <w:p>
      <w:pPr>
        <w:pStyle w:val="55"/>
        <w:bidi w:val="0"/>
        <w:rPr>
          <w:rFonts w:hint="eastAsia"/>
          <w:lang w:val="en-US" w:eastAsia="zh-CN"/>
        </w:rPr>
      </w:pPr>
      <w:bookmarkStart w:id="16" w:name="_Toc23859"/>
      <w:bookmarkStart w:id="17" w:name="_Toc24796"/>
      <w:bookmarkStart w:id="18" w:name="_Toc25001"/>
      <w:r>
        <w:rPr>
          <w:rFonts w:hint="eastAsia"/>
          <w:spacing w:val="317"/>
          <w:lang w:val="en-US" w:eastAsia="zh-CN"/>
        </w:rPr>
        <w:t>前</w:t>
      </w:r>
      <w:bookmarkStart w:id="19" w:name="BKQY"/>
      <w:r>
        <w:rPr>
          <w:rFonts w:hint="eastAsia"/>
          <w:lang w:val="en-US" w:eastAsia="zh-CN"/>
        </w:rPr>
        <w:t>言</w:t>
      </w:r>
      <w:bookmarkEnd w:id="16"/>
      <w:bookmarkEnd w:id="17"/>
      <w:bookmarkEnd w:id="18"/>
    </w:p>
    <w:p>
      <w:pPr>
        <w:pStyle w:val="25"/>
        <w:bidi w:val="0"/>
        <w:rPr>
          <w:rFonts w:hint="eastAsia"/>
          <w:lang w:val="en-US" w:eastAsia="zh-CN"/>
        </w:rPr>
      </w:pPr>
      <w:r>
        <w:rPr>
          <w:rFonts w:hint="eastAsia"/>
          <w:lang w:val="en-US" w:eastAsia="zh-CN"/>
        </w:rPr>
        <w:t>本文件按照GB/T 1.1—2020《标准化工作导则  第1部分：标准化文件的结构和起草规则》的规定起草。</w:t>
      </w:r>
    </w:p>
    <w:p>
      <w:pPr>
        <w:pStyle w:val="25"/>
        <w:bidi w:val="0"/>
        <w:rPr>
          <w:rFonts w:hint="eastAsia"/>
          <w:lang w:val="en-US" w:eastAsia="zh-CN"/>
        </w:rPr>
      </w:pPr>
      <w:r>
        <w:rPr>
          <w:rFonts w:hint="eastAsia"/>
          <w:lang w:val="en-US" w:eastAsia="zh-CN"/>
        </w:rPr>
        <w:t>本文件由江西省卫生健康委员会提出并归口。</w:t>
      </w:r>
    </w:p>
    <w:p>
      <w:pPr>
        <w:pStyle w:val="25"/>
        <w:bidi w:val="0"/>
        <w:rPr>
          <w:rFonts w:hint="eastAsia"/>
          <w:lang w:val="en-US" w:eastAsia="zh-CN"/>
        </w:rPr>
      </w:pPr>
      <w:r>
        <w:rPr>
          <w:rFonts w:hint="eastAsia"/>
          <w:lang w:val="en-US" w:eastAsia="zh-CN"/>
        </w:rPr>
        <w:t>本文件起草单位：江西省人民医院、江西省质量和标准化研究院</w:t>
      </w:r>
    </w:p>
    <w:p>
      <w:pPr>
        <w:pStyle w:val="25"/>
        <w:bidi w:val="0"/>
        <w:rPr>
          <w:rFonts w:hint="eastAsia"/>
          <w:lang w:val="en-US" w:eastAsia="zh-CN"/>
        </w:rPr>
      </w:pPr>
      <w:r>
        <w:rPr>
          <w:rFonts w:hint="eastAsia"/>
          <w:lang w:val="en-US" w:eastAsia="zh-CN"/>
        </w:rPr>
        <w:t>本文件主要起草人：</w:t>
      </w:r>
    </w:p>
    <w:p>
      <w:pPr>
        <w:pStyle w:val="25"/>
        <w:bidi w:val="0"/>
        <w:rPr>
          <w:rFonts w:hint="eastAsia"/>
          <w:lang w:val="en-US" w:eastAsia="zh-CN"/>
        </w:rPr>
      </w:pPr>
    </w:p>
    <w:bookmarkEnd w:id="19"/>
    <w:p>
      <w:pPr>
        <w:rPr>
          <w:rFonts w:hint="eastAsia"/>
          <w:lang w:val="en-US" w:eastAsia="zh-CN"/>
        </w:rPr>
      </w:pPr>
    </w:p>
    <w:p>
      <w:pPr>
        <w:rPr>
          <w:rFonts w:hint="eastAsia"/>
          <w:lang w:val="en-US" w:eastAsia="zh-CN"/>
        </w:rPr>
      </w:pPr>
    </w:p>
    <w:p>
      <w:pPr>
        <w:rPr>
          <w:rFonts w:hint="eastAsia"/>
          <w:lang w:val="en-US" w:eastAsia="zh-CN"/>
        </w:rPr>
        <w:sectPr>
          <w:headerReference r:id="rId5" w:type="default"/>
          <w:footerReference r:id="rId6" w:type="default"/>
          <w:pgSz w:w="11906" w:h="16838"/>
          <w:pgMar w:top="1871" w:right="1134" w:bottom="1134" w:left="1134" w:header="1418" w:footer="1134" w:gutter="284"/>
          <w:lnNumType w:countBy="0" w:restart="continuous"/>
          <w:pgNumType w:fmt="upperRoman" w:start="1"/>
          <w:cols w:space="425" w:num="1"/>
          <w:docGrid w:type="lines" w:linePitch="312" w:charSpace="0"/>
        </w:sectPr>
      </w:pPr>
    </w:p>
    <w:sdt>
      <w:sdtPr>
        <w:rPr>
          <w:rStyle w:val="120"/>
          <w:rFonts w:hint="eastAsia"/>
          <w:lang w:val="en-US" w:eastAsia="zh-CN"/>
        </w:rPr>
        <w:tag w:val="StandardName"/>
        <w:id w:val="147465100"/>
        <w:lock w:val="sdtLocked"/>
        <w:placeholder>
          <w:docPart w:val="{07d815e6-0641-48e4-a2a5-17e79c222326}"/>
        </w:placeholder>
        <w:text w:multiLine="1"/>
      </w:sdtPr>
      <w:sdtEndPr>
        <w:rPr>
          <w:rStyle w:val="120"/>
          <w:rFonts w:hint="eastAsia"/>
          <w:lang w:val="en-US" w:eastAsia="zh-CN"/>
        </w:rPr>
      </w:sdtEndPr>
      <w:sdtContent>
        <w:p>
          <w:pPr>
            <w:pStyle w:val="56"/>
            <w:bidi w:val="0"/>
            <w:rPr>
              <w:rStyle w:val="120"/>
              <w:rFonts w:hint="eastAsia"/>
              <w:lang w:val="en-US" w:eastAsia="zh-CN"/>
            </w:rPr>
          </w:pPr>
          <w:bookmarkStart w:id="20" w:name="StandardName"/>
          <w:r>
            <w:rPr>
              <w:rStyle w:val="120"/>
              <w:rFonts w:hint="eastAsia"/>
              <w:lang w:val="en-US" w:eastAsia="zh-CN"/>
            </w:rPr>
            <w:t>健康体检质控评价规范</w:t>
          </w:r>
          <w:bookmarkEnd w:id="20"/>
        </w:p>
      </w:sdtContent>
    </w:sdt>
    <w:p>
      <w:pPr>
        <w:pStyle w:val="72"/>
        <w:bidi w:val="0"/>
        <w:rPr>
          <w:rStyle w:val="120"/>
          <w:rFonts w:hint="eastAsia"/>
          <w:lang w:val="en-US" w:eastAsia="zh-CN"/>
        </w:rPr>
      </w:pPr>
      <w:bookmarkStart w:id="21" w:name="_Toc31805"/>
      <w:bookmarkStart w:id="22" w:name="_Toc5565"/>
      <w:bookmarkStart w:id="23" w:name="_Toc22047"/>
      <w:r>
        <w:rPr>
          <w:rFonts w:hint="eastAsia"/>
          <w:lang w:val="en-US" w:eastAsia="zh-CN"/>
        </w:rPr>
        <w:t>范围</w:t>
      </w:r>
      <w:bookmarkEnd w:id="21"/>
      <w:bookmarkEnd w:id="22"/>
      <w:bookmarkEnd w:id="23"/>
    </w:p>
    <w:p>
      <w:pPr>
        <w:pStyle w:val="25"/>
        <w:rPr>
          <w:rFonts w:hint="eastAsia"/>
          <w:lang w:val="en-US" w:eastAsia="zh-CN"/>
        </w:rPr>
      </w:pPr>
      <w:r>
        <w:rPr>
          <w:rFonts w:hint="eastAsia"/>
          <w:lang w:val="en-US" w:eastAsia="zh-CN"/>
        </w:rPr>
        <w:t>本文件规定了健康体检质控评价的术语和定义、评价原则、评价方式、评价内容、评价程序和持续改进。</w:t>
      </w:r>
    </w:p>
    <w:p>
      <w:pPr>
        <w:pStyle w:val="25"/>
        <w:rPr>
          <w:rFonts w:hint="eastAsia"/>
          <w:lang w:val="en-US" w:eastAsia="zh-CN"/>
        </w:rPr>
      </w:pPr>
      <w:r>
        <w:rPr>
          <w:rFonts w:hint="eastAsia"/>
          <w:lang w:val="en-US" w:eastAsia="zh-CN"/>
        </w:rPr>
        <w:t>本文件适用于健康体检质量管理与控制的评价活动。</w:t>
      </w:r>
    </w:p>
    <w:p>
      <w:pPr>
        <w:pStyle w:val="72"/>
        <w:bidi w:val="0"/>
        <w:rPr>
          <w:rFonts w:hint="eastAsia"/>
          <w:lang w:val="en-US" w:eastAsia="zh-CN"/>
        </w:rPr>
      </w:pPr>
      <w:bookmarkStart w:id="24" w:name="_Toc14879"/>
      <w:bookmarkStart w:id="25" w:name="_Toc20177"/>
      <w:bookmarkStart w:id="26" w:name="_Toc8959"/>
      <w:r>
        <w:rPr>
          <w:rFonts w:hint="eastAsia"/>
          <w:lang w:val="en-US" w:eastAsia="zh-CN"/>
        </w:rPr>
        <w:t>规范性引用文件</w:t>
      </w:r>
      <w:bookmarkEnd w:id="24"/>
      <w:bookmarkEnd w:id="25"/>
      <w:bookmarkEnd w:id="26"/>
    </w:p>
    <w:sdt>
      <w:sdtPr>
        <w:rPr>
          <w:rFonts w:hint="eastAsia" w:ascii="宋体" w:hAnsi="Times New Roman" w:eastAsia="宋体" w:cs="宋体"/>
          <w:sz w:val="21"/>
          <w:lang w:val="en-US" w:eastAsia="zh-CN"/>
        </w:rPr>
        <w:tag w:val="StandNameFile"/>
        <w:id w:val="147465100"/>
        <w:placeholder>
          <w:docPart w:val="{099cab29-b544-4622-93ea-37c1d2a1eab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pPr>
            <w:pStyle w:val="25"/>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5"/>
        <w:bidi w:val="0"/>
        <w:rPr>
          <w:rFonts w:hint="eastAsia" w:cs="宋体"/>
          <w:sz w:val="21"/>
          <w:lang w:val="en-US" w:eastAsia="zh-CN"/>
        </w:rPr>
      </w:pPr>
      <w:r>
        <w:rPr>
          <w:rFonts w:hint="eastAsia" w:cs="宋体"/>
          <w:sz w:val="21"/>
          <w:lang w:val="en-US" w:eastAsia="zh-CN"/>
        </w:rPr>
        <w:t>GBZ 130 放射诊断放射防护要求</w:t>
      </w:r>
    </w:p>
    <w:p>
      <w:pPr>
        <w:pStyle w:val="25"/>
        <w:bidi w:val="0"/>
        <w:rPr>
          <w:rFonts w:hint="default" w:cs="宋体"/>
          <w:sz w:val="21"/>
          <w:lang w:val="en-US" w:eastAsia="zh-CN"/>
        </w:rPr>
      </w:pPr>
      <w:r>
        <w:rPr>
          <w:rFonts w:hint="default" w:cs="宋体"/>
          <w:sz w:val="21"/>
          <w:lang w:val="en-US" w:eastAsia="zh-CN"/>
        </w:rPr>
        <w:t>GB 13495.1</w:t>
      </w:r>
      <w:r>
        <w:rPr>
          <w:rFonts w:hint="eastAsia" w:cs="宋体"/>
          <w:sz w:val="21"/>
          <w:lang w:val="en-US" w:eastAsia="zh-CN"/>
        </w:rPr>
        <w:t xml:space="preserve"> </w:t>
      </w:r>
      <w:r>
        <w:rPr>
          <w:rFonts w:hint="default" w:cs="宋体"/>
          <w:sz w:val="21"/>
          <w:lang w:val="en-US" w:eastAsia="zh-CN"/>
        </w:rPr>
        <w:t>消防安全标志 第1部分：标志</w:t>
      </w:r>
    </w:p>
    <w:p>
      <w:pPr>
        <w:pStyle w:val="25"/>
        <w:bidi w:val="0"/>
        <w:rPr>
          <w:rFonts w:hint="eastAsia" w:cs="宋体"/>
          <w:sz w:val="21"/>
          <w:lang w:val="en-US" w:eastAsia="zh-CN"/>
        </w:rPr>
      </w:pPr>
      <w:r>
        <w:rPr>
          <w:rFonts w:hint="eastAsia" w:cs="宋体"/>
          <w:sz w:val="21"/>
          <w:lang w:val="en-US" w:eastAsia="zh-CN"/>
        </w:rPr>
        <w:t>GB 15982 医院消毒卫生标准</w:t>
      </w:r>
    </w:p>
    <w:p>
      <w:pPr>
        <w:pStyle w:val="25"/>
        <w:bidi w:val="0"/>
        <w:rPr>
          <w:rFonts w:hint="eastAsia" w:cs="宋体"/>
          <w:sz w:val="21"/>
          <w:lang w:val="en-US" w:eastAsia="zh-CN"/>
        </w:rPr>
      </w:pPr>
      <w:r>
        <w:rPr>
          <w:rFonts w:hint="eastAsia" w:cs="宋体"/>
          <w:sz w:val="21"/>
          <w:lang w:val="en-US" w:eastAsia="zh-CN"/>
        </w:rPr>
        <w:t>GB 16348 医用X射线诊断受检者放射卫生防护标准</w:t>
      </w:r>
    </w:p>
    <w:p>
      <w:pPr>
        <w:pStyle w:val="25"/>
        <w:bidi w:val="0"/>
        <w:rPr>
          <w:rFonts w:hint="default" w:cs="宋体"/>
          <w:sz w:val="21"/>
          <w:lang w:val="en-US" w:eastAsia="zh-CN"/>
        </w:rPr>
      </w:pPr>
      <w:r>
        <w:rPr>
          <w:rFonts w:hint="eastAsia" w:cs="宋体"/>
          <w:sz w:val="21"/>
          <w:lang w:val="en-US" w:eastAsia="zh-CN"/>
        </w:rPr>
        <w:t>GB 18466 医疗机构水污染物排放标准</w:t>
      </w:r>
    </w:p>
    <w:p>
      <w:pPr>
        <w:pStyle w:val="25"/>
        <w:bidi w:val="0"/>
        <w:rPr>
          <w:rFonts w:hint="eastAsia" w:cs="宋体"/>
          <w:sz w:val="21"/>
          <w:lang w:val="en-US" w:eastAsia="zh-CN"/>
        </w:rPr>
      </w:pPr>
      <w:r>
        <w:rPr>
          <w:rFonts w:hint="eastAsia" w:cs="宋体"/>
          <w:sz w:val="21"/>
          <w:lang w:val="en-US" w:eastAsia="zh-CN"/>
        </w:rPr>
        <w:t>GB/T 18883 室内空气质量标准</w:t>
      </w:r>
    </w:p>
    <w:p>
      <w:pPr>
        <w:pStyle w:val="25"/>
        <w:bidi w:val="0"/>
        <w:rPr>
          <w:rFonts w:hint="default" w:cs="宋体"/>
          <w:sz w:val="21"/>
          <w:lang w:val="en-US" w:eastAsia="zh-CN"/>
        </w:rPr>
      </w:pPr>
      <w:r>
        <w:rPr>
          <w:rFonts w:hint="default" w:cs="宋体"/>
          <w:sz w:val="21"/>
          <w:lang w:val="en-US" w:eastAsia="zh-CN"/>
        </w:rPr>
        <w:t>GB 19489</w:t>
      </w:r>
      <w:r>
        <w:rPr>
          <w:rFonts w:hint="eastAsia" w:cs="宋体"/>
          <w:sz w:val="21"/>
          <w:lang w:val="en-US" w:eastAsia="zh-CN"/>
        </w:rPr>
        <w:t xml:space="preserve"> </w:t>
      </w:r>
      <w:r>
        <w:rPr>
          <w:rFonts w:hint="default" w:cs="宋体"/>
          <w:sz w:val="21"/>
          <w:lang w:val="en-US" w:eastAsia="zh-CN"/>
        </w:rPr>
        <w:t> 实验室 生物安全通用要求</w:t>
      </w:r>
    </w:p>
    <w:p>
      <w:pPr>
        <w:pStyle w:val="25"/>
        <w:bidi w:val="0"/>
        <w:rPr>
          <w:rFonts w:hint="eastAsia" w:cs="宋体"/>
          <w:sz w:val="21"/>
          <w:lang w:val="en-US" w:eastAsia="zh-CN"/>
        </w:rPr>
      </w:pPr>
      <w:r>
        <w:rPr>
          <w:rFonts w:hint="eastAsia" w:cs="宋体"/>
          <w:sz w:val="21"/>
          <w:lang w:val="en-US" w:eastAsia="zh-CN"/>
        </w:rPr>
        <w:t>GB/T 20271 信息安全技术 信息系统通用安全技术要求</w:t>
      </w:r>
    </w:p>
    <w:p>
      <w:pPr>
        <w:pStyle w:val="25"/>
        <w:bidi w:val="0"/>
        <w:rPr>
          <w:rFonts w:hint="default" w:cs="宋体"/>
          <w:sz w:val="21"/>
          <w:lang w:val="en-US" w:eastAsia="zh-CN"/>
        </w:rPr>
      </w:pPr>
      <w:r>
        <w:rPr>
          <w:rFonts w:hint="eastAsia" w:cs="宋体"/>
          <w:sz w:val="21"/>
          <w:lang w:val="en-US" w:eastAsia="zh-CN"/>
        </w:rPr>
        <w:t>WS/T 225 临床化学检验血液标本的收集与处理</w:t>
      </w:r>
    </w:p>
    <w:p>
      <w:pPr>
        <w:pStyle w:val="25"/>
        <w:bidi w:val="0"/>
        <w:rPr>
          <w:rFonts w:hint="eastAsia" w:cs="宋体"/>
          <w:sz w:val="21"/>
          <w:lang w:val="en-US" w:eastAsia="zh-CN"/>
        </w:rPr>
      </w:pPr>
      <w:r>
        <w:rPr>
          <w:rFonts w:hint="eastAsia" w:cs="宋体"/>
          <w:sz w:val="21"/>
          <w:lang w:val="en-US" w:eastAsia="zh-CN"/>
        </w:rPr>
        <w:t>WS 308 医疗机构消防安全管理</w:t>
      </w:r>
    </w:p>
    <w:p>
      <w:pPr>
        <w:pStyle w:val="25"/>
        <w:bidi w:val="0"/>
        <w:rPr>
          <w:rFonts w:hint="default" w:cs="宋体"/>
          <w:sz w:val="21"/>
          <w:lang w:val="en-US" w:eastAsia="zh-CN"/>
        </w:rPr>
      </w:pPr>
      <w:r>
        <w:rPr>
          <w:rFonts w:hint="eastAsia" w:cs="宋体"/>
          <w:sz w:val="21"/>
          <w:lang w:val="en-US" w:eastAsia="zh-CN"/>
        </w:rPr>
        <w:t xml:space="preserve">WS/T 310.2 </w:t>
      </w:r>
      <w:r>
        <w:rPr>
          <w:rFonts w:hint="default" w:cs="宋体"/>
          <w:sz w:val="21"/>
          <w:lang w:val="en-US" w:eastAsia="zh-CN"/>
        </w:rPr>
        <w:t>医院消毒供应中心 第2部分：清洗消毒及灭菌技术操作规范</w:t>
      </w:r>
    </w:p>
    <w:p>
      <w:pPr>
        <w:pStyle w:val="25"/>
        <w:bidi w:val="0"/>
        <w:rPr>
          <w:rFonts w:hint="default" w:cs="宋体"/>
          <w:sz w:val="21"/>
          <w:lang w:val="en-US" w:eastAsia="zh-CN"/>
        </w:rPr>
      </w:pPr>
      <w:r>
        <w:rPr>
          <w:rFonts w:hint="eastAsia" w:cs="宋体"/>
          <w:sz w:val="21"/>
          <w:lang w:val="en-US" w:eastAsia="zh-CN"/>
        </w:rPr>
        <w:t>WS 310.3 医院消毒供应中心 第3部分：清洗消毒及灭菌效果监测标准</w:t>
      </w:r>
    </w:p>
    <w:p>
      <w:pPr>
        <w:pStyle w:val="25"/>
        <w:bidi w:val="0"/>
        <w:rPr>
          <w:rFonts w:hint="default" w:cs="宋体"/>
          <w:sz w:val="21"/>
          <w:lang w:val="en-US" w:eastAsia="zh-CN"/>
        </w:rPr>
      </w:pPr>
      <w:r>
        <w:rPr>
          <w:rFonts w:hint="eastAsia" w:cs="宋体"/>
          <w:sz w:val="21"/>
          <w:lang w:val="en-US" w:eastAsia="zh-CN"/>
        </w:rPr>
        <w:t>WS/T 312 医院感染监测规范</w:t>
      </w:r>
    </w:p>
    <w:p>
      <w:pPr>
        <w:pStyle w:val="25"/>
        <w:bidi w:val="0"/>
        <w:rPr>
          <w:rFonts w:hint="eastAsia" w:cs="宋体"/>
          <w:sz w:val="21"/>
          <w:lang w:val="en-US" w:eastAsia="zh-CN"/>
        </w:rPr>
      </w:pPr>
      <w:r>
        <w:rPr>
          <w:rFonts w:hint="eastAsia" w:cs="宋体"/>
          <w:sz w:val="21"/>
          <w:lang w:val="en-US" w:eastAsia="zh-CN"/>
        </w:rPr>
        <w:t>WS/T 313 医务人员手卫生规范</w:t>
      </w:r>
    </w:p>
    <w:p>
      <w:pPr>
        <w:pStyle w:val="25"/>
        <w:bidi w:val="0"/>
        <w:rPr>
          <w:rFonts w:hint="eastAsia" w:cs="宋体"/>
          <w:sz w:val="21"/>
          <w:lang w:val="en-US" w:eastAsia="zh-CN"/>
        </w:rPr>
      </w:pPr>
      <w:r>
        <w:rPr>
          <w:rFonts w:hint="eastAsia" w:cs="宋体"/>
          <w:sz w:val="21"/>
          <w:lang w:val="en-US" w:eastAsia="zh-CN"/>
        </w:rPr>
        <w:t>WS/T 367 医疗机构消毒技术规范</w:t>
      </w:r>
    </w:p>
    <w:p>
      <w:pPr>
        <w:pStyle w:val="25"/>
        <w:bidi w:val="0"/>
        <w:rPr>
          <w:rFonts w:hint="default" w:cs="宋体"/>
          <w:sz w:val="21"/>
          <w:lang w:val="en-US" w:eastAsia="zh-CN"/>
        </w:rPr>
      </w:pPr>
      <w:r>
        <w:rPr>
          <w:rFonts w:hint="eastAsia" w:cs="宋体"/>
          <w:sz w:val="21"/>
          <w:lang w:val="en-US" w:eastAsia="zh-CN"/>
        </w:rPr>
        <w:t>WS/T 368 医院空气净化管理规范</w:t>
      </w:r>
    </w:p>
    <w:p>
      <w:pPr>
        <w:pStyle w:val="25"/>
        <w:bidi w:val="0"/>
        <w:rPr>
          <w:rFonts w:hint="eastAsia" w:cs="宋体"/>
          <w:sz w:val="21"/>
          <w:lang w:val="en-US" w:eastAsia="zh-CN"/>
        </w:rPr>
      </w:pPr>
      <w:r>
        <w:rPr>
          <w:rFonts w:hint="eastAsia" w:cs="宋体"/>
          <w:sz w:val="21"/>
          <w:lang w:val="en-US" w:eastAsia="zh-CN"/>
        </w:rPr>
        <w:t>WS/T 403 临床生物化学检验常规项目分析治疗指标</w:t>
      </w:r>
    </w:p>
    <w:p>
      <w:pPr>
        <w:pStyle w:val="25"/>
        <w:bidi w:val="0"/>
        <w:rPr>
          <w:rFonts w:hint="eastAsia" w:cs="宋体"/>
          <w:sz w:val="21"/>
          <w:lang w:val="en-US" w:eastAsia="zh-CN"/>
        </w:rPr>
      </w:pPr>
      <w:r>
        <w:rPr>
          <w:rFonts w:hint="eastAsia" w:cs="宋体"/>
          <w:sz w:val="21"/>
          <w:lang w:val="en-US" w:eastAsia="zh-CN"/>
        </w:rPr>
        <w:t>WS/T 406 临床血液学检验常规项目分析质量要求</w:t>
      </w:r>
    </w:p>
    <w:p>
      <w:pPr>
        <w:pStyle w:val="25"/>
        <w:bidi w:val="0"/>
        <w:rPr>
          <w:rFonts w:hint="eastAsia" w:cs="宋体"/>
          <w:sz w:val="21"/>
          <w:lang w:val="en-US" w:eastAsia="zh-CN"/>
        </w:rPr>
      </w:pPr>
      <w:r>
        <w:rPr>
          <w:rFonts w:hint="eastAsia" w:cs="宋体"/>
          <w:sz w:val="21"/>
          <w:lang w:val="en-US" w:eastAsia="zh-CN"/>
        </w:rPr>
        <w:t>WS/T 442 临床实验室生物安全指南</w:t>
      </w:r>
    </w:p>
    <w:p>
      <w:pPr>
        <w:pStyle w:val="25"/>
        <w:bidi w:val="0"/>
        <w:rPr>
          <w:rFonts w:hint="eastAsia" w:cs="宋体"/>
          <w:sz w:val="21"/>
          <w:lang w:val="en-US" w:eastAsia="zh-CN"/>
        </w:rPr>
      </w:pPr>
      <w:r>
        <w:rPr>
          <w:rFonts w:hint="eastAsia" w:cs="宋体"/>
          <w:sz w:val="21"/>
          <w:lang w:val="en-US" w:eastAsia="zh-CN"/>
        </w:rPr>
        <w:t>WS 444.1 医疗机构患者活动场所及坐卧设施安全要求 第1部分：活动场所</w:t>
      </w:r>
    </w:p>
    <w:p>
      <w:pPr>
        <w:pStyle w:val="25"/>
        <w:bidi w:val="0"/>
        <w:rPr>
          <w:rFonts w:hint="default" w:cs="宋体"/>
          <w:sz w:val="21"/>
          <w:lang w:val="en-US" w:eastAsia="zh-CN"/>
        </w:rPr>
      </w:pPr>
      <w:r>
        <w:rPr>
          <w:rFonts w:hint="eastAsia" w:cs="宋体"/>
          <w:sz w:val="21"/>
          <w:lang w:val="en-US" w:eastAsia="zh-CN"/>
        </w:rPr>
        <w:t>WS 444.2 医疗机构患者活动场所及坐卧设施安全要求 第2部分：坐卧设施</w:t>
      </w:r>
    </w:p>
    <w:p>
      <w:pPr>
        <w:pStyle w:val="25"/>
        <w:bidi w:val="0"/>
        <w:rPr>
          <w:rFonts w:hint="eastAsia" w:cs="宋体"/>
          <w:sz w:val="21"/>
          <w:lang w:val="en-US" w:eastAsia="zh-CN"/>
        </w:rPr>
      </w:pPr>
      <w:r>
        <w:rPr>
          <w:rFonts w:hint="eastAsia" w:cs="宋体"/>
          <w:sz w:val="21"/>
          <w:lang w:val="en-US" w:eastAsia="zh-CN"/>
        </w:rPr>
        <w:t>WS/T 512 医疗机构环境表面清洁与消毒管理规范</w:t>
      </w:r>
    </w:p>
    <w:p>
      <w:pPr>
        <w:pStyle w:val="25"/>
        <w:bidi w:val="0"/>
        <w:rPr>
          <w:rFonts w:hint="eastAsia" w:cs="宋体"/>
          <w:sz w:val="21"/>
          <w:lang w:val="en-US" w:eastAsia="zh-CN"/>
        </w:rPr>
      </w:pPr>
      <w:r>
        <w:rPr>
          <w:rFonts w:hint="eastAsia" w:cs="宋体"/>
          <w:sz w:val="21"/>
          <w:lang w:val="en-US" w:eastAsia="zh-CN"/>
        </w:rPr>
        <w:t>WS/T 574 临床实验室试剂用纯化水</w:t>
      </w:r>
    </w:p>
    <w:p>
      <w:pPr>
        <w:pStyle w:val="25"/>
        <w:bidi w:val="0"/>
        <w:rPr>
          <w:rFonts w:hint="default" w:cs="宋体"/>
          <w:sz w:val="21"/>
          <w:lang w:val="en-US" w:eastAsia="zh-CN"/>
        </w:rPr>
      </w:pPr>
      <w:r>
        <w:rPr>
          <w:rFonts w:hint="default" w:cs="宋体"/>
          <w:sz w:val="21"/>
          <w:lang w:val="en-US" w:eastAsia="zh-CN"/>
        </w:rPr>
        <w:t>《医疗废物管理条例》</w:t>
      </w:r>
    </w:p>
    <w:p>
      <w:pPr>
        <w:pStyle w:val="72"/>
        <w:bidi w:val="0"/>
        <w:rPr>
          <w:rFonts w:hint="eastAsia" w:ascii="宋体" w:hAnsi="Times New Roman" w:eastAsia="宋体" w:cs="宋体"/>
          <w:lang w:val="en-US" w:eastAsia="zh-CN"/>
        </w:rPr>
      </w:pPr>
      <w:bookmarkStart w:id="27" w:name="_Toc31016"/>
      <w:bookmarkStart w:id="28" w:name="_Toc3934"/>
      <w:bookmarkStart w:id="29" w:name="_Toc19469"/>
      <w:r>
        <w:rPr>
          <w:rFonts w:hint="eastAsia"/>
          <w:lang w:val="en-US" w:eastAsia="zh-CN"/>
        </w:rPr>
        <w:t>术语和定义</w:t>
      </w:r>
      <w:bookmarkEnd w:id="27"/>
      <w:bookmarkEnd w:id="28"/>
      <w:bookmarkEnd w:id="29"/>
    </w:p>
    <w:sdt>
      <w:sdtPr>
        <w:rPr>
          <w:rFonts w:hint="eastAsia" w:ascii="宋体" w:hAnsi="Times New Roman" w:eastAsia="宋体" w:cs="宋体"/>
          <w:sz w:val="21"/>
          <w:lang w:val="en-US" w:eastAsia="zh-CN"/>
        </w:rPr>
        <w:tag w:val="TermContent"/>
        <w:id w:val="147465100"/>
        <w:placeholder>
          <w:docPart w:val="{46fd2c37-0667-4fd6-b224-ddfeea109c4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p>
          <w:pPr>
            <w:pStyle w:val="25"/>
            <w:rPr>
              <w:rFonts w:hint="eastAsia"/>
              <w:lang w:val="en-US" w:eastAsia="zh-CN"/>
            </w:rPr>
          </w:pPr>
          <w:r>
            <w:rPr>
              <w:rFonts w:hint="eastAsia" w:ascii="宋体" w:hAnsi="Times New Roman" w:eastAsia="宋体" w:cs="宋体"/>
              <w:sz w:val="21"/>
              <w:lang w:val="en-US" w:eastAsia="zh-CN"/>
            </w:rPr>
            <w:t>下列术语和定义适用于本文件。</w:t>
          </w:r>
        </w:p>
      </w:sdtContent>
    </w:sdt>
    <w:p>
      <w:pPr>
        <w:pStyle w:val="73"/>
        <w:bidi w:val="0"/>
        <w:rPr>
          <w:rFonts w:hint="eastAsia"/>
          <w:lang w:val="en-US" w:eastAsia="zh-CN"/>
        </w:rPr>
      </w:pPr>
    </w:p>
    <w:p>
      <w:pPr>
        <w:pStyle w:val="73"/>
        <w:numPr>
          <w:ilvl w:val="1"/>
          <w:numId w:val="0"/>
        </w:numPr>
        <w:bidi w:val="0"/>
        <w:ind w:leftChars="0" w:firstLine="420" w:firstLineChars="0"/>
        <w:rPr>
          <w:rFonts w:hint="eastAsia"/>
          <w:lang w:val="en-US" w:eastAsia="zh-CN"/>
        </w:rPr>
      </w:pPr>
      <w:r>
        <w:rPr>
          <w:rFonts w:hint="eastAsia"/>
          <w:lang w:val="en-US" w:eastAsia="zh-CN"/>
        </w:rPr>
        <w:t>健康体检 physical examination</w:t>
      </w:r>
    </w:p>
    <w:p>
      <w:pPr>
        <w:pStyle w:val="73"/>
        <w:numPr>
          <w:ilvl w:val="1"/>
          <w:numId w:val="0"/>
        </w:numPr>
        <w:bidi w:val="0"/>
        <w:ind w:leftChars="0" w:firstLine="420" w:firstLineChars="0"/>
        <w:rPr>
          <w:rFonts w:hint="eastAsia" w:ascii="宋体" w:hAnsi="宋体" w:eastAsia="宋体" w:cs="宋体"/>
          <w:lang w:val="en-US" w:eastAsia="zh-CN"/>
        </w:rPr>
      </w:pPr>
      <w:r>
        <w:rPr>
          <w:rFonts w:hint="eastAsia" w:ascii="宋体" w:hAnsi="Times New Roman" w:eastAsia="宋体" w:cs="宋体"/>
          <w:sz w:val="21"/>
          <w:lang w:val="en-US" w:eastAsia="zh-CN"/>
        </w:rPr>
        <w:t>通过医学手段和方法对受检者进行身体检查，了解受检者健康状况、早期发现疾病线索和健康隐患的诊疗行为。</w:t>
      </w:r>
    </w:p>
    <w:p>
      <w:pPr>
        <w:pStyle w:val="73"/>
        <w:bidi w:val="0"/>
        <w:rPr>
          <w:rFonts w:hint="eastAsia"/>
          <w:lang w:val="en-US" w:eastAsia="zh-CN"/>
        </w:rPr>
      </w:pPr>
    </w:p>
    <w:p>
      <w:pPr>
        <w:pStyle w:val="73"/>
        <w:numPr>
          <w:ilvl w:val="1"/>
          <w:numId w:val="0"/>
        </w:numPr>
        <w:bidi w:val="0"/>
        <w:ind w:leftChars="0" w:firstLine="420" w:firstLineChars="0"/>
        <w:rPr>
          <w:rFonts w:hint="default"/>
          <w:lang w:val="en-US" w:eastAsia="zh-CN"/>
        </w:rPr>
      </w:pPr>
      <w:bookmarkStart w:id="30" w:name="_Toc4041"/>
      <w:r>
        <w:rPr>
          <w:rFonts w:hint="eastAsia"/>
          <w:lang w:val="en-US" w:eastAsia="zh-CN"/>
        </w:rPr>
        <w:t xml:space="preserve">质量控制 </w:t>
      </w:r>
      <w:bookmarkEnd w:id="30"/>
      <w:r>
        <w:rPr>
          <w:rFonts w:hint="eastAsia"/>
          <w:lang w:val="en-US" w:eastAsia="zh-CN"/>
        </w:rPr>
        <w:t>quality control</w:t>
      </w:r>
    </w:p>
    <w:p>
      <w:pPr>
        <w:pStyle w:val="25"/>
        <w:ind w:firstLine="960"/>
        <w:rPr>
          <w:rFonts w:hint="eastAsia"/>
          <w:lang w:val="en-US" w:eastAsia="zh-CN"/>
        </w:rPr>
      </w:pPr>
      <w:r>
        <w:rPr>
          <w:rFonts w:hint="eastAsia" w:cs="宋体"/>
          <w:sz w:val="21"/>
          <w:lang w:val="en-US" w:eastAsia="zh-CN"/>
        </w:rPr>
        <w:t>由专业质量控制小组按计划和实施方案组织开展的健康体检质量监测、预警、分析、考核、评估以及反馈工作，覆盖健康体检管理全过程</w:t>
      </w:r>
      <w:r>
        <w:rPr>
          <w:rFonts w:hint="eastAsia" w:ascii="宋体" w:hAnsi="Times New Roman" w:eastAsia="宋体" w:cs="宋体"/>
          <w:sz w:val="21"/>
          <w:lang w:val="en-US" w:eastAsia="zh-CN"/>
        </w:rPr>
        <w:t>。</w:t>
      </w:r>
    </w:p>
    <w:p>
      <w:pPr>
        <w:pStyle w:val="72"/>
        <w:bidi w:val="0"/>
        <w:rPr>
          <w:rFonts w:hint="eastAsia"/>
          <w:lang w:val="en-US" w:eastAsia="zh-CN"/>
        </w:rPr>
      </w:pPr>
      <w:bookmarkStart w:id="31" w:name="_Toc15893"/>
      <w:bookmarkStart w:id="32" w:name="_Toc11614"/>
      <w:bookmarkStart w:id="33" w:name="_Toc29062"/>
      <w:r>
        <w:rPr>
          <w:rFonts w:hint="eastAsia"/>
          <w:lang w:val="en-US" w:eastAsia="zh-CN"/>
        </w:rPr>
        <w:t>评价原则</w:t>
      </w:r>
      <w:bookmarkEnd w:id="31"/>
      <w:bookmarkEnd w:id="32"/>
      <w:bookmarkEnd w:id="33"/>
    </w:p>
    <w:p>
      <w:pPr>
        <w:pStyle w:val="78"/>
        <w:bidi w:val="0"/>
        <w:spacing w:before="0" w:beforeLines="0" w:after="0" w:afterLines="0"/>
        <w:rPr>
          <w:rFonts w:hint="eastAsia"/>
          <w:lang w:val="en-US" w:eastAsia="zh-CN"/>
        </w:rPr>
      </w:pPr>
      <w:r>
        <w:rPr>
          <w:rFonts w:hint="eastAsia"/>
          <w:lang w:val="en-US" w:eastAsia="zh-CN"/>
        </w:rPr>
        <w:t>公开性：标准公开、过程公开、结果公开。</w:t>
      </w:r>
    </w:p>
    <w:p>
      <w:pPr>
        <w:pStyle w:val="78"/>
        <w:bidi w:val="0"/>
        <w:spacing w:before="0" w:beforeLines="0" w:after="0" w:afterLines="0"/>
        <w:rPr>
          <w:rFonts w:hint="eastAsia"/>
          <w:lang w:val="en-US" w:eastAsia="zh-CN"/>
        </w:rPr>
      </w:pPr>
      <w:r>
        <w:rPr>
          <w:rFonts w:hint="eastAsia"/>
          <w:lang w:val="en-US" w:eastAsia="zh-CN"/>
        </w:rPr>
        <w:t>公平性：独立、客观、公正地实施评价活动，评价标准统一。</w:t>
      </w:r>
    </w:p>
    <w:p>
      <w:pPr>
        <w:pStyle w:val="78"/>
        <w:bidi w:val="0"/>
        <w:spacing w:before="0" w:beforeLines="0" w:after="0" w:afterLines="0"/>
        <w:rPr>
          <w:rFonts w:hint="eastAsia"/>
          <w:lang w:val="en-US" w:eastAsia="zh-CN"/>
        </w:rPr>
      </w:pPr>
      <w:r>
        <w:rPr>
          <w:rFonts w:hint="eastAsia"/>
          <w:lang w:val="en-US" w:eastAsia="zh-CN"/>
        </w:rPr>
        <w:t>科学性：评价工作所有数据资料真实准确、论证充分、方法科学、结果严谨、可检验。</w:t>
      </w:r>
    </w:p>
    <w:p>
      <w:pPr>
        <w:pStyle w:val="72"/>
        <w:bidi w:val="0"/>
        <w:rPr>
          <w:rFonts w:hint="eastAsia"/>
          <w:lang w:val="en-US" w:eastAsia="zh-CN"/>
        </w:rPr>
      </w:pPr>
      <w:bookmarkStart w:id="34" w:name="_Toc16722"/>
      <w:bookmarkStart w:id="35" w:name="_Toc25973"/>
      <w:bookmarkStart w:id="36" w:name="_Toc14742"/>
      <w:r>
        <w:rPr>
          <w:rFonts w:hint="eastAsia"/>
          <w:lang w:val="en-US" w:eastAsia="zh-CN"/>
        </w:rPr>
        <w:t>评价方式</w:t>
      </w:r>
      <w:bookmarkEnd w:id="34"/>
      <w:bookmarkEnd w:id="35"/>
      <w:bookmarkEnd w:id="36"/>
    </w:p>
    <w:p>
      <w:pPr>
        <w:pStyle w:val="78"/>
        <w:bidi w:val="0"/>
        <w:spacing w:before="0" w:beforeLines="0" w:after="0" w:afterLines="0"/>
        <w:rPr>
          <w:rFonts w:hint="eastAsia"/>
          <w:lang w:val="en-US" w:eastAsia="zh-CN"/>
        </w:rPr>
      </w:pPr>
      <w:r>
        <w:rPr>
          <w:rFonts w:hint="eastAsia"/>
          <w:lang w:val="en-US" w:eastAsia="zh-CN"/>
        </w:rPr>
        <w:t>医疗体检机构可依据本文件开展自我评价工作，也可委托相关机构（如：江西省健康管理（体检）质量控制中心）开展评价工作。</w:t>
      </w:r>
    </w:p>
    <w:p>
      <w:pPr>
        <w:pStyle w:val="78"/>
        <w:bidi w:val="0"/>
        <w:spacing w:before="0" w:beforeLines="0" w:after="0" w:afterLines="0"/>
        <w:rPr>
          <w:rFonts w:hint="eastAsia"/>
          <w:lang w:val="en-US" w:eastAsia="zh-CN"/>
        </w:rPr>
      </w:pPr>
      <w:r>
        <w:rPr>
          <w:rFonts w:hint="eastAsia"/>
          <w:lang w:val="en-US" w:eastAsia="zh-CN"/>
        </w:rPr>
        <w:t>从事健康体检质控评价活动的人员应熟悉健康体检标准体系相关标准，且从事健康体检管理工作三年以上。</w:t>
      </w:r>
    </w:p>
    <w:p>
      <w:pPr>
        <w:pStyle w:val="72"/>
        <w:bidi w:val="0"/>
        <w:rPr>
          <w:rFonts w:hint="eastAsia"/>
          <w:lang w:val="en-US" w:eastAsia="zh-CN"/>
        </w:rPr>
      </w:pPr>
      <w:bookmarkStart w:id="37" w:name="_Toc18433"/>
      <w:bookmarkStart w:id="38" w:name="_Toc2252"/>
      <w:bookmarkStart w:id="39" w:name="_Toc1271"/>
      <w:r>
        <w:rPr>
          <w:rFonts w:hint="eastAsia"/>
          <w:lang w:val="en-US" w:eastAsia="zh-CN"/>
        </w:rPr>
        <w:t>评价内容</w:t>
      </w:r>
      <w:bookmarkEnd w:id="37"/>
      <w:bookmarkEnd w:id="38"/>
      <w:bookmarkEnd w:id="39"/>
    </w:p>
    <w:p>
      <w:pPr>
        <w:pStyle w:val="73"/>
        <w:bidi w:val="0"/>
        <w:rPr>
          <w:rFonts w:hint="eastAsia"/>
          <w:lang w:val="en-US" w:eastAsia="zh-CN"/>
        </w:rPr>
      </w:pPr>
      <w:r>
        <w:rPr>
          <w:rFonts w:hint="eastAsia"/>
          <w:lang w:val="en-US" w:eastAsia="zh-CN"/>
        </w:rPr>
        <w:t>评价指标</w:t>
      </w:r>
    </w:p>
    <w:p>
      <w:pPr>
        <w:pStyle w:val="25"/>
        <w:bidi w:val="0"/>
        <w:rPr>
          <w:rFonts w:hint="eastAsia"/>
          <w:lang w:val="en-US" w:eastAsia="zh-CN"/>
        </w:rPr>
      </w:pPr>
      <w:r>
        <w:rPr>
          <w:rFonts w:hint="eastAsia"/>
          <w:lang w:val="en-US" w:eastAsia="zh-CN"/>
        </w:rPr>
        <w:t>健康体检质控评价指标参见附录A。</w:t>
      </w:r>
    </w:p>
    <w:p>
      <w:pPr>
        <w:pStyle w:val="73"/>
        <w:bidi w:val="0"/>
        <w:rPr>
          <w:rFonts w:hint="eastAsia"/>
          <w:lang w:val="en-US" w:eastAsia="zh-CN"/>
        </w:rPr>
      </w:pPr>
      <w:r>
        <w:rPr>
          <w:rFonts w:hint="eastAsia"/>
          <w:lang w:val="en-US" w:eastAsia="zh-CN"/>
        </w:rPr>
        <w:t>得分说明</w:t>
      </w:r>
    </w:p>
    <w:p>
      <w:pPr>
        <w:pStyle w:val="79"/>
        <w:bidi w:val="0"/>
        <w:spacing w:before="0" w:beforeLines="0" w:after="0" w:afterLines="0"/>
        <w:rPr>
          <w:rFonts w:hint="eastAsia"/>
          <w:lang w:val="en-US" w:eastAsia="zh-CN"/>
        </w:rPr>
      </w:pPr>
      <w:r>
        <w:rPr>
          <w:rFonts w:hint="eastAsia" w:hAnsi="宋体" w:cs="宋体"/>
          <w:lang w:eastAsia="zh-CN"/>
        </w:rPr>
        <w:t>健康体检质控评价标准</w:t>
      </w:r>
      <w:r>
        <w:rPr>
          <w:rFonts w:hint="eastAsia" w:hAnsi="宋体" w:cs="宋体"/>
        </w:rPr>
        <w:t>总</w:t>
      </w:r>
      <w:r>
        <w:rPr>
          <w:rFonts w:hint="eastAsia" w:hAnsi="宋体" w:cs="宋体"/>
          <w:lang w:eastAsia="zh-CN"/>
        </w:rPr>
        <w:t>分值</w:t>
      </w:r>
      <w:r>
        <w:rPr>
          <w:rFonts w:hint="eastAsia" w:hAnsi="宋体" w:cs="宋体"/>
        </w:rPr>
        <w:t>为</w:t>
      </w:r>
      <w:r>
        <w:rPr>
          <w:rFonts w:hint="eastAsia"/>
        </w:rPr>
        <w:t>200</w:t>
      </w:r>
      <w:r>
        <w:rPr>
          <w:rFonts w:hint="eastAsia" w:hAnsi="宋体" w:cs="宋体"/>
        </w:rPr>
        <w:t>分，得分在</w:t>
      </w:r>
      <w:r>
        <w:rPr>
          <w:rFonts w:hint="eastAsia"/>
        </w:rPr>
        <w:t>1</w:t>
      </w:r>
      <w:r>
        <w:rPr>
          <w:rFonts w:hint="eastAsia"/>
          <w:lang w:val="en-US" w:eastAsia="zh-CN"/>
        </w:rPr>
        <w:t>4</w:t>
      </w:r>
      <w:r>
        <w:rPr>
          <w:rFonts w:hint="eastAsia"/>
        </w:rPr>
        <w:t>0</w:t>
      </w:r>
      <w:r>
        <w:rPr>
          <w:rFonts w:hint="eastAsia"/>
          <w:lang w:eastAsia="zh-CN"/>
        </w:rPr>
        <w:t>分及</w:t>
      </w:r>
      <w:r>
        <w:rPr>
          <w:rFonts w:hint="eastAsia" w:ascii="宋体" w:hAnsi="宋体" w:eastAsia="宋体" w:cs="宋体"/>
        </w:rPr>
        <w:t>以上为合格</w:t>
      </w:r>
      <w:r>
        <w:rPr>
          <w:rFonts w:hint="eastAsia" w:ascii="宋体" w:hAnsi="宋体" w:eastAsia="宋体" w:cs="宋体"/>
          <w:lang w:eastAsia="zh-CN"/>
        </w:rPr>
        <w:t>，低于</w:t>
      </w:r>
      <w:r>
        <w:rPr>
          <w:rFonts w:hint="eastAsia" w:ascii="宋体" w:hAnsi="宋体" w:eastAsia="宋体" w:cs="宋体"/>
          <w:lang w:val="en-US" w:eastAsia="zh-CN"/>
        </w:rPr>
        <w:t>140分为不合格</w:t>
      </w:r>
      <w:r>
        <w:rPr>
          <w:rFonts w:hint="eastAsia" w:ascii="宋体" w:hAnsi="宋体" w:eastAsia="宋体" w:cs="宋体"/>
          <w:lang w:eastAsia="zh-CN"/>
        </w:rPr>
        <w:t>。</w:t>
      </w:r>
    </w:p>
    <w:p>
      <w:pPr>
        <w:pStyle w:val="79"/>
        <w:bidi w:val="0"/>
        <w:spacing w:before="0" w:beforeLines="0" w:after="0" w:afterLines="0"/>
        <w:rPr>
          <w:rFonts w:hint="eastAsia"/>
          <w:lang w:val="en-US" w:eastAsia="zh-CN"/>
        </w:rPr>
      </w:pPr>
      <w:r>
        <w:rPr>
          <w:rFonts w:hint="eastAsia" w:ascii="宋体" w:hAnsi="宋体" w:eastAsia="宋体" w:cs="宋体"/>
          <w:lang w:eastAsia="zh-CN"/>
        </w:rPr>
        <w:t>资源配置</w:t>
      </w:r>
      <w:r>
        <w:rPr>
          <w:rFonts w:hint="eastAsia" w:ascii="宋体" w:hAnsi="宋体" w:eastAsia="宋体" w:cs="宋体"/>
        </w:rPr>
        <w:t>是必须</w:t>
      </w:r>
      <w:r>
        <w:rPr>
          <w:rFonts w:hint="eastAsia" w:ascii="宋体" w:hAnsi="宋体" w:eastAsia="宋体" w:cs="宋体"/>
          <w:lang w:eastAsia="zh-CN"/>
        </w:rPr>
        <w:t>达标</w:t>
      </w:r>
      <w:r>
        <w:rPr>
          <w:rFonts w:hint="eastAsia" w:ascii="宋体" w:hAnsi="宋体" w:eastAsia="宋体" w:cs="宋体"/>
        </w:rPr>
        <w:t>的</w:t>
      </w:r>
      <w:r>
        <w:rPr>
          <w:rFonts w:hint="eastAsia" w:ascii="宋体" w:hAnsi="宋体" w:eastAsia="宋体" w:cs="宋体"/>
          <w:lang w:eastAsia="zh-CN"/>
        </w:rPr>
        <w:t>基本</w:t>
      </w:r>
      <w:r>
        <w:rPr>
          <w:rFonts w:hint="eastAsia" w:ascii="宋体" w:hAnsi="宋体" w:eastAsia="宋体" w:cs="宋体"/>
        </w:rPr>
        <w:t>条件，</w:t>
      </w:r>
      <w:r>
        <w:rPr>
          <w:rFonts w:hint="eastAsia" w:ascii="宋体" w:hAnsi="宋体" w:eastAsia="宋体" w:cs="宋体"/>
          <w:lang w:eastAsia="zh-CN"/>
        </w:rPr>
        <w:t>如未达标则评定为不合格</w:t>
      </w:r>
      <w:r>
        <w:rPr>
          <w:rFonts w:hint="eastAsia" w:ascii="宋体" w:hAnsi="宋体" w:eastAsia="宋体" w:cs="宋体"/>
        </w:rPr>
        <w:t>。</w:t>
      </w:r>
    </w:p>
    <w:p>
      <w:pPr>
        <w:pStyle w:val="73"/>
        <w:bidi w:val="0"/>
        <w:rPr>
          <w:rFonts w:hint="eastAsia"/>
          <w:lang w:val="en-US" w:eastAsia="zh-CN"/>
        </w:rPr>
      </w:pPr>
      <w:r>
        <w:rPr>
          <w:rFonts w:hint="eastAsia"/>
          <w:lang w:val="en-US" w:eastAsia="zh-CN"/>
        </w:rPr>
        <w:t>基本条件</w:t>
      </w:r>
    </w:p>
    <w:p>
      <w:pPr>
        <w:pStyle w:val="74"/>
        <w:bidi w:val="0"/>
        <w:rPr>
          <w:rFonts w:hint="eastAsia"/>
          <w:lang w:val="en-US" w:eastAsia="zh-CN"/>
        </w:rPr>
      </w:pPr>
      <w:r>
        <w:rPr>
          <w:rFonts w:hint="eastAsia"/>
          <w:lang w:val="en-US" w:eastAsia="zh-CN"/>
        </w:rPr>
        <w:t>执业许可</w:t>
      </w:r>
    </w:p>
    <w:p>
      <w:pPr>
        <w:pStyle w:val="80"/>
        <w:bidi w:val="0"/>
        <w:spacing w:before="0" w:beforeLines="0" w:after="0" w:afterLines="0"/>
        <w:rPr>
          <w:rFonts w:hint="eastAsia"/>
          <w:lang w:val="en-US" w:eastAsia="zh-CN"/>
        </w:rPr>
      </w:pPr>
      <w:r>
        <w:rPr>
          <w:rFonts w:hint="eastAsia"/>
          <w:lang w:val="en-US" w:eastAsia="zh-CN"/>
        </w:rPr>
        <w:t>《医疗机构执业许可证》应合法有效，且应与机构对外招牌名称一致。</w:t>
      </w:r>
    </w:p>
    <w:p>
      <w:pPr>
        <w:pStyle w:val="80"/>
        <w:bidi w:val="0"/>
        <w:spacing w:before="0" w:beforeLines="0" w:after="0" w:afterLines="0"/>
        <w:rPr>
          <w:rFonts w:hint="eastAsia"/>
          <w:lang w:val="en-US" w:eastAsia="zh-CN"/>
        </w:rPr>
      </w:pPr>
      <w:r>
        <w:rPr>
          <w:rFonts w:hint="eastAsia"/>
          <w:lang w:val="en-US" w:eastAsia="zh-CN"/>
        </w:rPr>
        <w:t>应取得登记机关开展“健康体检”的执业许可。</w:t>
      </w:r>
    </w:p>
    <w:p>
      <w:pPr>
        <w:pStyle w:val="80"/>
        <w:bidi w:val="0"/>
        <w:spacing w:before="0" w:beforeLines="0" w:after="0" w:afterLines="0"/>
        <w:rPr>
          <w:rFonts w:hint="eastAsia"/>
          <w:lang w:val="en-US" w:eastAsia="zh-CN"/>
        </w:rPr>
      </w:pPr>
      <w:r>
        <w:rPr>
          <w:rFonts w:hint="eastAsia"/>
          <w:lang w:val="en-US" w:eastAsia="zh-CN"/>
        </w:rPr>
        <w:t>所开展的《健康体检项目目录》应当向其登记机关备案。</w:t>
      </w:r>
    </w:p>
    <w:p>
      <w:pPr>
        <w:pStyle w:val="80"/>
        <w:bidi w:val="0"/>
        <w:spacing w:before="0" w:beforeLines="0" w:after="0" w:afterLines="0"/>
        <w:rPr>
          <w:rFonts w:hint="eastAsia"/>
          <w:lang w:val="en-US" w:eastAsia="zh-CN"/>
        </w:rPr>
      </w:pPr>
      <w:r>
        <w:rPr>
          <w:rFonts w:hint="eastAsia"/>
          <w:lang w:val="en-US" w:eastAsia="zh-CN"/>
        </w:rPr>
        <w:t>体检项目收费标准明确，并在显著位置公示。</w:t>
      </w:r>
    </w:p>
    <w:p>
      <w:pPr>
        <w:pStyle w:val="74"/>
        <w:bidi w:val="0"/>
        <w:rPr>
          <w:rFonts w:hint="eastAsia"/>
          <w:lang w:val="en-US" w:eastAsia="zh-CN"/>
        </w:rPr>
      </w:pPr>
      <w:r>
        <w:rPr>
          <w:rFonts w:hint="eastAsia"/>
          <w:lang w:val="en-US" w:eastAsia="zh-CN"/>
        </w:rPr>
        <w:t>科室设置</w:t>
      </w:r>
    </w:p>
    <w:p>
      <w:pPr>
        <w:pStyle w:val="80"/>
        <w:bidi w:val="0"/>
        <w:spacing w:before="0" w:beforeLines="0" w:after="0" w:afterLines="0"/>
        <w:rPr>
          <w:rFonts w:hint="eastAsia"/>
          <w:lang w:val="en-US" w:eastAsia="zh-CN"/>
        </w:rPr>
      </w:pPr>
      <w:r>
        <w:rPr>
          <w:rFonts w:hint="eastAsia"/>
          <w:lang w:val="en-US" w:eastAsia="zh-CN"/>
        </w:rPr>
        <w:t>至少包括一般检查、内科、外科、妇科、眼科、耳鼻咽喉科、口腔科，有独立的心电图、超声、放射检查科室。</w:t>
      </w:r>
    </w:p>
    <w:p>
      <w:pPr>
        <w:pStyle w:val="80"/>
        <w:bidi w:val="0"/>
        <w:spacing w:before="0" w:beforeLines="0" w:after="0" w:afterLines="0"/>
        <w:rPr>
          <w:rFonts w:hint="eastAsia"/>
          <w:lang w:val="en-US" w:eastAsia="zh-CN"/>
        </w:rPr>
      </w:pPr>
      <w:r>
        <w:rPr>
          <w:rFonts w:hint="eastAsia"/>
          <w:lang w:val="en-US" w:eastAsia="zh-CN"/>
        </w:rPr>
        <w:t>应做到医、检分离。</w:t>
      </w:r>
    </w:p>
    <w:p>
      <w:pPr>
        <w:pStyle w:val="80"/>
        <w:bidi w:val="0"/>
        <w:spacing w:before="0" w:beforeLines="0" w:after="0" w:afterLines="0"/>
        <w:rPr>
          <w:rFonts w:hint="eastAsia"/>
          <w:lang w:val="en-US" w:eastAsia="zh-CN"/>
        </w:rPr>
      </w:pPr>
      <w:r>
        <w:rPr>
          <w:rFonts w:hint="eastAsia"/>
          <w:lang w:val="en-US" w:eastAsia="zh-CN"/>
        </w:rPr>
        <w:t>各诊室及抽血室应配备流动水消毒设施或其他符合院感要求的消毒设施。</w:t>
      </w:r>
    </w:p>
    <w:p>
      <w:pPr>
        <w:pStyle w:val="74"/>
        <w:bidi w:val="0"/>
        <w:rPr>
          <w:rFonts w:hint="eastAsia"/>
          <w:lang w:val="en-US" w:eastAsia="zh-CN"/>
        </w:rPr>
      </w:pPr>
      <w:r>
        <w:rPr>
          <w:rFonts w:hint="eastAsia"/>
          <w:lang w:val="en-US" w:eastAsia="zh-CN"/>
        </w:rPr>
        <w:t>人员配备与资质</w:t>
      </w:r>
    </w:p>
    <w:p>
      <w:pPr>
        <w:pStyle w:val="75"/>
        <w:bidi w:val="0"/>
        <w:rPr>
          <w:rFonts w:hint="eastAsia"/>
          <w:lang w:val="en-US" w:eastAsia="zh-CN"/>
        </w:rPr>
      </w:pPr>
      <w:r>
        <w:rPr>
          <w:rFonts w:hint="eastAsia"/>
          <w:lang w:val="en-US" w:eastAsia="zh-CN"/>
        </w:rPr>
        <w:t>医生</w:t>
      </w:r>
    </w:p>
    <w:p>
      <w:pPr>
        <w:pStyle w:val="81"/>
        <w:bidi w:val="0"/>
        <w:spacing w:before="0" w:beforeLines="0" w:after="0" w:afterLines="0"/>
        <w:rPr>
          <w:rFonts w:hint="eastAsia"/>
          <w:lang w:val="en-US" w:eastAsia="zh-CN"/>
        </w:rPr>
      </w:pPr>
      <w:r>
        <w:rPr>
          <w:rFonts w:hint="eastAsia"/>
          <w:lang w:val="en-US" w:eastAsia="zh-CN"/>
        </w:rPr>
        <w:t>应具有执业医师资格并注册在本机构，且工作内容与执业范围一致。</w:t>
      </w:r>
    </w:p>
    <w:p>
      <w:pPr>
        <w:pStyle w:val="81"/>
        <w:bidi w:val="0"/>
        <w:spacing w:before="0" w:beforeLines="0" w:after="0" w:afterLines="0"/>
        <w:rPr>
          <w:rFonts w:hint="eastAsia"/>
          <w:lang w:val="en-US" w:eastAsia="zh-CN"/>
        </w:rPr>
      </w:pPr>
      <w:r>
        <w:rPr>
          <w:rFonts w:hint="eastAsia"/>
          <w:lang w:val="en-US" w:eastAsia="zh-CN"/>
        </w:rPr>
        <w:t>至少应配备2名内科或外科专业、副高级或以上专业技术职称的执业医师担任主检医生或者总审医生（独立医学健康体检中心至少1名内科医师）。</w:t>
      </w:r>
    </w:p>
    <w:p>
      <w:pPr>
        <w:pStyle w:val="81"/>
        <w:bidi w:val="0"/>
        <w:spacing w:before="0" w:beforeLines="0" w:after="0" w:afterLines="0"/>
        <w:rPr>
          <w:rFonts w:hint="eastAsia"/>
          <w:lang w:val="en-US" w:eastAsia="zh-CN"/>
        </w:rPr>
      </w:pPr>
      <w:r>
        <w:rPr>
          <w:rFonts w:hint="eastAsia"/>
          <w:lang w:val="en-US" w:eastAsia="zh-CN"/>
        </w:rPr>
        <w:t>每个临床检查科室至少应配备1名中级及以上专业技术职务任职资格的执业医师（独立医学健康体检中心每个临床检查科室至少2名专业技术职务任职资格的执业医师，其中1名中级及以上）。</w:t>
      </w:r>
    </w:p>
    <w:p>
      <w:pPr>
        <w:pStyle w:val="75"/>
        <w:bidi w:val="0"/>
        <w:rPr>
          <w:rFonts w:hint="eastAsia"/>
          <w:lang w:val="en-US" w:eastAsia="zh-CN"/>
        </w:rPr>
      </w:pPr>
      <w:r>
        <w:rPr>
          <w:rFonts w:hint="eastAsia"/>
          <w:lang w:val="en-US" w:eastAsia="zh-CN"/>
        </w:rPr>
        <w:t>医技</w:t>
      </w:r>
    </w:p>
    <w:p>
      <w:pPr>
        <w:pStyle w:val="81"/>
        <w:bidi w:val="0"/>
        <w:spacing w:before="0" w:beforeLines="0" w:after="0" w:afterLines="0"/>
        <w:rPr>
          <w:rFonts w:hint="eastAsia"/>
          <w:lang w:val="en-US" w:eastAsia="zh-CN"/>
        </w:rPr>
      </w:pPr>
      <w:r>
        <w:rPr>
          <w:rFonts w:hint="eastAsia"/>
          <w:lang w:val="en-US" w:eastAsia="zh-CN"/>
        </w:rPr>
        <w:t>医院内设体检机构的技师应具有操作资格并注册在本机构，且工作内容与专业资质相一致，具有上岗证。</w:t>
      </w:r>
    </w:p>
    <w:p>
      <w:pPr>
        <w:pStyle w:val="81"/>
        <w:bidi w:val="0"/>
        <w:spacing w:before="0" w:beforeLines="0" w:after="0" w:afterLines="0"/>
        <w:rPr>
          <w:rFonts w:hint="eastAsia"/>
          <w:lang w:val="en-US" w:eastAsia="zh-CN"/>
        </w:rPr>
      </w:pPr>
      <w:r>
        <w:rPr>
          <w:rFonts w:hint="eastAsia"/>
          <w:lang w:val="en-US" w:eastAsia="zh-CN"/>
        </w:rPr>
        <w:t>医学健康体检中心的技师应满足以下条件：</w:t>
      </w:r>
    </w:p>
    <w:p>
      <w:pPr>
        <w:pStyle w:val="60"/>
        <w:tabs>
          <w:tab w:val="clear" w:pos="851"/>
        </w:tabs>
        <w:bidi w:val="0"/>
        <w:ind w:left="839" w:leftChars="0" w:hanging="419" w:firstLineChars="0"/>
        <w:rPr>
          <w:rFonts w:hint="eastAsia"/>
          <w:lang w:val="en-US" w:eastAsia="zh-CN"/>
        </w:rPr>
      </w:pPr>
      <w:r>
        <w:rPr>
          <w:rFonts w:hint="eastAsia"/>
          <w:lang w:val="en-US" w:eastAsia="zh-CN"/>
        </w:rPr>
        <w:t>医学检验科（含核医学体外检测）至少具有5名（其中1名中级及以上）专业技术职务任职资格的执业技师；</w:t>
      </w:r>
    </w:p>
    <w:p>
      <w:pPr>
        <w:pStyle w:val="60"/>
        <w:tabs>
          <w:tab w:val="clear" w:pos="851"/>
        </w:tabs>
        <w:bidi w:val="0"/>
        <w:ind w:left="839" w:leftChars="0" w:hanging="419" w:firstLineChars="0"/>
        <w:rPr>
          <w:rFonts w:hint="eastAsia"/>
          <w:lang w:val="en-US" w:eastAsia="zh-CN"/>
        </w:rPr>
      </w:pPr>
      <w:r>
        <w:rPr>
          <w:rFonts w:hint="eastAsia"/>
          <w:lang w:val="en-US" w:eastAsia="zh-CN"/>
        </w:rPr>
        <w:t>超声诊断专业至少具有1名副主任医师及以上专业技术职务任职资格的执业医师；</w:t>
      </w:r>
    </w:p>
    <w:p>
      <w:pPr>
        <w:pStyle w:val="60"/>
        <w:tabs>
          <w:tab w:val="clear" w:pos="851"/>
        </w:tabs>
        <w:bidi w:val="0"/>
        <w:ind w:left="839" w:leftChars="0" w:hanging="419" w:firstLineChars="0"/>
        <w:rPr>
          <w:rFonts w:hint="eastAsia"/>
          <w:lang w:val="en-US" w:eastAsia="zh-CN"/>
        </w:rPr>
      </w:pPr>
      <w:r>
        <w:rPr>
          <w:rFonts w:hint="eastAsia"/>
          <w:lang w:val="en-US" w:eastAsia="zh-CN"/>
        </w:rPr>
        <w:t>放射诊断专业至少具有1名中级及以上专业技术职务任职资格的执业医师；</w:t>
      </w:r>
    </w:p>
    <w:p>
      <w:pPr>
        <w:pStyle w:val="60"/>
        <w:tabs>
          <w:tab w:val="clear" w:pos="851"/>
        </w:tabs>
        <w:bidi w:val="0"/>
        <w:ind w:left="839" w:leftChars="0" w:hanging="419" w:firstLineChars="0"/>
        <w:rPr>
          <w:rFonts w:hint="eastAsia"/>
          <w:lang w:val="en-US" w:eastAsia="zh-CN"/>
        </w:rPr>
      </w:pPr>
      <w:r>
        <w:rPr>
          <w:rFonts w:hint="eastAsia"/>
          <w:lang w:val="en-US" w:eastAsia="zh-CN"/>
        </w:rPr>
        <w:t>心电诊断专业至少具有1名专业技术职务任职资格的执业医师；</w:t>
      </w:r>
    </w:p>
    <w:p>
      <w:pPr>
        <w:pStyle w:val="60"/>
        <w:tabs>
          <w:tab w:val="clear" w:pos="851"/>
        </w:tabs>
        <w:bidi w:val="0"/>
        <w:ind w:left="839" w:leftChars="0" w:hanging="419" w:firstLineChars="0"/>
        <w:rPr>
          <w:rFonts w:hint="eastAsia"/>
          <w:lang w:val="en-US" w:eastAsia="zh-CN"/>
        </w:rPr>
      </w:pPr>
      <w:r>
        <w:rPr>
          <w:rFonts w:hint="eastAsia"/>
          <w:lang w:val="en-US" w:eastAsia="zh-CN"/>
        </w:rPr>
        <w:t>具有满足健康体检需要的其他卫生技术人员。</w:t>
      </w:r>
    </w:p>
    <w:p>
      <w:pPr>
        <w:pStyle w:val="75"/>
        <w:bidi w:val="0"/>
        <w:rPr>
          <w:rFonts w:hint="eastAsia"/>
          <w:lang w:val="en-US" w:eastAsia="zh-CN"/>
        </w:rPr>
      </w:pPr>
      <w:r>
        <w:rPr>
          <w:rFonts w:hint="eastAsia"/>
          <w:lang w:val="en-US" w:eastAsia="zh-CN"/>
        </w:rPr>
        <w:t>护士</w:t>
      </w:r>
    </w:p>
    <w:p>
      <w:pPr>
        <w:pStyle w:val="81"/>
        <w:bidi w:val="0"/>
        <w:spacing w:before="0" w:beforeLines="0" w:after="0" w:afterLines="0"/>
        <w:rPr>
          <w:rFonts w:hint="eastAsia"/>
          <w:lang w:val="en-US" w:eastAsia="zh-CN"/>
        </w:rPr>
      </w:pPr>
      <w:r>
        <w:rPr>
          <w:rFonts w:hint="eastAsia"/>
          <w:lang w:val="en-US" w:eastAsia="zh-CN"/>
        </w:rPr>
        <w:t>医院内设体检机构至少应配备10名注册护士，且均应具有执业护士资格并注册在本机构。</w:t>
      </w:r>
    </w:p>
    <w:p>
      <w:pPr>
        <w:pStyle w:val="81"/>
        <w:bidi w:val="0"/>
        <w:spacing w:before="0" w:beforeLines="0" w:after="0" w:afterLines="0"/>
        <w:rPr>
          <w:rFonts w:hint="eastAsia"/>
          <w:lang w:val="en-US" w:eastAsia="zh-CN"/>
        </w:rPr>
      </w:pPr>
      <w:r>
        <w:rPr>
          <w:rFonts w:hint="eastAsia"/>
          <w:lang w:val="en-US" w:eastAsia="zh-CN"/>
        </w:rPr>
        <w:t>独立医学健康体检中心至少应配备15名注册护士，其中至少5名应具有主管护师及以上任职资格。</w:t>
      </w:r>
    </w:p>
    <w:p>
      <w:pPr>
        <w:pStyle w:val="73"/>
        <w:bidi w:val="0"/>
        <w:rPr>
          <w:rFonts w:hint="eastAsia"/>
          <w:lang w:val="en-US" w:eastAsia="zh-CN"/>
        </w:rPr>
      </w:pPr>
      <w:r>
        <w:rPr>
          <w:rFonts w:hint="eastAsia"/>
          <w:lang w:val="en-US" w:eastAsia="zh-CN"/>
        </w:rPr>
        <w:t>质控要求</w:t>
      </w:r>
    </w:p>
    <w:p>
      <w:pPr>
        <w:pStyle w:val="79"/>
        <w:bidi w:val="0"/>
        <w:spacing w:before="0" w:beforeLines="0" w:after="0" w:afterLines="0"/>
        <w:rPr>
          <w:rFonts w:hint="eastAsia"/>
          <w:lang w:val="en-US" w:eastAsia="zh-CN"/>
        </w:rPr>
      </w:pPr>
      <w:r>
        <w:rPr>
          <w:rFonts w:hint="eastAsia"/>
          <w:lang w:val="en-US" w:eastAsia="zh-CN"/>
        </w:rPr>
        <w:t>体检场所应环境整洁、无卫生死角，消毒与清洁符合GB 15982、WS/T 367和WS/T 512的要求。</w:t>
      </w:r>
    </w:p>
    <w:p>
      <w:pPr>
        <w:pStyle w:val="79"/>
        <w:bidi w:val="0"/>
        <w:spacing w:before="0" w:beforeLines="0" w:after="0" w:afterLines="0"/>
        <w:rPr>
          <w:rFonts w:hint="eastAsia"/>
          <w:lang w:val="en-US" w:eastAsia="zh-CN"/>
        </w:rPr>
      </w:pPr>
      <w:r>
        <w:rPr>
          <w:rFonts w:hint="eastAsia"/>
          <w:lang w:val="en-US" w:eastAsia="zh-CN"/>
        </w:rPr>
        <w:t>体检场所内空气质量应符合GB/T 18883的要求，空气消毒应符合WS/T 368的要求。</w:t>
      </w:r>
    </w:p>
    <w:p>
      <w:pPr>
        <w:pStyle w:val="79"/>
        <w:bidi w:val="0"/>
        <w:spacing w:before="0" w:beforeLines="0" w:after="0" w:afterLines="0"/>
        <w:rPr>
          <w:rFonts w:hint="eastAsia"/>
          <w:lang w:val="en-US" w:eastAsia="zh-CN"/>
        </w:rPr>
      </w:pPr>
      <w:r>
        <w:rPr>
          <w:rFonts w:hint="eastAsia"/>
          <w:lang w:val="en-US" w:eastAsia="zh-CN"/>
        </w:rPr>
        <w:t>消防安全应符合GB 13495.1和WS 308的要求。</w:t>
      </w:r>
    </w:p>
    <w:p>
      <w:pPr>
        <w:pStyle w:val="79"/>
        <w:bidi w:val="0"/>
        <w:spacing w:before="0" w:beforeLines="0" w:after="0" w:afterLines="0"/>
        <w:rPr>
          <w:rFonts w:hint="eastAsia"/>
          <w:lang w:val="en-US" w:eastAsia="zh-CN"/>
        </w:rPr>
      </w:pPr>
      <w:r>
        <w:rPr>
          <w:rFonts w:hint="eastAsia"/>
          <w:lang w:val="en-US" w:eastAsia="zh-CN"/>
        </w:rPr>
        <w:t>体检场所内的设施、物品、环境安全应符合WS 444.1的要求，坐卧设施安全应符合WS 444.2的要求。</w:t>
      </w:r>
    </w:p>
    <w:p>
      <w:pPr>
        <w:pStyle w:val="79"/>
        <w:bidi w:val="0"/>
        <w:spacing w:before="0" w:beforeLines="0" w:after="0" w:afterLines="0"/>
        <w:rPr>
          <w:rFonts w:hint="eastAsia"/>
          <w:lang w:val="en-US" w:eastAsia="zh-CN"/>
        </w:rPr>
      </w:pPr>
      <w:r>
        <w:rPr>
          <w:rFonts w:hint="eastAsia"/>
          <w:lang w:val="en-US" w:eastAsia="zh-CN"/>
        </w:rPr>
        <w:t>医学检验场所生物安全应符合GB 19489和WS/T 442的要求。</w:t>
      </w:r>
    </w:p>
    <w:p>
      <w:pPr>
        <w:pStyle w:val="79"/>
        <w:bidi w:val="0"/>
        <w:spacing w:before="0" w:beforeLines="0" w:after="0" w:afterLines="0"/>
        <w:rPr>
          <w:rFonts w:hint="eastAsia"/>
          <w:lang w:val="en-US" w:eastAsia="zh-CN"/>
        </w:rPr>
      </w:pPr>
      <w:r>
        <w:rPr>
          <w:rFonts w:hint="eastAsia"/>
          <w:lang w:val="en-US" w:eastAsia="zh-CN"/>
        </w:rPr>
        <w:t>X射线等放射检查诊断放射防护应符合GBZ 130和GB 16348的要求。</w:t>
      </w:r>
    </w:p>
    <w:p>
      <w:pPr>
        <w:pStyle w:val="79"/>
        <w:bidi w:val="0"/>
        <w:spacing w:before="0" w:beforeLines="0" w:after="0" w:afterLines="0"/>
        <w:rPr>
          <w:rFonts w:hint="eastAsia"/>
          <w:lang w:val="en-US" w:eastAsia="zh-CN"/>
        </w:rPr>
      </w:pPr>
      <w:r>
        <w:rPr>
          <w:rFonts w:hint="eastAsia"/>
          <w:lang w:val="en-US" w:eastAsia="zh-CN"/>
        </w:rPr>
        <w:t>医务人员手卫生应符合WS/T 313的要求。</w:t>
      </w:r>
    </w:p>
    <w:p>
      <w:pPr>
        <w:pStyle w:val="79"/>
        <w:bidi w:val="0"/>
        <w:spacing w:before="0" w:beforeLines="0" w:after="0" w:afterLines="0"/>
        <w:rPr>
          <w:rFonts w:hint="eastAsia"/>
          <w:lang w:val="en-US" w:eastAsia="zh-CN"/>
        </w:rPr>
      </w:pPr>
      <w:r>
        <w:rPr>
          <w:rFonts w:hint="eastAsia"/>
          <w:lang w:val="en-US" w:eastAsia="zh-CN"/>
        </w:rPr>
        <w:t>无菌物品存放和使用应规范，重复使用的医疗用品应及时清洗、消毒或灭菌，符合WS/T 367、WS/T 310.2和WS 310.3的要求，并有效果监测及执行记录。</w:t>
      </w:r>
    </w:p>
    <w:p>
      <w:pPr>
        <w:pStyle w:val="79"/>
        <w:bidi w:val="0"/>
        <w:spacing w:before="0" w:beforeLines="0" w:after="0" w:afterLines="0"/>
        <w:rPr>
          <w:rFonts w:hint="eastAsia"/>
          <w:lang w:val="en-US" w:eastAsia="zh-CN"/>
        </w:rPr>
      </w:pPr>
      <w:r>
        <w:rPr>
          <w:rFonts w:hint="eastAsia"/>
          <w:lang w:val="en-US" w:eastAsia="zh-CN"/>
        </w:rPr>
        <w:t>感染监测管理应符合WS/T 312的要求。</w:t>
      </w:r>
    </w:p>
    <w:p>
      <w:pPr>
        <w:pStyle w:val="79"/>
        <w:bidi w:val="0"/>
        <w:spacing w:before="0" w:beforeLines="0" w:after="0" w:afterLines="0"/>
        <w:rPr>
          <w:rFonts w:hint="eastAsia"/>
          <w:lang w:val="en-US" w:eastAsia="zh-CN"/>
        </w:rPr>
      </w:pPr>
      <w:r>
        <w:rPr>
          <w:rFonts w:hint="eastAsia"/>
          <w:lang w:val="en-US" w:eastAsia="zh-CN"/>
        </w:rPr>
        <w:t>质量控制技术参数应符合WS/T 403和WS/T 406的要求。</w:t>
      </w:r>
    </w:p>
    <w:p>
      <w:pPr>
        <w:pStyle w:val="79"/>
        <w:bidi w:val="0"/>
        <w:spacing w:before="0" w:beforeLines="0" w:after="0" w:afterLines="0"/>
        <w:rPr>
          <w:rFonts w:hint="eastAsia"/>
          <w:lang w:val="en-US" w:eastAsia="zh-CN"/>
        </w:rPr>
      </w:pPr>
      <w:r>
        <w:rPr>
          <w:rFonts w:hint="eastAsia"/>
          <w:lang w:val="en-US" w:eastAsia="zh-CN"/>
        </w:rPr>
        <w:t>血液标本的采集与处理应符合WS/T 225的要求。</w:t>
      </w:r>
    </w:p>
    <w:p>
      <w:pPr>
        <w:pStyle w:val="79"/>
        <w:bidi w:val="0"/>
        <w:spacing w:before="0" w:beforeLines="0" w:after="0" w:afterLines="0"/>
        <w:rPr>
          <w:rFonts w:hint="eastAsia"/>
          <w:lang w:val="en-US" w:eastAsia="zh-CN"/>
        </w:rPr>
      </w:pPr>
      <w:r>
        <w:rPr>
          <w:rFonts w:hint="eastAsia"/>
          <w:lang w:val="en-US" w:eastAsia="zh-CN"/>
        </w:rPr>
        <w:t>实验室用水应符合WS/T 574的要求。</w:t>
      </w:r>
    </w:p>
    <w:p>
      <w:pPr>
        <w:pStyle w:val="79"/>
        <w:bidi w:val="0"/>
        <w:spacing w:before="0" w:beforeLines="0" w:after="0" w:afterLines="0"/>
        <w:rPr>
          <w:rFonts w:hint="eastAsia"/>
          <w:lang w:val="en-US" w:eastAsia="zh-CN"/>
        </w:rPr>
      </w:pPr>
      <w:r>
        <w:rPr>
          <w:rFonts w:hint="eastAsia"/>
          <w:lang w:val="en-US" w:eastAsia="zh-CN"/>
        </w:rPr>
        <w:t>污水处理应符合相关法律法规，水污染物排放应符合GB 18466的要求。</w:t>
      </w:r>
    </w:p>
    <w:p>
      <w:pPr>
        <w:pStyle w:val="79"/>
        <w:bidi w:val="0"/>
        <w:spacing w:before="0" w:beforeLines="0" w:after="0" w:afterLines="0"/>
        <w:rPr>
          <w:rFonts w:hint="eastAsia"/>
          <w:lang w:val="en-US" w:eastAsia="zh-CN"/>
        </w:rPr>
      </w:pPr>
      <w:r>
        <w:rPr>
          <w:rFonts w:hint="eastAsia"/>
          <w:lang w:val="en-US" w:eastAsia="zh-CN"/>
        </w:rPr>
        <w:t>应有专人负责健康体检信息系统管理与维护，建立信息系统故障应息处置预案，信息安全应符合GB/T 20271的规定。</w:t>
      </w:r>
    </w:p>
    <w:p>
      <w:pPr>
        <w:pStyle w:val="72"/>
        <w:bidi w:val="0"/>
        <w:rPr>
          <w:rFonts w:hint="default"/>
          <w:lang w:val="en-US" w:eastAsia="zh-CN"/>
        </w:rPr>
      </w:pPr>
      <w:bookmarkStart w:id="40" w:name="_Toc26432"/>
      <w:bookmarkStart w:id="41" w:name="_Toc4702"/>
      <w:bookmarkStart w:id="42" w:name="_Toc15697"/>
      <w:r>
        <w:rPr>
          <w:rFonts w:hint="eastAsia"/>
          <w:lang w:val="en-US" w:eastAsia="zh-CN"/>
        </w:rPr>
        <w:t>评价程序</w:t>
      </w:r>
      <w:bookmarkEnd w:id="40"/>
      <w:bookmarkEnd w:id="41"/>
      <w:bookmarkEnd w:id="42"/>
    </w:p>
    <w:p>
      <w:pPr>
        <w:pStyle w:val="73"/>
        <w:bidi w:val="0"/>
        <w:rPr>
          <w:rFonts w:hint="default"/>
          <w:lang w:val="en-US" w:eastAsia="zh-CN"/>
        </w:rPr>
      </w:pPr>
      <w:r>
        <w:rPr>
          <w:rFonts w:hint="eastAsia"/>
          <w:lang w:val="en-US" w:eastAsia="zh-CN"/>
        </w:rPr>
        <w:t>评价流程</w:t>
      </w:r>
    </w:p>
    <w:p>
      <w:pPr>
        <w:pStyle w:val="74"/>
        <w:bidi w:val="0"/>
        <w:rPr>
          <w:rFonts w:hint="default"/>
          <w:lang w:val="en-US" w:eastAsia="zh-CN"/>
        </w:rPr>
      </w:pPr>
      <w:r>
        <w:rPr>
          <w:rFonts w:hint="eastAsia"/>
          <w:lang w:val="en-US" w:eastAsia="zh-CN"/>
        </w:rPr>
        <w:t>自评流程</w:t>
      </w:r>
    </w:p>
    <w:p>
      <w:pPr>
        <w:pStyle w:val="25"/>
        <w:rPr>
          <w:rFonts w:hint="eastAsia"/>
          <w:lang w:val="en-US" w:eastAsia="zh-CN"/>
        </w:rPr>
      </w:pPr>
      <w:r>
        <w:rPr>
          <w:rFonts w:hint="eastAsia"/>
          <w:lang w:val="en-US" w:eastAsia="zh-CN"/>
        </w:rPr>
        <w:t>医疗体检机构自评应按图1所示的流程进行。</w:t>
      </w:r>
    </w:p>
    <w:p>
      <w:pPr>
        <w:pStyle w:val="25"/>
        <w:ind w:left="0" w:leftChars="0" w:firstLine="0" w:firstLineChars="0"/>
        <w:jc w:val="center"/>
        <w:rPr>
          <w:rFonts w:hint="default"/>
          <w:lang w:val="en-US" w:eastAsia="zh-CN"/>
        </w:rPr>
      </w:pPr>
      <w:r>
        <w:rPr>
          <w:sz w:val="21"/>
        </w:rPr>
        <mc:AlternateContent>
          <mc:Choice Requires="wpc">
            <w:drawing>
              <wp:inline distT="0" distB="0" distL="114300" distR="114300">
                <wp:extent cx="4883785" cy="1588770"/>
                <wp:effectExtent l="0" t="0" r="0" b="0"/>
                <wp:docPr id="3" name="画布 3"/>
                <wp:cNvGraphicFramePr/>
                <a:graphic xmlns:a="http://schemas.openxmlformats.org/drawingml/2006/main">
                  <a:graphicData uri="http://schemas.microsoft.com/office/word/2010/wordprocessingCanvas">
                    <wpc:wpc>
                      <wpc:bg/>
                      <wpc:whole/>
                      <wpg:wgp>
                        <wpg:cNvPr id="14" name="组合 11"/>
                        <wpg:cNvGrpSpPr/>
                        <wpg:grpSpPr>
                          <a:xfrm>
                            <a:off x="179705" y="179705"/>
                            <a:ext cx="4530090" cy="1203960"/>
                            <a:chOff x="5638" y="3935"/>
                            <a:chExt cx="7135" cy="1897"/>
                          </a:xfrm>
                        </wpg:grpSpPr>
                        <wps:wsp>
                          <wps:cNvPr id="25" name="文本框 3"/>
                          <wps:cNvSpPr txBox="1"/>
                          <wps:spPr>
                            <a:xfrm>
                              <a:off x="5639" y="3936"/>
                              <a:ext cx="1275" cy="471"/>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开始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文本框 7"/>
                          <wps:cNvSpPr txBox="1"/>
                          <wps:spPr>
                            <a:xfrm>
                              <a:off x="11147" y="3935"/>
                              <a:ext cx="1627" cy="472"/>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确定评价方案</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5"/>
                          <wps:cNvSpPr txBox="1"/>
                          <wps:spPr>
                            <a:xfrm>
                              <a:off x="8217" y="3936"/>
                              <a:ext cx="1627" cy="472"/>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成立专家评价组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5"/>
                          <wps:cNvSpPr txBox="1"/>
                          <wps:spPr>
                            <a:xfrm>
                              <a:off x="11147" y="5360"/>
                              <a:ext cx="1627" cy="472"/>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hint="eastAsia" w:ascii="宋体" w:hAnsi="宋体" w:eastAsia="宋体"/>
                                    <w:color w:val="000000" w:themeColor="dark1"/>
                                    <w:kern w:val="2"/>
                                    <w:sz w:val="18"/>
                                    <w:szCs w:val="18"/>
                                    <w:lang w:eastAsia="zh-CN"/>
                                    <w14:textFill>
                                      <w14:solidFill>
                                        <w14:schemeClr w14:val="dk1"/>
                                      </w14:solidFill>
                                    </w14:textFill>
                                  </w:rPr>
                                  <w:t>实施</w:t>
                                </w:r>
                                <w:r>
                                  <w:rPr>
                                    <w:rFonts w:ascii="宋体" w:hAnsi="宋体" w:eastAsia="宋体"/>
                                    <w:color w:val="000000" w:themeColor="dark1"/>
                                    <w:kern w:val="2"/>
                                    <w:sz w:val="18"/>
                                    <w:szCs w:val="18"/>
                                    <w14:textFill>
                                      <w14:solidFill>
                                        <w14:schemeClr w14:val="dk1"/>
                                      </w14:solidFill>
                                    </w14:textFill>
                                  </w:rPr>
                                  <w:t>评价</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 name="文本框 16"/>
                          <wps:cNvSpPr txBox="1"/>
                          <wps:spPr>
                            <a:xfrm>
                              <a:off x="5638" y="5360"/>
                              <a:ext cx="1276" cy="472"/>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结束</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 name="文本框 17"/>
                          <wps:cNvSpPr txBox="1"/>
                          <wps:spPr>
                            <a:xfrm>
                              <a:off x="8217" y="5361"/>
                              <a:ext cx="1627" cy="471"/>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出具</w:t>
                                </w:r>
                                <w:r>
                                  <w:rPr>
                                    <w:rFonts w:hint="eastAsia" w:ascii="宋体" w:hAnsi="宋体" w:eastAsia="宋体"/>
                                    <w:color w:val="000000" w:themeColor="dark1"/>
                                    <w:kern w:val="2"/>
                                    <w:sz w:val="18"/>
                                    <w:szCs w:val="18"/>
                                    <w:lang w:eastAsia="zh-CN"/>
                                    <w14:textFill>
                                      <w14:solidFill>
                                        <w14:schemeClr w14:val="dk1"/>
                                      </w14:solidFill>
                                    </w14:textFill>
                                  </w:rPr>
                                  <w:t>评价</w:t>
                                </w:r>
                                <w:r>
                                  <w:rPr>
                                    <w:rFonts w:ascii="宋体" w:hAnsi="宋体" w:eastAsia="宋体"/>
                                    <w:color w:val="000000" w:themeColor="dark1"/>
                                    <w:kern w:val="2"/>
                                    <w:sz w:val="18"/>
                                    <w:szCs w:val="18"/>
                                    <w14:textFill>
                                      <w14:solidFill>
                                        <w14:schemeClr w14:val="dk1"/>
                                      </w14:solidFill>
                                    </w14:textFill>
                                  </w:rPr>
                                  <w:t>报告</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 name="直接箭头连接符 5"/>
                          <wps:cNvCnPr>
                            <a:stCxn id="4" idx="3"/>
                            <a:endCxn id="5" idx="1"/>
                          </wps:cNvCnPr>
                          <wps:spPr>
                            <a:xfrm>
                              <a:off x="6914" y="4171"/>
                              <a:ext cx="1303"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0" name="直接箭头连接符 7"/>
                          <wps:cNvCnPr/>
                          <wps:spPr>
                            <a:xfrm>
                              <a:off x="9844" y="4170"/>
                              <a:ext cx="1303"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1" name="直接箭头连接符 8"/>
                          <wps:cNvCnPr>
                            <a:stCxn id="7" idx="2"/>
                            <a:endCxn id="15" idx="0"/>
                          </wps:cNvCnPr>
                          <wps:spPr>
                            <a:xfrm>
                              <a:off x="11960" y="4407"/>
                              <a:ext cx="0" cy="95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2" name="直接箭头连接符 9"/>
                          <wps:cNvCnPr>
                            <a:stCxn id="15" idx="1"/>
                            <a:endCxn id="17" idx="3"/>
                          </wps:cNvCnPr>
                          <wps:spPr>
                            <a:xfrm flipH="1">
                              <a:off x="9844" y="5596"/>
                              <a:ext cx="1303"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3" name="直接箭头连接符 10"/>
                          <wps:cNvCnPr>
                            <a:stCxn id="17" idx="1"/>
                            <a:endCxn id="16" idx="3"/>
                          </wps:cNvCnPr>
                          <wps:spPr>
                            <a:xfrm flipH="1">
                              <a:off x="6914" y="5596"/>
                              <a:ext cx="1303"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id="_x0000_s1026" o:spid="_x0000_s1026" o:spt="203" style="height:125.1pt;width:384.55pt;" coordsize="4883785,1588770" editas="canvas" o:gfxdata="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">
                <o:lock v:ext="edit" aspectratio="f"/>
                <v:shape id="_x0000_s1026" o:spid="_x0000_s1026" style="position:absolute;left:0;top:0;height:1588770;width:4883785;" filled="f" stroked="f" coordsize="21600,21600" o:gfxdata="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">
                  <v:fill on="f" focussize="0,0"/>
                  <v:stroke on="f"/>
                  <v:imagedata o:title=""/>
                  <o:lock v:ext="edit" aspectratio="f"/>
                </v:shape>
                <v:group id="组合 11" o:spid="_x0000_s1026" o:spt="203" style="position:absolute;left:179705;top:179705;height:1203960;width:4530090;" coordorigin="5638,3935" coordsize="7135,1897" o:gfxdata="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">
                  <o:lock v:ext="edit" aspectratio="f"/>
                  <v:roundrect id="文本框 3" o:spid="_x0000_s1026" o:spt="2" style="position:absolute;left:5639;top:3936;height:471;width:1275;" fillcolor="#FFFFFF [3201]" filled="t" stroked="t" coordsize="21600,21600" arcsize="0.166666666666667" o:gfxdata="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u2a5+/&#10;AAAA2wAAAA8AAAAAAAAAAQAgAAAAIgAAAGRycy9kb3ducmV2LnhtbFBLAQIUABQAAAAIAIdO4kAz&#10;LwWeOwAAADkAAAAQAAAAAAAAAAEAIAAAAA4BAABkcnMvc2hhcGV4bWwueG1sUEsFBgAAAAAGAAYA&#10;WwEAALgDA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开始</w:t>
                          </w:r>
                        </w:p>
                      </w:txbxContent>
                    </v:textbox>
                  </v:roundrect>
                  <v:roundrect id="文本框 7" o:spid="_x0000_s1026" o:spt="2" style="position:absolute;left:11147;top:3935;height:472;width:1627;" fillcolor="#FFFFFF [3201]" filled="t" stroked="t" coordsize="21600,21600" arcsize="0.166666666666667" o:gfxdata="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2T16L4A&#10;AADbAAAADwAAAAAAAAABACAAAAAiAAAAZHJzL2Rvd25yZXYueG1sUEsBAhQAFAAAAAgAh07iQDMv&#10;BZ47AAAAOQAAABAAAAAAAAAAAQAgAAAADQEAAGRycy9zaGFwZXhtbC54bWxQSwUGAAAAAAYABgBb&#10;AQAAtwM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确定评价方案</w:t>
                          </w:r>
                        </w:p>
                      </w:txbxContent>
                    </v:textbox>
                  </v:roundrect>
                  <v:roundrect id="文本框 5" o:spid="_x0000_s1026" o:spt="2" style="position:absolute;left:8217;top:3936;height:472;width:1627;" fillcolor="#FFFFFF [3201]" filled="t" stroked="t" coordsize="21600,21600" arcsize="0.166666666666667" o:gfxdata="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QoUHO/&#10;AAAA2wAAAA8AAAAAAAAAAQAgAAAAIgAAAGRycy9kb3ducmV2LnhtbFBLAQIUABQAAAAIAIdO4kAz&#10;LwWeOwAAADkAAAAQAAAAAAAAAAEAIAAAAA4BAABkcnMvc2hhcGV4bWwueG1sUEsFBgAAAAAGAAYA&#10;WwEAALgDA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成立专家评价组</w:t>
                          </w:r>
                        </w:p>
                      </w:txbxContent>
                    </v:textbox>
                  </v:roundrect>
                  <v:roundrect id="文本框 15" o:spid="_x0000_s1026" o:spt="2" style="position:absolute;left:11147;top:5360;height:472;width:1627;" fillcolor="#FFFFFF [3201]" filled="t" stroked="t" coordsize="21600,21600" arcsize="0.166666666666667" o:gfxdata="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W3xAG5AAAA2wAA&#10;AA8AAAAAAAAAAQAgAAAAIgAAAGRycy9kb3ducmV2LnhtbFBLAQIUABQAAAAIAIdO4kAzLwWeOwAA&#10;ADkAAAAQAAAAAAAAAAEAIAAAAAgBAABkcnMvc2hhcGV4bWwueG1sUEsFBgAAAAAGAAYAWwEAALID&#10;AAAAAA==&#10;">
                    <v:fill on="t" focussize="0,0"/>
                    <v:stroke weight="0.5pt" color="#000000 [3204]" joinstyle="round"/>
                    <v:imagedata o:title=""/>
                    <o:lock v:ext="edit" aspectratio="f"/>
                    <v:textbox>
                      <w:txbxContent>
                        <w:p>
                          <w:pPr>
                            <w:pStyle w:val="19"/>
                            <w:kinsoku/>
                            <w:ind w:left="0"/>
                            <w:jc w:val="center"/>
                          </w:pPr>
                          <w:r>
                            <w:rPr>
                              <w:rFonts w:hint="eastAsia" w:ascii="宋体" w:hAnsi="宋体" w:eastAsia="宋体"/>
                              <w:color w:val="000000" w:themeColor="dark1"/>
                              <w:kern w:val="2"/>
                              <w:sz w:val="18"/>
                              <w:szCs w:val="18"/>
                              <w:lang w:eastAsia="zh-CN"/>
                              <w14:textFill>
                                <w14:solidFill>
                                  <w14:schemeClr w14:val="dk1"/>
                                </w14:solidFill>
                              </w14:textFill>
                            </w:rPr>
                            <w:t>实施</w:t>
                          </w:r>
                          <w:r>
                            <w:rPr>
                              <w:rFonts w:ascii="宋体" w:hAnsi="宋体" w:eastAsia="宋体"/>
                              <w:color w:val="000000" w:themeColor="dark1"/>
                              <w:kern w:val="2"/>
                              <w:sz w:val="18"/>
                              <w:szCs w:val="18"/>
                              <w14:textFill>
                                <w14:solidFill>
                                  <w14:schemeClr w14:val="dk1"/>
                                </w14:solidFill>
                              </w14:textFill>
                            </w:rPr>
                            <w:t>评价</w:t>
                          </w:r>
                        </w:p>
                      </w:txbxContent>
                    </v:textbox>
                  </v:roundrect>
                  <v:roundrect id="文本框 16" o:spid="_x0000_s1026" o:spt="2" style="position:absolute;left:5638;top:5360;height:472;width:1276;" fillcolor="#FFFFFF [3201]" filled="t" stroked="t" coordsize="21600,21600" arcsize="0.166666666666667" o:gfxdata="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Hxxq68AAAA&#10;2w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结束</w:t>
                          </w:r>
                        </w:p>
                      </w:txbxContent>
                    </v:textbox>
                  </v:roundrect>
                  <v:roundrect id="文本框 17" o:spid="_x0000_s1026" o:spt="2" style="position:absolute;left:8217;top:5361;height:471;width:1627;" fillcolor="#FFFFFF [3201]" filled="t" stroked="t" coordsize="21600,21600" arcsize="0.166666666666667" o:gfxdata="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G5S3LgAAADbAAAA&#10;DwAAAAAAAAABACAAAAAiAAAAZHJzL2Rvd25yZXYueG1sUEsBAhQAFAAAAAgAh07iQDMvBZ47AAAA&#10;OQAAABAAAAAAAAAAAQAgAAAABwEAAGRycy9zaGFwZXhtbC54bWxQSwUGAAAAAAYABgBbAQAAsQMA&#10;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出具</w:t>
                          </w:r>
                          <w:r>
                            <w:rPr>
                              <w:rFonts w:hint="eastAsia" w:ascii="宋体" w:hAnsi="宋体" w:eastAsia="宋体"/>
                              <w:color w:val="000000" w:themeColor="dark1"/>
                              <w:kern w:val="2"/>
                              <w:sz w:val="18"/>
                              <w:szCs w:val="18"/>
                              <w:lang w:eastAsia="zh-CN"/>
                              <w14:textFill>
                                <w14:solidFill>
                                  <w14:schemeClr w14:val="dk1"/>
                                </w14:solidFill>
                              </w14:textFill>
                            </w:rPr>
                            <w:t>评价</w:t>
                          </w:r>
                          <w:r>
                            <w:rPr>
                              <w:rFonts w:ascii="宋体" w:hAnsi="宋体" w:eastAsia="宋体"/>
                              <w:color w:val="000000" w:themeColor="dark1"/>
                              <w:kern w:val="2"/>
                              <w:sz w:val="18"/>
                              <w:szCs w:val="18"/>
                              <w14:textFill>
                                <w14:solidFill>
                                  <w14:schemeClr w14:val="dk1"/>
                                </w14:solidFill>
                              </w14:textFill>
                            </w:rPr>
                            <w:t>报告</w:t>
                          </w:r>
                        </w:p>
                      </w:txbxContent>
                    </v:textbox>
                  </v:roundrect>
                  <v:shape id="直接箭头连接符 5" o:spid="_x0000_s1026" o:spt="32" type="#_x0000_t32" style="position:absolute;left:6914;top:4171;height:1;width:1303;" filled="f" stroked="t" coordsize="21600,21600" o:gfxdata="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gMYD7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shape id="直接箭头连接符 7" o:spid="_x0000_s1026" o:spt="32" type="#_x0000_t32" style="position:absolute;left:9844;top:4170;height:1;width:1303;" filled="f" stroked="t" coordsize="21600,21600" o:gfxdata="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DP8LvtwAAANsAAAAP&#10;AAAAAAAAAAEAIAAAACIAAABkcnMvZG93bnJldi54bWxQSwECFAAUAAAACACHTuJAMy8FnjsAAAA5&#10;AAAAEAAAAAAAAAABACAAAAAGAQAAZHJzL3NoYXBleG1sLnhtbFBLBQYAAAAABgAGAFsBAACwAwAA&#10;AAA=&#10;">
                    <v:fill on="f" focussize="0,0"/>
                    <v:stroke weight="0.5pt" color="#000000 [3213]" miterlimit="8" joinstyle="miter" endarrow="open"/>
                    <v:imagedata o:title=""/>
                    <o:lock v:ext="edit" aspectratio="f"/>
                  </v:shape>
                  <v:shape id="直接箭头连接符 8" o:spid="_x0000_s1026" o:spt="32" type="#_x0000_t32" style="position:absolute;left:11960;top:4407;height:953;width:0;" filled="f" stroked="t" coordsize="21600,21600" o:gfxdata="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zZ3S8AAAA&#10;2wAAAA8AAAAAAAAAAQAgAAAAIgAAAGRycy9kb3ducmV2LnhtbFBLAQIUABQAAAAIAIdO4kAzLwWe&#10;OwAAADkAAAAQAAAAAAAAAAEAIAAAAAsBAABkcnMvc2hhcGV4bWwueG1sUEsFBgAAAAAGAAYAWwEA&#10;ALUDAAAAAA==&#10;">
                    <v:fill on="f" focussize="0,0"/>
                    <v:stroke weight="0.5pt" color="#000000 [3213]" miterlimit="8" joinstyle="miter" endarrow="open"/>
                    <v:imagedata o:title=""/>
                    <o:lock v:ext="edit" aspectratio="f"/>
                  </v:shape>
                  <v:shape id="直接箭头连接符 9" o:spid="_x0000_s1026" o:spt="32" type="#_x0000_t32" style="position:absolute;left:9844;top:5596;flip:x;height:0;width:1303;" filled="f" stroked="t" coordsize="21600,21600" o:gfxdata="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PojhvQAA&#10;ANsAAAAPAAAAAAAAAAEAIAAAACIAAABkcnMvZG93bnJldi54bWxQSwECFAAUAAAACACHTuJAMy8F&#10;njsAAAA5AAAAEAAAAAAAAAABACAAAAAMAQAAZHJzL3NoYXBleG1sLnhtbFBLBQYAAAAABgAGAFsB&#10;AAC2AwAAAAA=&#10;">
                    <v:fill on="f" focussize="0,0"/>
                    <v:stroke weight="0.5pt" color="#000000 [3213]" miterlimit="8" joinstyle="miter" endarrow="open"/>
                    <v:imagedata o:title=""/>
                    <o:lock v:ext="edit" aspectratio="f"/>
                  </v:shape>
                  <v:shape id="直接箭头连接符 10" o:spid="_x0000_s1026" o:spt="32" type="#_x0000_t32" style="position:absolute;left:6914;top:5596;flip:x;height:0;width:1303;" filled="f" stroked="t" coordsize="21600,21600" o:gfxdata="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JyLXq/&#10;AAAA2wAAAA8AAAAAAAAAAQAgAAAAIgAAAGRycy9kb3ducmV2LnhtbFBLAQIUABQAAAAIAIdO4kAz&#10;LwWeOwAAADkAAAAQAAAAAAAAAAEAIAAAAA4BAABkcnMvc2hhcGV4bWwueG1sUEsFBgAAAAAGAAYA&#10;WwEAALgDAAAAAA==&#10;">
                    <v:fill on="f" focussize="0,0"/>
                    <v:stroke weight="0.5pt" color="#000000 [3213]" miterlimit="8" joinstyle="miter" endarrow="open"/>
                    <v:imagedata o:title=""/>
                    <o:lock v:ext="edit" aspectratio="f"/>
                  </v:shape>
                </v:group>
                <w10:wrap type="none"/>
                <w10:anchorlock/>
              </v:group>
            </w:pict>
          </mc:Fallback>
        </mc:AlternateContent>
      </w:r>
    </w:p>
    <w:p>
      <w:pPr>
        <w:pStyle w:val="115"/>
        <w:bidi w:val="0"/>
        <w:rPr>
          <w:rFonts w:hint="default"/>
          <w:lang w:val="en-US" w:eastAsia="zh-CN"/>
        </w:rPr>
      </w:pPr>
      <w:r>
        <w:rPr>
          <w:rFonts w:hint="eastAsia"/>
          <w:lang w:val="en-US" w:eastAsia="zh-CN"/>
        </w:rPr>
        <w:t>健康体检质控评价流程图</w:t>
      </w:r>
    </w:p>
    <w:p>
      <w:pPr>
        <w:pStyle w:val="74"/>
        <w:bidi w:val="0"/>
        <w:rPr>
          <w:rFonts w:hint="default"/>
          <w:lang w:val="en-US" w:eastAsia="zh-CN"/>
        </w:rPr>
      </w:pPr>
      <w:r>
        <w:rPr>
          <w:rFonts w:hint="eastAsia"/>
          <w:lang w:val="en-US" w:eastAsia="zh-CN"/>
        </w:rPr>
        <w:t>委托评价机构评价流程</w:t>
      </w:r>
    </w:p>
    <w:p>
      <w:pPr>
        <w:pStyle w:val="25"/>
        <w:rPr>
          <w:rFonts w:hint="eastAsia"/>
          <w:lang w:val="en-US" w:eastAsia="zh-CN"/>
        </w:rPr>
      </w:pPr>
      <w:r>
        <w:rPr>
          <w:rFonts w:hint="eastAsia"/>
          <w:lang w:val="en-US" w:eastAsia="zh-CN"/>
        </w:rPr>
        <w:t>医疗体检机构委托评价机构进行健康体检质控评价应按图2所示的流程进行。</w:t>
      </w:r>
    </w:p>
    <w:p>
      <w:pPr>
        <w:pStyle w:val="25"/>
        <w:ind w:left="0" w:leftChars="0" w:firstLine="0" w:firstLineChars="0"/>
        <w:jc w:val="center"/>
        <w:rPr>
          <w:rFonts w:hint="default"/>
          <w:lang w:val="en-US" w:eastAsia="zh-CN"/>
        </w:rPr>
      </w:pPr>
      <w:r>
        <w:rPr>
          <w:sz w:val="21"/>
        </w:rPr>
        <mc:AlternateContent>
          <mc:Choice Requires="wpc">
            <w:drawing>
              <wp:inline distT="0" distB="0" distL="114300" distR="114300">
                <wp:extent cx="5201285" cy="1564640"/>
                <wp:effectExtent l="0" t="0" r="0" b="0"/>
                <wp:docPr id="44" name="画布 44"/>
                <wp:cNvGraphicFramePr/>
                <a:graphic xmlns:a="http://schemas.openxmlformats.org/drawingml/2006/main">
                  <a:graphicData uri="http://schemas.microsoft.com/office/word/2010/wordprocessingCanvas">
                    <wpc:wpc>
                      <wpc:bg/>
                      <wpc:whole/>
                      <wpg:wgp>
                        <wpg:cNvPr id="45" name="组合 23"/>
                        <wpg:cNvGrpSpPr/>
                        <wpg:grpSpPr>
                          <a:xfrm>
                            <a:off x="179705" y="179705"/>
                            <a:ext cx="4822190" cy="1203960"/>
                            <a:chOff x="5638" y="3935"/>
                            <a:chExt cx="7595" cy="1897"/>
                          </a:xfrm>
                        </wpg:grpSpPr>
                        <wps:wsp>
                          <wps:cNvPr id="29" name="文本框 3"/>
                          <wps:cNvSpPr txBox="1"/>
                          <wps:spPr>
                            <a:xfrm>
                              <a:off x="5639" y="3935"/>
                              <a:ext cx="1275" cy="471"/>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开始</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7"/>
                          <wps:cNvSpPr txBox="1"/>
                          <wps:spPr>
                            <a:xfrm>
                              <a:off x="11607" y="3935"/>
                              <a:ext cx="1627" cy="472"/>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确定评价方案</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5"/>
                          <wps:cNvSpPr txBox="1"/>
                          <wps:spPr>
                            <a:xfrm>
                              <a:off x="9383" y="3935"/>
                              <a:ext cx="1627" cy="472"/>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成立专家评价组</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15"/>
                          <wps:cNvSpPr txBox="1"/>
                          <wps:spPr>
                            <a:xfrm>
                              <a:off x="11607" y="5360"/>
                              <a:ext cx="1627" cy="472"/>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rPr>
                                    <w:rFonts w:hint="eastAsia" w:eastAsia="宋体"/>
                                    <w:lang w:eastAsia="zh-CN"/>
                                  </w:rPr>
                                </w:pPr>
                                <w:r>
                                  <w:rPr>
                                    <w:rFonts w:hint="eastAsia" w:ascii="宋体" w:hAnsi="宋体" w:eastAsia="宋体"/>
                                    <w:color w:val="000000" w:themeColor="dark1"/>
                                    <w:kern w:val="2"/>
                                    <w:sz w:val="18"/>
                                    <w:szCs w:val="18"/>
                                    <w:lang w:eastAsia="zh-CN"/>
                                    <w14:textFill>
                                      <w14:solidFill>
                                        <w14:schemeClr w14:val="dk1"/>
                                      </w14:solidFill>
                                    </w14:textFill>
                                  </w:rPr>
                                  <w:t>实施评价</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16"/>
                          <wps:cNvSpPr txBox="1"/>
                          <wps:spPr>
                            <a:xfrm>
                              <a:off x="5638" y="5360"/>
                              <a:ext cx="1276" cy="472"/>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结束</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7"/>
                          <wps:cNvSpPr txBox="1"/>
                          <wps:spPr>
                            <a:xfrm>
                              <a:off x="9383" y="5360"/>
                              <a:ext cx="1627" cy="471"/>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出具</w:t>
                                </w:r>
                                <w:r>
                                  <w:rPr>
                                    <w:rFonts w:hint="eastAsia" w:ascii="宋体" w:hAnsi="宋体" w:eastAsia="宋体"/>
                                    <w:color w:val="000000" w:themeColor="dark1"/>
                                    <w:kern w:val="2"/>
                                    <w:sz w:val="18"/>
                                    <w:szCs w:val="18"/>
                                    <w:lang w:eastAsia="zh-CN"/>
                                    <w14:textFill>
                                      <w14:solidFill>
                                        <w14:schemeClr w14:val="dk1"/>
                                      </w14:solidFill>
                                    </w14:textFill>
                                  </w:rPr>
                                  <w:t>评价</w:t>
                                </w:r>
                                <w:r>
                                  <w:rPr>
                                    <w:rFonts w:ascii="宋体" w:hAnsi="宋体" w:eastAsia="宋体"/>
                                    <w:color w:val="000000" w:themeColor="dark1"/>
                                    <w:kern w:val="2"/>
                                    <w:sz w:val="18"/>
                                    <w:szCs w:val="18"/>
                                    <w14:textFill>
                                      <w14:solidFill>
                                        <w14:schemeClr w14:val="dk1"/>
                                      </w14:solidFill>
                                    </w14:textFill>
                                  </w:rPr>
                                  <w:t>报告</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直接箭头连接符 8"/>
                          <wps:cNvCnPr>
                            <a:stCxn id="7" idx="2"/>
                            <a:endCxn id="15" idx="0"/>
                          </wps:cNvCnPr>
                          <wps:spPr>
                            <a:xfrm>
                              <a:off x="12421" y="4407"/>
                              <a:ext cx="0" cy="95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3" name="文本框 12"/>
                          <wps:cNvSpPr txBox="1"/>
                          <wps:spPr>
                            <a:xfrm>
                              <a:off x="7511" y="5361"/>
                              <a:ext cx="1275" cy="471"/>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异议处理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7511" y="3936"/>
                              <a:ext cx="1275" cy="471"/>
                            </a:xfrm>
                            <a:prstGeom prst="round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接受委托</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直接箭头连接符 17"/>
                          <wps:cNvCnPr>
                            <a:stCxn id="4" idx="3"/>
                            <a:endCxn id="14" idx="1"/>
                          </wps:cNvCnPr>
                          <wps:spPr>
                            <a:xfrm>
                              <a:off x="6914" y="4171"/>
                              <a:ext cx="597"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9" name="直接箭头连接符 18"/>
                          <wps:cNvCnPr>
                            <a:stCxn id="14" idx="3"/>
                            <a:endCxn id="5" idx="1"/>
                          </wps:cNvCnPr>
                          <wps:spPr>
                            <a:xfrm flipV="1">
                              <a:off x="8786" y="4171"/>
                              <a:ext cx="597"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0" name="直接箭头连接符 19"/>
                          <wps:cNvCnPr>
                            <a:stCxn id="5" idx="3"/>
                            <a:endCxn id="7" idx="1"/>
                          </wps:cNvCnPr>
                          <wps:spPr>
                            <a:xfrm>
                              <a:off x="11010" y="4171"/>
                              <a:ext cx="597"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1" name="直接箭头连接符 20"/>
                          <wps:cNvCnPr>
                            <a:stCxn id="15" idx="1"/>
                            <a:endCxn id="17" idx="3"/>
                          </wps:cNvCnPr>
                          <wps:spPr>
                            <a:xfrm flipH="1">
                              <a:off x="11010" y="5596"/>
                              <a:ext cx="597"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2" name="直接箭头连接符 21"/>
                          <wps:cNvCnPr>
                            <a:stCxn id="17" idx="1"/>
                            <a:endCxn id="13" idx="3"/>
                          </wps:cNvCnPr>
                          <wps:spPr>
                            <a:xfrm flipH="1">
                              <a:off x="8786" y="5596"/>
                              <a:ext cx="597"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2"/>
                          <wps:cNvCnPr>
                            <a:stCxn id="13" idx="1"/>
                            <a:endCxn id="16" idx="3"/>
                          </wps:cNvCnPr>
                          <wps:spPr>
                            <a:xfrm flipH="1" flipV="1">
                              <a:off x="6914" y="5596"/>
                              <a:ext cx="597" cy="1"/>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id="_x0000_s1026" o:spid="_x0000_s1026" o:spt="203" style="height:123.2pt;width:409.55pt;" coordsize="5201285,1564640" editas="canvas" o:gfxdata="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">
                <o:lock v:ext="edit" aspectratio="f"/>
                <v:shape id="_x0000_s1026" o:spid="_x0000_s1026" style="position:absolute;left:0;top:0;height:1564640;width:5201285;" filled="f" stroked="f" coordsize="21600,21600" o:gfxdata="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">
                  <v:fill on="f" focussize="0,0"/>
                  <v:stroke on="f"/>
                  <v:imagedata o:title=""/>
                  <o:lock v:ext="edit" aspectratio="f"/>
                </v:shape>
                <v:group id="组合 23" o:spid="_x0000_s1026" o:spt="203" style="position:absolute;left:179705;top:179705;height:1203960;width:4822190;" coordorigin="5638,3935" coordsize="7595,1897" o:gfxdata="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">
                  <o:lock v:ext="edit" aspectratio="f"/>
                  <v:roundrect id="文本框 3" o:spid="_x0000_s1026" o:spt="2" style="position:absolute;left:5639;top:3935;height:471;width:1275;" fillcolor="#FFFFFF [3201]" filled="t" stroked="t" coordsize="21600,21600" arcsize="0.166666666666667" o:gfxdata="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7YZq/&#10;AAAA2wAAAA8AAAAAAAAAAQAgAAAAIgAAAGRycy9kb3ducmV2LnhtbFBLAQIUABQAAAAIAIdO4kAz&#10;LwWeOwAAADkAAAAQAAAAAAAAAAEAIAAAAA4BAABkcnMvc2hhcGV4bWwueG1sUEsFBgAAAAAGAAYA&#10;WwEAALgDA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开始</w:t>
                          </w:r>
                        </w:p>
                      </w:txbxContent>
                    </v:textbox>
                  </v:roundrect>
                  <v:roundrect id="文本框 7" o:spid="_x0000_s1026" o:spt="2" style="position:absolute;left:11607;top:3935;height:472;width:1627;" fillcolor="#FFFFFF [3201]" filled="t" stroked="t" coordsize="21600,21600" arcsize="0.166666666666667" o:gfxdata="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hhe2rgAAADbAAAA&#10;DwAAAAAAAAABACAAAAAiAAAAZHJzL2Rvd25yZXYueG1sUEsBAhQAFAAAAAgAh07iQDMvBZ47AAAA&#10;OQAAABAAAAAAAAAAAQAgAAAABwEAAGRycy9zaGFwZXhtbC54bWxQSwUGAAAAAAYABgBbAQAAsQMA&#10;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确定评价方案</w:t>
                          </w:r>
                        </w:p>
                      </w:txbxContent>
                    </v:textbox>
                  </v:roundrect>
                  <v:roundrect id="文本框 5" o:spid="_x0000_s1026" o:spt="2" style="position:absolute;left:9383;top:3935;height:472;width:1627;" fillcolor="#FFFFFF [3201]" filled="t" stroked="t" coordsize="21600,21600" arcsize="0.166666666666667" o:gfxdata="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FU+0G/&#10;AAAA2wAAAA8AAAAAAAAAAQAgAAAAIgAAAGRycy9kb3ducmV2LnhtbFBLAQIUABQAAAAIAIdO4kAz&#10;LwWeOwAAADkAAAAQAAAAAAAAAAEAIAAAAA4BAABkcnMvc2hhcGV4bWwueG1sUEsFBgAAAAAGAAYA&#10;WwEAALgDA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成立专家评价组</w:t>
                          </w:r>
                        </w:p>
                      </w:txbxContent>
                    </v:textbox>
                  </v:roundrect>
                  <v:roundrect id="文本框 15" o:spid="_x0000_s1026" o:spt="2" style="position:absolute;left:11607;top:5360;height:472;width:1627;" fillcolor="#FFFFFF [3201]" filled="t" stroked="t" coordsize="21600,21600" arcsize="0.166666666666667" o:gfxdata="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GZTa8AAAA&#10;2w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w:txbxContent>
                        <w:p>
                          <w:pPr>
                            <w:pStyle w:val="19"/>
                            <w:kinsoku/>
                            <w:ind w:left="0"/>
                            <w:jc w:val="center"/>
                            <w:rPr>
                              <w:rFonts w:hint="eastAsia" w:eastAsia="宋体"/>
                              <w:lang w:eastAsia="zh-CN"/>
                            </w:rPr>
                          </w:pPr>
                          <w:r>
                            <w:rPr>
                              <w:rFonts w:hint="eastAsia" w:ascii="宋体" w:hAnsi="宋体" w:eastAsia="宋体"/>
                              <w:color w:val="000000" w:themeColor="dark1"/>
                              <w:kern w:val="2"/>
                              <w:sz w:val="18"/>
                              <w:szCs w:val="18"/>
                              <w:lang w:eastAsia="zh-CN"/>
                              <w14:textFill>
                                <w14:solidFill>
                                  <w14:schemeClr w14:val="dk1"/>
                                </w14:solidFill>
                              </w14:textFill>
                            </w:rPr>
                            <w:t>实施评价</w:t>
                          </w:r>
                        </w:p>
                      </w:txbxContent>
                    </v:textbox>
                  </v:roundrect>
                  <v:roundrect id="文本框 16" o:spid="_x0000_s1026" o:spt="2" style="position:absolute;left:5638;top:5360;height:472;width:1276;" fillcolor="#FFFFFF [3201]" filled="t" stroked="t" coordsize="21600,21600" arcsize="0.166666666666667" o:gfxdata="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KwK28AAAA&#10;2w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结束</w:t>
                          </w:r>
                        </w:p>
                      </w:txbxContent>
                    </v:textbox>
                  </v:roundrect>
                  <v:roundrect id="文本框 17" o:spid="_x0000_s1026" o:spt="2" style="position:absolute;left:9383;top:5360;height:471;width:1627;" fillcolor="#FFFFFF [3201]" filled="t" stroked="t" coordsize="21600,21600" arcsize="0.166666666666667" o:gfxdata="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I1jZvQAA&#10;ANsAAAAPAAAAAAAAAAEAIAAAACIAAABkcnMvZG93bnJldi54bWxQSwECFAAUAAAACACHTuJAMy8F&#10;njsAAAA5AAAAEAAAAAAAAAABACAAAAAMAQAAZHJzL3NoYXBleG1sLnhtbFBLBQYAAAAABgAGAFsB&#10;AAC2Aw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出具</w:t>
                          </w:r>
                          <w:r>
                            <w:rPr>
                              <w:rFonts w:hint="eastAsia" w:ascii="宋体" w:hAnsi="宋体" w:eastAsia="宋体"/>
                              <w:color w:val="000000" w:themeColor="dark1"/>
                              <w:kern w:val="2"/>
                              <w:sz w:val="18"/>
                              <w:szCs w:val="18"/>
                              <w:lang w:eastAsia="zh-CN"/>
                              <w14:textFill>
                                <w14:solidFill>
                                  <w14:schemeClr w14:val="dk1"/>
                                </w14:solidFill>
                              </w14:textFill>
                            </w:rPr>
                            <w:t>评价</w:t>
                          </w:r>
                          <w:r>
                            <w:rPr>
                              <w:rFonts w:ascii="宋体" w:hAnsi="宋体" w:eastAsia="宋体"/>
                              <w:color w:val="000000" w:themeColor="dark1"/>
                              <w:kern w:val="2"/>
                              <w:sz w:val="18"/>
                              <w:szCs w:val="18"/>
                              <w14:textFill>
                                <w14:solidFill>
                                  <w14:schemeClr w14:val="dk1"/>
                                </w14:solidFill>
                              </w14:textFill>
                            </w:rPr>
                            <w:t>报告</w:t>
                          </w:r>
                        </w:p>
                      </w:txbxContent>
                    </v:textbox>
                  </v:roundrect>
                  <v:shape id="直接箭头连接符 8" o:spid="_x0000_s1026" o:spt="32" type="#_x0000_t32" style="position:absolute;left:12421;top:4407;height:953;width:0;" filled="f" stroked="t" coordsize="21600,21600" o:gfxdata="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04SCr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roundrect id="文本框 12" o:spid="_x0000_s1026" o:spt="2" style="position:absolute;left:7511;top:5361;height:471;width:1275;" fillcolor="#FFFFFF [3201]" filled="t" stroked="t" coordsize="21600,21600" arcsize="0.166666666666667" o:gfxdata="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V/nM28AAAA&#10;2w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异议处理</w:t>
                          </w:r>
                        </w:p>
                      </w:txbxContent>
                    </v:textbox>
                  </v:roundrect>
                  <v:roundrect id="文本框 13" o:spid="_x0000_s1026" o:spt="2" style="position:absolute;left:7511;top:3936;height:471;width:1275;" fillcolor="#FFFFFF [3201]" filled="t" stroked="t" coordsize="21600,21600" arcsize="0.166666666666667" o:gfxdata="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69YzW8AAAA&#10;2w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w:txbxContent>
                        <w:p>
                          <w:pPr>
                            <w:pStyle w:val="19"/>
                            <w:kinsoku/>
                            <w:ind w:left="0"/>
                            <w:jc w:val="center"/>
                          </w:pPr>
                          <w:r>
                            <w:rPr>
                              <w:rFonts w:ascii="宋体" w:hAnsi="宋体" w:eastAsia="宋体"/>
                              <w:color w:val="000000" w:themeColor="dark1"/>
                              <w:kern w:val="2"/>
                              <w:sz w:val="18"/>
                              <w:szCs w:val="18"/>
                              <w14:textFill>
                                <w14:solidFill>
                                  <w14:schemeClr w14:val="dk1"/>
                                </w14:solidFill>
                              </w14:textFill>
                            </w:rPr>
                            <w:t>接受委托</w:t>
                          </w:r>
                        </w:p>
                      </w:txbxContent>
                    </v:textbox>
                  </v:roundrect>
                  <v:shape id="直接箭头连接符 17" o:spid="_x0000_s1026" o:spt="32" type="#_x0000_t32" style="position:absolute;left:6914;top:4171;height:1;width:597;" filled="f" stroked="t" coordsize="21600,21600" o:gfxdata="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vrh9L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shape id="直接箭头连接符 18" o:spid="_x0000_s1026" o:spt="32" type="#_x0000_t32" style="position:absolute;left:8786;top:4171;flip:y;height:1;width:597;" filled="f" stroked="t" coordsize="21600,21600" o:gfxdata="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pNY28AAAA&#10;2wAAAA8AAAAAAAAAAQAgAAAAIgAAAGRycy9kb3ducmV2LnhtbFBLAQIUABQAAAAIAIdO4kAzLwWe&#10;OwAAADkAAAAQAAAAAAAAAAEAIAAAAAsBAABkcnMvc2hhcGV4bWwueG1sUEsFBgAAAAAGAAYAWwEA&#10;ALUDAAAAAA==&#10;">
                    <v:fill on="f" focussize="0,0"/>
                    <v:stroke weight="0.5pt" color="#000000 [3213]" miterlimit="8" joinstyle="miter" endarrow="open"/>
                    <v:imagedata o:title=""/>
                    <o:lock v:ext="edit" aspectratio="f"/>
                  </v:shape>
                  <v:shape id="直接箭头连接符 19" o:spid="_x0000_s1026" o:spt="32" type="#_x0000_t32" style="position:absolute;left:11010;top:4171;height:0;width:597;" filled="f" stroked="t" coordsize="21600,21600" o:gfxdata="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e4CdPtwAAANsAAAAP&#10;AAAAAAAAAAEAIAAAACIAAABkcnMvZG93bnJldi54bWxQSwECFAAUAAAACACHTuJAMy8FnjsAAAA5&#10;AAAAEAAAAAAAAAABACAAAAAGAQAAZHJzL3NoYXBleG1sLnhtbFBLBQYAAAAABgAGAFsBAACwAwAA&#10;AAA=&#10;">
                    <v:fill on="f" focussize="0,0"/>
                    <v:stroke weight="0.5pt" color="#000000 [3213]" miterlimit="8" joinstyle="miter" endarrow="open"/>
                    <v:imagedata o:title=""/>
                    <o:lock v:ext="edit" aspectratio="f"/>
                  </v:shape>
                  <v:shape id="直接箭头连接符 20" o:spid="_x0000_s1026" o:spt="32" type="#_x0000_t32" style="position:absolute;left:11010;top:5596;flip:x;height:0;width:597;" filled="f" stroked="t" coordsize="21600,21600" o:gfxdata="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DPzNr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shape id="直接箭头连接符 21" o:spid="_x0000_s1026" o:spt="32" type="#_x0000_t32" style="position:absolute;left:8786;top:5596;flip:x;height:1;width:597;" filled="f" stroked="t" coordsize="21600,21600" o:gfxdata="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OFtQb4A&#10;AADbAAAADwAAAAAAAAABACAAAAAiAAAAZHJzL2Rvd25yZXYueG1sUEsBAhQAFAAAAAgAh07iQDMv&#10;BZ47AAAAOQAAABAAAAAAAAAAAQAgAAAADQEAAGRycy9zaGFwZXhtbC54bWxQSwUGAAAAAAYABgBb&#10;AQAAtwMAAAAA&#10;">
                    <v:fill on="f" focussize="0,0"/>
                    <v:stroke weight="0.5pt" color="#000000 [3213]" miterlimit="8" joinstyle="miter" endarrow="open"/>
                    <v:imagedata o:title=""/>
                    <o:lock v:ext="edit" aspectratio="f"/>
                  </v:shape>
                  <v:shape id="直接箭头连接符 22" o:spid="_x0000_s1026" o:spt="32" type="#_x0000_t32" style="position:absolute;left:6914;top:5596;flip:x y;height:1;width:597;" filled="f" stroked="t" coordsize="21600,21600" o:gfxdata="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6y6W+8AAAA&#10;2wAAAA8AAAAAAAAAAQAgAAAAIgAAAGRycy9kb3ducmV2LnhtbFBLAQIUABQAAAAIAIdO4kAzLwWe&#10;OwAAADkAAAAQAAAAAAAAAAEAIAAAAAsBAABkcnMvc2hhcGV4bWwueG1sUEsFBgAAAAAGAAYAWwEA&#10;ALUDAAAAAA==&#10;">
                    <v:fill on="f" focussize="0,0"/>
                    <v:stroke weight="0.5pt" color="#000000 [3213]" miterlimit="8" joinstyle="miter" endarrow="open"/>
                    <v:imagedata o:title=""/>
                    <o:lock v:ext="edit" aspectratio="f"/>
                  </v:shape>
                </v:group>
                <w10:wrap type="none"/>
                <w10:anchorlock/>
              </v:group>
            </w:pict>
          </mc:Fallback>
        </mc:AlternateContent>
      </w:r>
    </w:p>
    <w:p>
      <w:pPr>
        <w:pStyle w:val="115"/>
        <w:bidi w:val="0"/>
        <w:jc w:val="center"/>
        <w:rPr>
          <w:rFonts w:hint="default"/>
          <w:lang w:val="en-US" w:eastAsia="zh-CN"/>
        </w:rPr>
      </w:pPr>
      <w:r>
        <w:rPr>
          <w:rFonts w:hint="eastAsia"/>
          <w:lang w:val="en-US" w:eastAsia="zh-CN"/>
        </w:rPr>
        <w:t>健康体检质控评价流程图</w:t>
      </w:r>
    </w:p>
    <w:p>
      <w:pPr>
        <w:pStyle w:val="73"/>
        <w:bidi w:val="0"/>
        <w:rPr>
          <w:rFonts w:hint="default"/>
          <w:lang w:val="en-US" w:eastAsia="zh-CN"/>
        </w:rPr>
      </w:pPr>
      <w:r>
        <w:rPr>
          <w:rFonts w:hint="eastAsia"/>
          <w:lang w:val="en-US" w:eastAsia="zh-CN"/>
        </w:rPr>
        <w:t>接受委托</w:t>
      </w:r>
    </w:p>
    <w:p>
      <w:pPr>
        <w:pStyle w:val="79"/>
        <w:bidi w:val="0"/>
        <w:spacing w:before="0" w:beforeLines="0" w:after="0" w:afterLines="0"/>
        <w:rPr>
          <w:rFonts w:hint="eastAsia"/>
          <w:lang w:val="en-US" w:eastAsia="zh-CN"/>
        </w:rPr>
      </w:pPr>
      <w:r>
        <w:rPr>
          <w:rFonts w:hint="eastAsia"/>
          <w:lang w:val="en-US" w:eastAsia="zh-CN"/>
        </w:rPr>
        <w:t>医疗体检机构按评价机构的要求，以书面和电子形式提交材料。</w:t>
      </w:r>
    </w:p>
    <w:p>
      <w:pPr>
        <w:pStyle w:val="79"/>
        <w:bidi w:val="0"/>
        <w:spacing w:before="0" w:beforeLines="0" w:after="0" w:afterLines="0"/>
        <w:rPr>
          <w:rFonts w:hint="eastAsia"/>
          <w:lang w:val="en-US" w:eastAsia="zh-CN"/>
        </w:rPr>
      </w:pPr>
      <w:r>
        <w:rPr>
          <w:rFonts w:hint="eastAsia"/>
          <w:lang w:val="en-US" w:eastAsia="zh-CN"/>
        </w:rPr>
        <w:t>评价机构收到委托方提交的材料后做出回复，主要包括材料是否完整和需要补充材料的清单。</w:t>
      </w:r>
    </w:p>
    <w:p>
      <w:pPr>
        <w:pStyle w:val="79"/>
        <w:bidi w:val="0"/>
        <w:spacing w:before="0" w:beforeLines="0" w:after="0" w:afterLines="0"/>
        <w:rPr>
          <w:rFonts w:hint="default"/>
          <w:lang w:val="en-US" w:eastAsia="zh-CN"/>
        </w:rPr>
      </w:pPr>
      <w:r>
        <w:rPr>
          <w:rFonts w:hint="eastAsia"/>
          <w:lang w:val="en-US" w:eastAsia="zh-CN"/>
        </w:rPr>
        <w:t>评价机构根据委托方的需求，确定评价活动的目的、范围和内容等，双方协商一致后，开展评价工作。</w:t>
      </w:r>
    </w:p>
    <w:p>
      <w:pPr>
        <w:pStyle w:val="73"/>
        <w:bidi w:val="0"/>
        <w:rPr>
          <w:rFonts w:hint="default"/>
          <w:lang w:val="en-US" w:eastAsia="zh-CN"/>
        </w:rPr>
      </w:pPr>
      <w:r>
        <w:rPr>
          <w:rFonts w:hint="eastAsia"/>
          <w:lang w:val="en-US" w:eastAsia="zh-CN"/>
        </w:rPr>
        <w:t>成立专家评价组</w:t>
      </w:r>
    </w:p>
    <w:p>
      <w:pPr>
        <w:pStyle w:val="79"/>
        <w:bidi w:val="0"/>
        <w:spacing w:before="0" w:beforeLines="0" w:after="0" w:afterLines="0"/>
        <w:rPr>
          <w:rFonts w:hint="default"/>
          <w:lang w:val="en-US" w:eastAsia="zh-CN"/>
        </w:rPr>
      </w:pPr>
      <w:r>
        <w:rPr>
          <w:rFonts w:hint="eastAsia"/>
          <w:lang w:val="en-US" w:eastAsia="zh-CN"/>
        </w:rPr>
        <w:t>评价机构应根据本文件要求，成立专家组。</w:t>
      </w:r>
    </w:p>
    <w:p>
      <w:pPr>
        <w:pStyle w:val="79"/>
        <w:bidi w:val="0"/>
        <w:spacing w:before="0" w:beforeLines="0" w:after="0" w:afterLines="0"/>
        <w:rPr>
          <w:rFonts w:hint="default"/>
          <w:lang w:val="en-US" w:eastAsia="zh-CN"/>
        </w:rPr>
      </w:pPr>
      <w:r>
        <w:rPr>
          <w:rFonts w:hint="eastAsia"/>
          <w:lang w:val="en-US" w:eastAsia="zh-CN"/>
        </w:rPr>
        <w:t>专家组应由健康体检行业领域人员组成。</w:t>
      </w:r>
    </w:p>
    <w:p>
      <w:pPr>
        <w:pStyle w:val="79"/>
        <w:bidi w:val="0"/>
        <w:spacing w:before="0" w:beforeLines="0" w:after="0" w:afterLines="0"/>
        <w:rPr>
          <w:rFonts w:hint="default"/>
          <w:lang w:val="en-US" w:eastAsia="zh-CN"/>
        </w:rPr>
      </w:pPr>
      <w:r>
        <w:rPr>
          <w:rFonts w:hint="eastAsia"/>
          <w:lang w:val="en-US" w:eastAsia="zh-CN"/>
        </w:rPr>
        <w:t>专家应由从事健康体检及相关专业管理工作三年以上的人员担任。</w:t>
      </w:r>
    </w:p>
    <w:p>
      <w:pPr>
        <w:pStyle w:val="79"/>
        <w:bidi w:val="0"/>
        <w:spacing w:before="0" w:beforeLines="0" w:after="0" w:afterLines="0"/>
        <w:rPr>
          <w:rFonts w:hint="default"/>
          <w:lang w:val="en-US" w:eastAsia="zh-CN"/>
        </w:rPr>
      </w:pPr>
      <w:r>
        <w:rPr>
          <w:rFonts w:hint="eastAsia"/>
          <w:lang w:val="en-US" w:eastAsia="zh-CN"/>
        </w:rPr>
        <w:t>评价组成员由3人以上（含3人）组成，数量应为单数。</w:t>
      </w:r>
    </w:p>
    <w:p>
      <w:pPr>
        <w:pStyle w:val="79"/>
        <w:bidi w:val="0"/>
        <w:spacing w:before="0" w:beforeLines="0" w:after="0" w:afterLines="0"/>
        <w:rPr>
          <w:rFonts w:hint="default"/>
          <w:lang w:val="en-US" w:eastAsia="zh-CN"/>
        </w:rPr>
      </w:pPr>
      <w:r>
        <w:rPr>
          <w:rFonts w:hint="eastAsia"/>
          <w:lang w:val="en-US" w:eastAsia="zh-CN"/>
        </w:rPr>
        <w:t>评价组组长应由评价组成员民主推选产生，负责主持会议、形成评价结论等工作。</w:t>
      </w:r>
    </w:p>
    <w:p>
      <w:pPr>
        <w:pStyle w:val="79"/>
        <w:bidi w:val="0"/>
        <w:spacing w:before="0" w:beforeLines="0" w:after="0" w:afterLines="0"/>
        <w:rPr>
          <w:rFonts w:hint="default"/>
          <w:lang w:val="en-US" w:eastAsia="zh-CN"/>
        </w:rPr>
      </w:pPr>
      <w:r>
        <w:rPr>
          <w:rFonts w:hint="eastAsia"/>
          <w:lang w:val="en-US" w:eastAsia="zh-CN"/>
        </w:rPr>
        <w:t>评价组组长应由较高专业水平和工作经验的人员担任，宜具有副高级以上（含副高级）技术职称的专业技术人员或具有同等专业水平和行业管理经验的管理人员。</w:t>
      </w:r>
    </w:p>
    <w:p>
      <w:pPr>
        <w:pStyle w:val="79"/>
        <w:bidi w:val="0"/>
        <w:spacing w:before="0" w:beforeLines="0" w:after="0" w:afterLines="0"/>
        <w:rPr>
          <w:rFonts w:hint="default"/>
          <w:lang w:val="en-US" w:eastAsia="zh-CN"/>
        </w:rPr>
      </w:pPr>
      <w:r>
        <w:rPr>
          <w:rFonts w:hint="eastAsia"/>
          <w:lang w:val="en-US" w:eastAsia="zh-CN"/>
        </w:rPr>
        <w:t>评价组成员应与委托方及被评价方无利益关系或无直接行政隶属关系。有利益冲突可能的专家应主动提出回避。</w:t>
      </w:r>
    </w:p>
    <w:p>
      <w:pPr>
        <w:pStyle w:val="73"/>
        <w:bidi w:val="0"/>
        <w:rPr>
          <w:rFonts w:hint="default"/>
          <w:lang w:val="en-US" w:eastAsia="zh-CN"/>
        </w:rPr>
      </w:pPr>
      <w:r>
        <w:rPr>
          <w:rFonts w:hint="eastAsia"/>
          <w:lang w:val="en-US" w:eastAsia="zh-CN"/>
        </w:rPr>
        <w:t>确定评价方案</w:t>
      </w:r>
    </w:p>
    <w:p>
      <w:pPr>
        <w:pStyle w:val="25"/>
        <w:rPr>
          <w:rFonts w:hint="default"/>
          <w:lang w:val="en-US" w:eastAsia="zh-CN"/>
        </w:rPr>
      </w:pPr>
      <w:r>
        <w:rPr>
          <w:rFonts w:hint="eastAsia"/>
          <w:lang w:val="en-US" w:eastAsia="zh-CN"/>
        </w:rPr>
        <w:t>依据附录A“健康体检质控评价指标”确定评价方案，经评价机构与委托方协商一致后实施。</w:t>
      </w:r>
    </w:p>
    <w:p>
      <w:pPr>
        <w:pStyle w:val="73"/>
        <w:bidi w:val="0"/>
        <w:rPr>
          <w:rFonts w:hint="default"/>
          <w:lang w:val="en-US" w:eastAsia="zh-CN"/>
        </w:rPr>
      </w:pPr>
      <w:r>
        <w:rPr>
          <w:rFonts w:hint="eastAsia"/>
          <w:lang w:val="en-US" w:eastAsia="zh-CN"/>
        </w:rPr>
        <w:t>实施评价</w:t>
      </w:r>
    </w:p>
    <w:p>
      <w:pPr>
        <w:pStyle w:val="74"/>
        <w:bidi w:val="0"/>
        <w:rPr>
          <w:rFonts w:hint="eastAsia"/>
          <w:lang w:val="en-US" w:eastAsia="zh-CN"/>
        </w:rPr>
      </w:pPr>
      <w:r>
        <w:rPr>
          <w:rFonts w:hint="eastAsia"/>
          <w:lang w:val="en-US" w:eastAsia="zh-CN"/>
        </w:rPr>
        <w:t>采集信息</w:t>
      </w:r>
    </w:p>
    <w:p>
      <w:pPr>
        <w:pStyle w:val="25"/>
        <w:bidi w:val="0"/>
        <w:rPr>
          <w:rFonts w:hint="eastAsia"/>
          <w:lang w:val="en-US" w:eastAsia="zh-CN"/>
        </w:rPr>
      </w:pPr>
      <w:r>
        <w:rPr>
          <w:rFonts w:hint="eastAsia"/>
          <w:lang w:val="en-US" w:eastAsia="zh-CN"/>
        </w:rPr>
        <w:t>根据评价方案，实施信息采集并对所采集的信息进行质量评估。</w:t>
      </w:r>
    </w:p>
    <w:p>
      <w:pPr>
        <w:pStyle w:val="108"/>
        <w:bidi w:val="0"/>
        <w:ind w:left="811" w:leftChars="0" w:hanging="448" w:firstLineChars="0"/>
        <w:rPr>
          <w:rFonts w:hint="eastAsia"/>
          <w:lang w:val="en-US" w:eastAsia="zh-CN"/>
        </w:rPr>
      </w:pPr>
      <w:r>
        <w:rPr>
          <w:rFonts w:hint="eastAsia"/>
          <w:lang w:val="en-US" w:eastAsia="zh-CN"/>
        </w:rPr>
        <w:t>必要时可进行多次采集或补充采集。</w:t>
      </w:r>
    </w:p>
    <w:p>
      <w:pPr>
        <w:pStyle w:val="108"/>
        <w:bidi w:val="0"/>
        <w:ind w:left="811" w:leftChars="0" w:hanging="448" w:firstLineChars="0"/>
        <w:rPr>
          <w:rFonts w:hint="eastAsia"/>
          <w:lang w:val="en-US" w:eastAsia="zh-CN"/>
        </w:rPr>
      </w:pPr>
      <w:r>
        <w:rPr>
          <w:rFonts w:hint="eastAsia"/>
          <w:lang w:val="en-US" w:eastAsia="zh-CN"/>
        </w:rPr>
        <w:t>质量评估一般包括信息完整性、准确性、一致性、相关性等方面。</w:t>
      </w:r>
    </w:p>
    <w:p>
      <w:pPr>
        <w:pStyle w:val="74"/>
        <w:bidi w:val="0"/>
        <w:rPr>
          <w:rFonts w:hint="eastAsia"/>
          <w:lang w:val="en-US" w:eastAsia="zh-CN"/>
        </w:rPr>
      </w:pPr>
      <w:r>
        <w:rPr>
          <w:rFonts w:hint="eastAsia"/>
          <w:lang w:val="en-US" w:eastAsia="zh-CN"/>
        </w:rPr>
        <w:t>计算评价分数</w:t>
      </w:r>
    </w:p>
    <w:p>
      <w:pPr>
        <w:pStyle w:val="25"/>
        <w:bidi w:val="0"/>
        <w:rPr>
          <w:rFonts w:hint="eastAsia"/>
          <w:lang w:val="en-US" w:eastAsia="zh-CN"/>
        </w:rPr>
      </w:pPr>
      <w:r>
        <w:rPr>
          <w:rFonts w:hint="eastAsia"/>
          <w:lang w:val="en-US" w:eastAsia="zh-CN"/>
        </w:rPr>
        <w:t>对通过质量评估的信息按照表A.3设定的评分标准进行各项得分统计，计算总和，得出评价分数。</w:t>
      </w:r>
    </w:p>
    <w:p>
      <w:pPr>
        <w:pStyle w:val="73"/>
        <w:bidi w:val="0"/>
        <w:rPr>
          <w:rFonts w:hint="default"/>
          <w:lang w:val="en-US" w:eastAsia="zh-CN"/>
        </w:rPr>
      </w:pPr>
      <w:r>
        <w:rPr>
          <w:rFonts w:hint="eastAsia"/>
          <w:lang w:val="en-US" w:eastAsia="zh-CN"/>
        </w:rPr>
        <w:t>出具评价报告</w:t>
      </w:r>
    </w:p>
    <w:p>
      <w:pPr>
        <w:pStyle w:val="79"/>
        <w:bidi w:val="0"/>
        <w:spacing w:before="0" w:beforeLines="0" w:after="0" w:afterLines="0"/>
        <w:rPr>
          <w:rFonts w:hint="default"/>
          <w:lang w:val="en-US" w:eastAsia="zh-CN"/>
        </w:rPr>
      </w:pPr>
      <w:r>
        <w:rPr>
          <w:rFonts w:hint="eastAsia"/>
          <w:lang w:val="en-US" w:eastAsia="zh-CN"/>
        </w:rPr>
        <w:t>根据评价分数及其他信息，得出评价结论并对其进行等级划分与评定，在此基础上提出相关建议，形成评价结果。</w:t>
      </w:r>
    </w:p>
    <w:p>
      <w:pPr>
        <w:pStyle w:val="79"/>
        <w:bidi w:val="0"/>
        <w:spacing w:before="0" w:beforeLines="0" w:after="0" w:afterLines="0"/>
        <w:rPr>
          <w:rFonts w:hint="default"/>
          <w:lang w:val="en-US" w:eastAsia="zh-CN"/>
        </w:rPr>
      </w:pPr>
      <w:r>
        <w:rPr>
          <w:rFonts w:hint="eastAsia"/>
          <w:lang w:val="en-US" w:eastAsia="zh-CN"/>
        </w:rPr>
        <w:t>应在评价活动完成后的规定日期内以书面形式出具评价报告。</w:t>
      </w:r>
    </w:p>
    <w:p>
      <w:pPr>
        <w:pStyle w:val="79"/>
        <w:bidi w:val="0"/>
        <w:spacing w:before="0" w:beforeLines="0" w:after="0" w:afterLines="0"/>
        <w:rPr>
          <w:rFonts w:hint="default"/>
          <w:lang w:val="en-US" w:eastAsia="zh-CN"/>
        </w:rPr>
      </w:pPr>
      <w:r>
        <w:rPr>
          <w:rFonts w:hint="eastAsia"/>
          <w:lang w:val="en-US" w:eastAsia="zh-CN"/>
        </w:rPr>
        <w:t>评价报告至少包含且不限于如下内容：</w:t>
      </w:r>
    </w:p>
    <w:p>
      <w:pPr>
        <w:pStyle w:val="57"/>
        <w:tabs>
          <w:tab w:val="clear" w:pos="851"/>
        </w:tabs>
        <w:bidi w:val="0"/>
        <w:ind w:left="845" w:leftChars="0" w:hanging="425" w:firstLineChars="0"/>
        <w:rPr>
          <w:rFonts w:hint="default"/>
          <w:lang w:val="en-US" w:eastAsia="zh-CN"/>
        </w:rPr>
      </w:pPr>
      <w:r>
        <w:rPr>
          <w:rFonts w:hint="eastAsia"/>
          <w:lang w:val="en-US" w:eastAsia="zh-CN"/>
        </w:rPr>
        <w:t>评价对象情况；</w:t>
      </w:r>
    </w:p>
    <w:p>
      <w:pPr>
        <w:pStyle w:val="57"/>
        <w:tabs>
          <w:tab w:val="clear" w:pos="851"/>
        </w:tabs>
        <w:bidi w:val="0"/>
        <w:ind w:left="845" w:leftChars="0" w:hanging="425" w:firstLineChars="0"/>
        <w:rPr>
          <w:rFonts w:hint="default"/>
          <w:lang w:val="en-US" w:eastAsia="zh-CN"/>
        </w:rPr>
      </w:pPr>
      <w:r>
        <w:rPr>
          <w:rFonts w:hint="eastAsia"/>
          <w:lang w:val="en-US" w:eastAsia="zh-CN"/>
        </w:rPr>
        <w:t>评价时间；</w:t>
      </w:r>
    </w:p>
    <w:p>
      <w:pPr>
        <w:pStyle w:val="57"/>
        <w:tabs>
          <w:tab w:val="clear" w:pos="851"/>
        </w:tabs>
        <w:bidi w:val="0"/>
        <w:ind w:left="845" w:leftChars="0" w:hanging="425" w:firstLineChars="0"/>
        <w:rPr>
          <w:rFonts w:hint="default"/>
          <w:lang w:val="en-US" w:eastAsia="zh-CN"/>
        </w:rPr>
      </w:pPr>
      <w:r>
        <w:rPr>
          <w:rFonts w:hint="eastAsia"/>
          <w:lang w:val="en-US" w:eastAsia="zh-CN"/>
        </w:rPr>
        <w:t>评价依据；</w:t>
      </w:r>
    </w:p>
    <w:p>
      <w:pPr>
        <w:pStyle w:val="57"/>
        <w:tabs>
          <w:tab w:val="clear" w:pos="851"/>
        </w:tabs>
        <w:bidi w:val="0"/>
        <w:ind w:left="845" w:leftChars="0" w:hanging="425" w:firstLineChars="0"/>
        <w:rPr>
          <w:rFonts w:hint="default"/>
          <w:lang w:val="en-US" w:eastAsia="zh-CN"/>
        </w:rPr>
      </w:pPr>
      <w:r>
        <w:rPr>
          <w:rFonts w:hint="eastAsia"/>
          <w:lang w:val="en-US" w:eastAsia="zh-CN"/>
        </w:rPr>
        <w:t>评价组专家信息；</w:t>
      </w:r>
    </w:p>
    <w:p>
      <w:pPr>
        <w:pStyle w:val="57"/>
        <w:tabs>
          <w:tab w:val="clear" w:pos="851"/>
        </w:tabs>
        <w:bidi w:val="0"/>
        <w:ind w:left="845" w:leftChars="0" w:hanging="425" w:firstLineChars="0"/>
        <w:rPr>
          <w:rFonts w:hint="default"/>
          <w:lang w:val="en-US" w:eastAsia="zh-CN"/>
        </w:rPr>
      </w:pPr>
      <w:r>
        <w:rPr>
          <w:rFonts w:hint="eastAsia"/>
          <w:lang w:val="en-US" w:eastAsia="zh-CN"/>
        </w:rPr>
        <w:t>评价分数、结论、等级及建议</w:t>
      </w:r>
      <w:bookmarkStart w:id="56" w:name="_GoBack"/>
      <w:bookmarkEnd w:id="56"/>
      <w:r>
        <w:rPr>
          <w:rFonts w:hint="eastAsia"/>
          <w:lang w:val="en-US" w:eastAsia="zh-CN"/>
        </w:rPr>
        <w:t>。</w:t>
      </w:r>
    </w:p>
    <w:p>
      <w:pPr>
        <w:pStyle w:val="79"/>
        <w:bidi w:val="0"/>
        <w:spacing w:before="0" w:beforeLines="0" w:after="0" w:afterLines="0"/>
        <w:rPr>
          <w:rFonts w:hint="default"/>
          <w:lang w:val="en-US" w:eastAsia="zh-CN"/>
        </w:rPr>
      </w:pPr>
      <w:r>
        <w:rPr>
          <w:rFonts w:hint="eastAsia"/>
          <w:lang w:val="en-US" w:eastAsia="zh-CN"/>
        </w:rPr>
        <w:t>评价机构应在评价报告上加盖公章，并对评价结果负责。</w:t>
      </w:r>
    </w:p>
    <w:p>
      <w:pPr>
        <w:pStyle w:val="73"/>
        <w:bidi w:val="0"/>
        <w:rPr>
          <w:rFonts w:hint="default"/>
          <w:lang w:val="en-US" w:eastAsia="zh-CN"/>
        </w:rPr>
      </w:pPr>
      <w:bookmarkStart w:id="43" w:name="_Toc29679"/>
      <w:r>
        <w:rPr>
          <w:rFonts w:hint="eastAsia"/>
          <w:lang w:val="en-US" w:eastAsia="zh-CN"/>
        </w:rPr>
        <w:t>异议处理</w:t>
      </w:r>
      <w:bookmarkEnd w:id="43"/>
    </w:p>
    <w:p>
      <w:pPr>
        <w:pStyle w:val="79"/>
        <w:bidi w:val="0"/>
        <w:spacing w:before="0" w:beforeLines="0" w:after="0" w:afterLines="0"/>
        <w:rPr>
          <w:rFonts w:hint="default"/>
          <w:lang w:val="en-US" w:eastAsia="zh-CN"/>
        </w:rPr>
      </w:pPr>
      <w:r>
        <w:rPr>
          <w:rFonts w:hint="eastAsia"/>
          <w:lang w:val="en-US" w:eastAsia="zh-CN"/>
        </w:rPr>
        <w:t>委托方或被评价方有异议时，应于接收评价报告之日起15个工作日内，以书面形式向评价机构提出。</w:t>
      </w:r>
    </w:p>
    <w:p>
      <w:pPr>
        <w:pStyle w:val="79"/>
        <w:bidi w:val="0"/>
        <w:spacing w:before="0" w:beforeLines="0" w:after="0" w:afterLines="0"/>
        <w:rPr>
          <w:rFonts w:hint="default"/>
          <w:lang w:val="en-US" w:eastAsia="zh-CN"/>
        </w:rPr>
      </w:pPr>
      <w:r>
        <w:rPr>
          <w:rFonts w:hint="eastAsia"/>
          <w:lang w:val="en-US" w:eastAsia="zh-CN"/>
        </w:rPr>
        <w:t>评价机构应及时受理，并由评价组组长对评价结果进行解释或重新组织复评。</w:t>
      </w:r>
    </w:p>
    <w:p>
      <w:pPr>
        <w:pStyle w:val="79"/>
        <w:bidi w:val="0"/>
        <w:spacing w:before="0" w:beforeLines="0" w:after="0" w:afterLines="0"/>
        <w:rPr>
          <w:rFonts w:hint="default"/>
          <w:lang w:val="en-US" w:eastAsia="zh-CN"/>
        </w:rPr>
      </w:pPr>
      <w:r>
        <w:rPr>
          <w:rFonts w:hint="eastAsia"/>
          <w:lang w:val="en-US" w:eastAsia="zh-CN"/>
        </w:rPr>
        <w:t>复评结果应以书面形式告知。</w:t>
      </w:r>
    </w:p>
    <w:p>
      <w:pPr>
        <w:pStyle w:val="72"/>
        <w:bidi w:val="0"/>
        <w:rPr>
          <w:rFonts w:hint="default"/>
          <w:lang w:val="en-US" w:eastAsia="zh-CN"/>
        </w:rPr>
      </w:pPr>
      <w:bookmarkStart w:id="44" w:name="_Toc5662"/>
      <w:bookmarkStart w:id="45" w:name="_Toc16818"/>
      <w:bookmarkStart w:id="46" w:name="_Toc17687"/>
      <w:r>
        <w:rPr>
          <w:rFonts w:hint="eastAsia"/>
          <w:lang w:val="en-US" w:eastAsia="zh-CN"/>
        </w:rPr>
        <w:t>持续改进</w:t>
      </w:r>
      <w:bookmarkEnd w:id="44"/>
      <w:bookmarkEnd w:id="45"/>
      <w:bookmarkEnd w:id="46"/>
    </w:p>
    <w:p>
      <w:pPr>
        <w:pStyle w:val="78"/>
        <w:bidi w:val="0"/>
        <w:spacing w:before="0" w:beforeLines="0" w:after="0" w:afterLines="0"/>
        <w:rPr>
          <w:rFonts w:hint="default"/>
          <w:lang w:val="en-US" w:eastAsia="zh-CN"/>
        </w:rPr>
      </w:pPr>
      <w:r>
        <w:rPr>
          <w:rFonts w:hint="eastAsia"/>
          <w:lang w:val="en-US" w:eastAsia="zh-CN"/>
        </w:rPr>
        <w:t>参加评价的医疗体检机构应按照健康体检质控评价报告制定和采取改进措施。</w:t>
      </w:r>
    </w:p>
    <w:p>
      <w:pPr>
        <w:pStyle w:val="78"/>
        <w:bidi w:val="0"/>
        <w:spacing w:before="0" w:beforeLines="0" w:after="0" w:afterLines="0"/>
        <w:rPr>
          <w:rFonts w:hint="default"/>
          <w:lang w:val="en-US" w:eastAsia="zh-CN"/>
        </w:rPr>
      </w:pPr>
      <w:r>
        <w:rPr>
          <w:rFonts w:hint="eastAsia"/>
          <w:lang w:val="en-US" w:eastAsia="zh-CN"/>
        </w:rPr>
        <w:t>对评价结果实行动态管理，每年至少开展一次督察检查，根据检查结果持续改进。</w:t>
      </w:r>
    </w:p>
    <w:p>
      <w:pPr>
        <w:pStyle w:val="78"/>
        <w:bidi w:val="0"/>
        <w:spacing w:before="0" w:beforeLines="0" w:after="0" w:afterLines="0"/>
        <w:rPr>
          <w:rFonts w:hint="default"/>
          <w:lang w:val="en-US" w:eastAsia="zh-CN"/>
        </w:rPr>
      </w:pPr>
      <w:r>
        <w:rPr>
          <w:rFonts w:hint="eastAsia"/>
          <w:lang w:val="en-US" w:eastAsia="zh-CN"/>
        </w:rPr>
        <w:t>通过日常检查、体检者投诉、社会监督等方式持续改进日常工作。</w:t>
      </w:r>
    </w:p>
    <w:p>
      <w:pPr>
        <w:pStyle w:val="74"/>
        <w:bidi w:val="0"/>
        <w:rPr>
          <w:rFonts w:hint="eastAsia"/>
          <w:lang w:val="en-US" w:eastAsia="zh-CN"/>
        </w:rPr>
      </w:pPr>
      <w:r>
        <w:rPr>
          <w:rFonts w:hint="eastAsia"/>
          <w:lang w:val="en-US" w:eastAsia="zh-CN"/>
        </w:rPr>
        <w:br w:type="page"/>
      </w:r>
    </w:p>
    <w:p>
      <w:pPr>
        <w:pStyle w:val="99"/>
        <w:bidi w:val="0"/>
        <w:rPr>
          <w:rFonts w:hint="eastAsia"/>
          <w:lang w:val="en-US" w:eastAsia="zh-CN"/>
        </w:rPr>
      </w:pPr>
      <w:bookmarkStart w:id="47" w:name="BKFL"/>
    </w:p>
    <w:p>
      <w:pPr>
        <w:pStyle w:val="101"/>
        <w:bidi w:val="0"/>
        <w:rPr>
          <w:rFonts w:hint="eastAsia"/>
          <w:lang w:val="en-US" w:eastAsia="zh-CN"/>
        </w:rPr>
      </w:pPr>
    </w:p>
    <w:p>
      <w:pPr>
        <w:pStyle w:val="103"/>
        <w:bidi w:val="0"/>
        <w:rPr>
          <w:rFonts w:hint="eastAsia"/>
          <w:lang w:val="en-US" w:eastAsia="zh-CN"/>
        </w:rPr>
      </w:pPr>
    </w:p>
    <w:p>
      <w:pPr>
        <w:pStyle w:val="88"/>
        <w:bidi w:val="0"/>
        <w:rPr>
          <w:rFonts w:hint="eastAsia"/>
          <w:lang w:val="en-US" w:eastAsia="zh-CN"/>
        </w:rPr>
      </w:pPr>
      <w:bookmarkStart w:id="48" w:name="_Toc31479"/>
      <w:bookmarkStart w:id="49" w:name="_Toc22341"/>
      <w:bookmarkStart w:id="50" w:name="_Toc31012"/>
      <w:r>
        <w:rPr>
          <w:rFonts w:hint="eastAsia"/>
          <w:lang w:val="en-US" w:eastAsia="zh-CN"/>
        </w:rPr>
        <w:br w:type="textWrapping"/>
      </w:r>
      <w:r>
        <w:rPr>
          <w:rFonts w:hint="eastAsia"/>
          <w:lang w:val="en-US" w:eastAsia="zh-CN"/>
        </w:rPr>
        <w:t>（规范性）</w:t>
      </w:r>
      <w:r>
        <w:rPr>
          <w:rFonts w:hint="eastAsia"/>
          <w:lang w:val="en-US" w:eastAsia="zh-CN"/>
        </w:rPr>
        <w:br w:type="textWrapping"/>
      </w:r>
      <w:r>
        <w:rPr>
          <w:rFonts w:hint="eastAsia"/>
          <w:lang w:val="en-US" w:eastAsia="zh-CN"/>
        </w:rPr>
        <w:t>健康体检质控评价指标</w:t>
      </w:r>
      <w:bookmarkEnd w:id="48"/>
      <w:bookmarkEnd w:id="49"/>
      <w:bookmarkEnd w:id="50"/>
    </w:p>
    <w:p>
      <w:pPr>
        <w:pStyle w:val="89"/>
        <w:bidi w:val="0"/>
        <w:rPr>
          <w:rFonts w:hint="eastAsia"/>
          <w:lang w:val="en-US" w:eastAsia="zh-CN"/>
        </w:rPr>
      </w:pPr>
      <w:r>
        <w:rPr>
          <w:rFonts w:hint="eastAsia"/>
          <w:lang w:val="en-US" w:eastAsia="zh-CN"/>
        </w:rPr>
        <w:t>分值分配</w:t>
      </w:r>
    </w:p>
    <w:p>
      <w:pPr>
        <w:pStyle w:val="102"/>
        <w:bidi w:val="0"/>
        <w:jc w:val="center"/>
        <w:rPr>
          <w:rFonts w:hint="eastAsia"/>
          <w:lang w:val="en-US" w:eastAsia="zh-CN"/>
        </w:rPr>
      </w:pPr>
      <w:r>
        <w:rPr>
          <w:rFonts w:hint="eastAsia"/>
          <w:lang w:val="en-US" w:eastAsia="zh-CN"/>
        </w:rPr>
        <w:t>分值分配表</w:t>
      </w:r>
    </w:p>
    <w:tbl>
      <w:tblPr>
        <w:tblStyle w:val="21"/>
        <w:tblW w:w="487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96"/>
        <w:gridCol w:w="850"/>
        <w:gridCol w:w="1067"/>
        <w:gridCol w:w="857"/>
        <w:gridCol w:w="857"/>
        <w:gridCol w:w="857"/>
        <w:gridCol w:w="857"/>
        <w:gridCol w:w="861"/>
        <w:gridCol w:w="1200"/>
        <w:gridCol w:w="11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vAlign w:val="center"/>
          </w:tcPr>
          <w:p>
            <w:pPr>
              <w:pStyle w:val="112"/>
              <w:widowControl w:val="0"/>
              <w:ind w:firstLine="0" w:firstLineChars="0"/>
              <w:jc w:val="center"/>
              <w:rPr>
                <w:rFonts w:hint="eastAsia"/>
                <w:lang w:eastAsia="zh-CN"/>
              </w:rPr>
            </w:pPr>
            <w:r>
              <w:rPr>
                <w:rFonts w:hint="eastAsia"/>
                <w:lang w:eastAsia="zh-CN"/>
              </w:rPr>
              <w:t>项目</w:t>
            </w:r>
          </w:p>
          <w:p>
            <w:pPr>
              <w:pStyle w:val="112"/>
              <w:widowControl w:val="0"/>
              <w:ind w:firstLine="0" w:firstLineChars="0"/>
              <w:jc w:val="center"/>
              <w:rPr>
                <w:rFonts w:hint="eastAsia" w:eastAsia="宋体"/>
                <w:lang w:eastAsia="zh-CN"/>
              </w:rPr>
            </w:pPr>
            <w:r>
              <w:rPr>
                <w:rFonts w:hint="eastAsia"/>
                <w:lang w:eastAsia="zh-CN"/>
              </w:rPr>
              <w:t>内容</w:t>
            </w:r>
          </w:p>
        </w:tc>
        <w:tc>
          <w:tcPr>
            <w:tcW w:w="455" w:type="pct"/>
            <w:tcBorders>
              <w:top w:val="single" w:color="auto" w:sz="8" w:space="0"/>
            </w:tcBorders>
            <w:vAlign w:val="center"/>
          </w:tcPr>
          <w:p>
            <w:pPr>
              <w:pStyle w:val="112"/>
              <w:widowControl w:val="0"/>
              <w:ind w:firstLine="0" w:firstLineChars="0"/>
              <w:jc w:val="center"/>
              <w:rPr>
                <w:rFonts w:hint="eastAsia"/>
                <w:lang w:eastAsia="zh-CN"/>
              </w:rPr>
            </w:pPr>
            <w:r>
              <w:rPr>
                <w:rFonts w:hint="eastAsia"/>
                <w:lang w:eastAsia="zh-CN"/>
              </w:rPr>
              <w:t>资源</w:t>
            </w:r>
          </w:p>
          <w:p>
            <w:pPr>
              <w:pStyle w:val="112"/>
              <w:widowControl w:val="0"/>
              <w:ind w:firstLine="0" w:firstLineChars="0"/>
              <w:jc w:val="center"/>
              <w:rPr>
                <w:rFonts w:hint="eastAsia" w:eastAsia="宋体"/>
                <w:lang w:eastAsia="zh-CN"/>
              </w:rPr>
            </w:pPr>
            <w:r>
              <w:rPr>
                <w:rFonts w:hint="eastAsia"/>
                <w:lang w:eastAsia="zh-CN"/>
              </w:rPr>
              <w:t>配置</w:t>
            </w:r>
          </w:p>
        </w:tc>
        <w:tc>
          <w:tcPr>
            <w:tcW w:w="572" w:type="pct"/>
            <w:tcBorders>
              <w:top w:val="single" w:color="auto" w:sz="8" w:space="0"/>
            </w:tcBorders>
            <w:vAlign w:val="center"/>
          </w:tcPr>
          <w:p>
            <w:pPr>
              <w:pStyle w:val="112"/>
              <w:widowControl w:val="0"/>
              <w:ind w:firstLine="0" w:firstLineChars="0"/>
              <w:jc w:val="center"/>
              <w:rPr>
                <w:rFonts w:hint="eastAsia"/>
                <w:lang w:eastAsia="zh-CN"/>
              </w:rPr>
            </w:pPr>
            <w:r>
              <w:rPr>
                <w:rFonts w:hint="eastAsia"/>
                <w:lang w:eastAsia="zh-CN"/>
              </w:rPr>
              <w:t>设备管理</w:t>
            </w:r>
          </w:p>
          <w:p>
            <w:pPr>
              <w:pStyle w:val="112"/>
              <w:widowControl w:val="0"/>
              <w:ind w:firstLine="0" w:firstLineChars="0"/>
              <w:jc w:val="center"/>
              <w:rPr>
                <w:rFonts w:hint="eastAsia" w:eastAsia="宋体"/>
                <w:lang w:eastAsia="zh-CN"/>
              </w:rPr>
            </w:pPr>
            <w:r>
              <w:rPr>
                <w:rFonts w:hint="eastAsia"/>
                <w:lang w:eastAsia="zh-CN"/>
              </w:rPr>
              <w:t>与维护</w:t>
            </w:r>
          </w:p>
        </w:tc>
        <w:tc>
          <w:tcPr>
            <w:tcW w:w="459" w:type="pct"/>
            <w:tcBorders>
              <w:top w:val="single" w:color="auto" w:sz="8" w:space="0"/>
            </w:tcBorders>
            <w:vAlign w:val="center"/>
          </w:tcPr>
          <w:p>
            <w:pPr>
              <w:pStyle w:val="112"/>
              <w:widowControl w:val="0"/>
              <w:ind w:firstLine="0" w:firstLineChars="0"/>
              <w:jc w:val="center"/>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质量</w:t>
            </w:r>
          </w:p>
          <w:p>
            <w:pPr>
              <w:pStyle w:val="112"/>
              <w:widowControl w:val="0"/>
              <w:ind w:firstLine="0" w:firstLineChars="0"/>
              <w:jc w:val="center"/>
              <w:rPr>
                <w:rFonts w:hint="default"/>
                <w:color w:val="000000" w:themeColor="text1"/>
                <w:highlight w:val="red"/>
                <w14:textFill>
                  <w14:solidFill>
                    <w14:schemeClr w14:val="tx1"/>
                  </w14:solidFill>
                </w14:textFill>
              </w:rPr>
            </w:pPr>
            <w:r>
              <w:rPr>
                <w:color w:val="000000" w:themeColor="text1"/>
                <w14:textFill>
                  <w14:solidFill>
                    <w14:schemeClr w14:val="tx1"/>
                  </w14:solidFill>
                </w14:textFill>
              </w:rPr>
              <w:t>管理</w:t>
            </w:r>
          </w:p>
        </w:tc>
        <w:tc>
          <w:tcPr>
            <w:tcW w:w="459" w:type="pct"/>
            <w:tcBorders>
              <w:top w:val="single" w:color="auto" w:sz="8" w:space="0"/>
            </w:tcBorders>
            <w:vAlign w:val="center"/>
          </w:tcPr>
          <w:p>
            <w:pPr>
              <w:pStyle w:val="112"/>
              <w:widowControl w:val="0"/>
              <w:ind w:firstLine="0" w:firstLineChars="0"/>
              <w:jc w:val="center"/>
              <w:rPr>
                <w:rFonts w:hint="eastAsia"/>
                <w:lang w:eastAsia="zh-CN"/>
              </w:rPr>
            </w:pPr>
            <w:r>
              <w:rPr>
                <w:rFonts w:hint="eastAsia"/>
                <w:lang w:eastAsia="zh-CN"/>
              </w:rPr>
              <w:t>信息</w:t>
            </w:r>
          </w:p>
          <w:p>
            <w:pPr>
              <w:pStyle w:val="112"/>
              <w:widowControl w:val="0"/>
              <w:ind w:firstLine="0" w:firstLineChars="0"/>
              <w:jc w:val="center"/>
              <w:rPr>
                <w:rFonts w:hint="eastAsia" w:eastAsia="宋体"/>
                <w:lang w:eastAsia="zh-CN"/>
              </w:rPr>
            </w:pPr>
            <w:r>
              <w:rPr>
                <w:rFonts w:hint="eastAsia"/>
                <w:lang w:eastAsia="zh-CN"/>
              </w:rPr>
              <w:t>管理</w:t>
            </w:r>
          </w:p>
        </w:tc>
        <w:tc>
          <w:tcPr>
            <w:tcW w:w="459" w:type="pct"/>
            <w:tcBorders>
              <w:top w:val="single" w:color="auto" w:sz="8" w:space="0"/>
            </w:tcBorders>
            <w:vAlign w:val="center"/>
          </w:tcPr>
          <w:p>
            <w:pPr>
              <w:pStyle w:val="112"/>
              <w:widowControl w:val="0"/>
              <w:ind w:firstLine="0" w:firstLineChars="0"/>
              <w:jc w:val="center"/>
              <w:rPr>
                <w:rFonts w:hint="eastAsia"/>
                <w:lang w:eastAsia="zh-CN"/>
              </w:rPr>
            </w:pPr>
            <w:r>
              <w:rPr>
                <w:rFonts w:hint="eastAsia"/>
                <w:lang w:eastAsia="zh-CN"/>
              </w:rPr>
              <w:t>院感</w:t>
            </w:r>
          </w:p>
          <w:p>
            <w:pPr>
              <w:pStyle w:val="112"/>
              <w:widowControl w:val="0"/>
              <w:ind w:firstLine="0" w:firstLineChars="0"/>
              <w:jc w:val="center"/>
              <w:rPr>
                <w:rFonts w:hint="eastAsia" w:eastAsia="宋体"/>
                <w:lang w:eastAsia="zh-CN"/>
              </w:rPr>
            </w:pPr>
            <w:r>
              <w:rPr>
                <w:rFonts w:hint="eastAsia"/>
                <w:lang w:eastAsia="zh-CN"/>
              </w:rPr>
              <w:t>管理</w:t>
            </w:r>
          </w:p>
        </w:tc>
        <w:tc>
          <w:tcPr>
            <w:tcW w:w="459" w:type="pct"/>
            <w:tcBorders>
              <w:top w:val="single" w:color="auto" w:sz="8" w:space="0"/>
            </w:tcBorders>
            <w:vAlign w:val="center"/>
          </w:tcPr>
          <w:p>
            <w:pPr>
              <w:pStyle w:val="112"/>
              <w:widowControl w:val="0"/>
              <w:ind w:firstLine="0" w:firstLineChars="0"/>
              <w:jc w:val="center"/>
              <w:rPr>
                <w:rFonts w:hint="eastAsia"/>
                <w:lang w:eastAsia="zh-CN"/>
              </w:rPr>
            </w:pPr>
            <w:r>
              <w:rPr>
                <w:rFonts w:hint="eastAsia"/>
                <w:lang w:eastAsia="zh-CN"/>
              </w:rPr>
              <w:t>服务</w:t>
            </w:r>
          </w:p>
          <w:p>
            <w:pPr>
              <w:pStyle w:val="112"/>
              <w:widowControl w:val="0"/>
              <w:ind w:firstLine="0" w:firstLineChars="0"/>
              <w:jc w:val="center"/>
              <w:rPr>
                <w:rFonts w:hint="eastAsia" w:eastAsia="宋体"/>
                <w:lang w:eastAsia="zh-CN"/>
              </w:rPr>
            </w:pPr>
            <w:r>
              <w:rPr>
                <w:rFonts w:hint="eastAsia"/>
                <w:lang w:eastAsia="zh-CN"/>
              </w:rPr>
              <w:t>管理</w:t>
            </w:r>
          </w:p>
        </w:tc>
        <w:tc>
          <w:tcPr>
            <w:tcW w:w="461" w:type="pct"/>
            <w:tcBorders>
              <w:top w:val="single" w:color="auto" w:sz="8" w:space="0"/>
            </w:tcBorders>
            <w:vAlign w:val="center"/>
          </w:tcPr>
          <w:p>
            <w:pPr>
              <w:pStyle w:val="112"/>
              <w:widowControl w:val="0"/>
              <w:ind w:firstLine="0" w:firstLineChars="0"/>
              <w:jc w:val="center"/>
              <w:rPr>
                <w:rFonts w:hint="eastAsia"/>
                <w:lang w:eastAsia="zh-CN"/>
              </w:rPr>
            </w:pPr>
            <w:r>
              <w:rPr>
                <w:rFonts w:hint="eastAsia"/>
                <w:lang w:eastAsia="zh-CN"/>
              </w:rPr>
              <w:t>安全</w:t>
            </w:r>
          </w:p>
          <w:p>
            <w:pPr>
              <w:pStyle w:val="112"/>
              <w:widowControl w:val="0"/>
              <w:ind w:firstLine="0" w:firstLineChars="0"/>
              <w:jc w:val="center"/>
              <w:rPr>
                <w:rFonts w:hint="eastAsia" w:eastAsia="宋体"/>
                <w:lang w:eastAsia="zh-CN"/>
              </w:rPr>
            </w:pPr>
            <w:r>
              <w:rPr>
                <w:rFonts w:hint="eastAsia"/>
                <w:lang w:eastAsia="zh-CN"/>
              </w:rPr>
              <w:t>管理</w:t>
            </w:r>
          </w:p>
        </w:tc>
        <w:tc>
          <w:tcPr>
            <w:tcW w:w="643" w:type="pct"/>
            <w:tcBorders>
              <w:top w:val="single" w:color="auto" w:sz="8" w:space="0"/>
            </w:tcBorders>
            <w:vAlign w:val="center"/>
          </w:tcPr>
          <w:p>
            <w:pPr>
              <w:pStyle w:val="112"/>
              <w:widowControl w:val="0"/>
              <w:ind w:firstLine="0" w:firstLineChars="0"/>
              <w:jc w:val="center"/>
              <w:rPr>
                <w:rFonts w:hint="eastAsia"/>
                <w:lang w:eastAsia="zh-CN"/>
              </w:rPr>
            </w:pPr>
            <w:r>
              <w:rPr>
                <w:rFonts w:hint="eastAsia"/>
                <w:lang w:eastAsia="zh-CN"/>
              </w:rPr>
              <w:t>继教、培训</w:t>
            </w:r>
          </w:p>
          <w:p>
            <w:pPr>
              <w:pStyle w:val="112"/>
              <w:widowControl w:val="0"/>
              <w:ind w:firstLine="0" w:firstLineChars="0"/>
              <w:jc w:val="center"/>
              <w:rPr>
                <w:rFonts w:hint="default"/>
              </w:rPr>
            </w:pPr>
            <w:r>
              <w:rPr>
                <w:rFonts w:hint="eastAsia"/>
                <w:lang w:eastAsia="zh-CN"/>
              </w:rPr>
              <w:t>和科研</w:t>
            </w:r>
          </w:p>
        </w:tc>
        <w:tc>
          <w:tcPr>
            <w:tcW w:w="601" w:type="pct"/>
            <w:vAlign w:val="center"/>
          </w:tcPr>
          <w:p>
            <w:pPr>
              <w:pStyle w:val="112"/>
              <w:widowControl w:val="0"/>
              <w:ind w:firstLine="0" w:firstLineChars="0"/>
              <w:jc w:val="center"/>
              <w:rPr>
                <w:rFonts w:hint="eastAsia" w:eastAsia="宋体"/>
                <w:lang w:eastAsia="zh-CN"/>
              </w:rPr>
            </w:pPr>
            <w:r>
              <w:rPr>
                <w:rFonts w:hint="eastAsia"/>
                <w:lang w:eastAsia="zh-CN"/>
              </w:rPr>
              <w:t>总分值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26" w:type="pct"/>
            <w:vAlign w:val="center"/>
          </w:tcPr>
          <w:p>
            <w:pPr>
              <w:pStyle w:val="112"/>
              <w:widowControl w:val="0"/>
              <w:ind w:firstLine="0" w:firstLineChars="0"/>
              <w:jc w:val="center"/>
              <w:rPr>
                <w:rFonts w:hint="default"/>
              </w:rPr>
            </w:pPr>
            <w:r>
              <w:t>分值</w:t>
            </w:r>
          </w:p>
        </w:tc>
        <w:tc>
          <w:tcPr>
            <w:tcW w:w="455" w:type="pct"/>
            <w:vAlign w:val="center"/>
          </w:tcPr>
          <w:p>
            <w:pPr>
              <w:pStyle w:val="112"/>
              <w:widowControl w:val="0"/>
              <w:ind w:left="0" w:leftChars="0" w:firstLine="0" w:firstLineChars="0"/>
              <w:jc w:val="center"/>
              <w:rPr>
                <w:rFonts w:hint="default" w:eastAsia="宋体"/>
                <w:lang w:val="en-US" w:eastAsia="zh-CN"/>
              </w:rPr>
            </w:pPr>
            <w:r>
              <w:rPr>
                <w:rFonts w:hint="eastAsia" w:eastAsiaTheme="minorEastAsia"/>
                <w:szCs w:val="18"/>
                <w:lang w:val="en-US" w:eastAsia="zh-CN"/>
              </w:rPr>
              <w:t>/</w:t>
            </w:r>
          </w:p>
        </w:tc>
        <w:tc>
          <w:tcPr>
            <w:tcW w:w="572" w:type="pct"/>
            <w:vAlign w:val="center"/>
          </w:tcPr>
          <w:p>
            <w:pPr>
              <w:pStyle w:val="112"/>
              <w:widowControl w:val="0"/>
              <w:ind w:firstLine="0" w:firstLineChars="0"/>
              <w:jc w:val="center"/>
              <w:rPr>
                <w:rFonts w:hint="default" w:eastAsia="宋体"/>
                <w:highlight w:val="none"/>
                <w:lang w:val="en-US" w:eastAsia="zh-CN"/>
              </w:rPr>
            </w:pPr>
            <w:r>
              <w:rPr>
                <w:rFonts w:hint="eastAsia"/>
                <w:highlight w:val="none"/>
                <w:lang w:val="en-US" w:eastAsia="zh-CN"/>
              </w:rPr>
              <w:t>25</w:t>
            </w:r>
          </w:p>
        </w:tc>
        <w:tc>
          <w:tcPr>
            <w:tcW w:w="459" w:type="pct"/>
            <w:vAlign w:val="center"/>
          </w:tcPr>
          <w:p>
            <w:pPr>
              <w:pStyle w:val="112"/>
              <w:widowControl w:val="0"/>
              <w:ind w:firstLine="0" w:firstLineChars="0"/>
              <w:jc w:val="center"/>
              <w:rPr>
                <w:rFonts w:hint="default" w:eastAsia="宋体"/>
                <w:highlight w:val="none"/>
                <w:lang w:val="en-US" w:eastAsia="zh-CN"/>
              </w:rPr>
            </w:pPr>
            <w:r>
              <w:rPr>
                <w:rFonts w:hint="eastAsia"/>
                <w:highlight w:val="none"/>
                <w:lang w:val="en-US" w:eastAsia="zh-CN"/>
              </w:rPr>
              <w:t>80</w:t>
            </w:r>
          </w:p>
        </w:tc>
        <w:tc>
          <w:tcPr>
            <w:tcW w:w="459" w:type="pct"/>
            <w:vAlign w:val="center"/>
          </w:tcPr>
          <w:p>
            <w:pPr>
              <w:pStyle w:val="112"/>
              <w:widowControl w:val="0"/>
              <w:ind w:firstLine="0" w:firstLineChars="0"/>
              <w:jc w:val="center"/>
              <w:rPr>
                <w:rFonts w:hint="default" w:eastAsia="宋体"/>
                <w:highlight w:val="none"/>
                <w:lang w:val="en-US" w:eastAsia="zh-CN"/>
              </w:rPr>
            </w:pPr>
            <w:r>
              <w:rPr>
                <w:rFonts w:hint="eastAsia"/>
                <w:highlight w:val="none"/>
                <w:lang w:val="en-US" w:eastAsia="zh-CN"/>
              </w:rPr>
              <w:t>25</w:t>
            </w:r>
          </w:p>
        </w:tc>
        <w:tc>
          <w:tcPr>
            <w:tcW w:w="459" w:type="pct"/>
            <w:vAlign w:val="center"/>
          </w:tcPr>
          <w:p>
            <w:pPr>
              <w:pStyle w:val="112"/>
              <w:widowControl w:val="0"/>
              <w:ind w:firstLine="0" w:firstLineChars="0"/>
              <w:jc w:val="center"/>
              <w:rPr>
                <w:rFonts w:hint="default" w:eastAsia="宋体"/>
                <w:highlight w:val="none"/>
                <w:lang w:val="en-US" w:eastAsia="zh-CN"/>
              </w:rPr>
            </w:pPr>
            <w:r>
              <w:rPr>
                <w:rFonts w:hint="eastAsia"/>
                <w:highlight w:val="none"/>
                <w:lang w:val="en-US" w:eastAsia="zh-CN"/>
              </w:rPr>
              <w:t>25</w:t>
            </w:r>
          </w:p>
        </w:tc>
        <w:tc>
          <w:tcPr>
            <w:tcW w:w="459" w:type="pct"/>
            <w:vAlign w:val="center"/>
          </w:tcPr>
          <w:p>
            <w:pPr>
              <w:pStyle w:val="112"/>
              <w:widowControl w:val="0"/>
              <w:ind w:firstLine="0" w:firstLineChars="0"/>
              <w:jc w:val="center"/>
              <w:rPr>
                <w:rFonts w:hint="default" w:eastAsia="宋体"/>
                <w:lang w:val="en-US" w:eastAsia="zh-CN"/>
              </w:rPr>
            </w:pPr>
            <w:r>
              <w:rPr>
                <w:rFonts w:hint="eastAsia"/>
                <w:lang w:val="en-US" w:eastAsia="zh-CN"/>
              </w:rPr>
              <w:t>25</w:t>
            </w:r>
          </w:p>
        </w:tc>
        <w:tc>
          <w:tcPr>
            <w:tcW w:w="461" w:type="pct"/>
            <w:vAlign w:val="center"/>
          </w:tcPr>
          <w:p>
            <w:pPr>
              <w:pStyle w:val="112"/>
              <w:widowControl w:val="0"/>
              <w:ind w:firstLine="0" w:firstLineChars="0"/>
              <w:jc w:val="center"/>
              <w:rPr>
                <w:rFonts w:hint="default" w:eastAsia="宋体"/>
                <w:lang w:val="en-US" w:eastAsia="zh-CN"/>
              </w:rPr>
            </w:pPr>
            <w:r>
              <w:rPr>
                <w:rFonts w:hint="eastAsia"/>
                <w:lang w:val="en-US" w:eastAsia="zh-CN"/>
              </w:rPr>
              <w:t>10</w:t>
            </w:r>
          </w:p>
        </w:tc>
        <w:tc>
          <w:tcPr>
            <w:tcW w:w="643" w:type="pct"/>
            <w:vAlign w:val="center"/>
          </w:tcPr>
          <w:p>
            <w:pPr>
              <w:pStyle w:val="112"/>
              <w:widowControl w:val="0"/>
              <w:ind w:firstLine="0" w:firstLineChars="0"/>
              <w:jc w:val="center"/>
              <w:rPr>
                <w:rFonts w:hint="default" w:eastAsia="宋体"/>
                <w:lang w:val="en-US" w:eastAsia="zh-CN"/>
              </w:rPr>
            </w:pPr>
            <w:r>
              <w:rPr>
                <w:rFonts w:hint="eastAsia"/>
                <w:lang w:val="en-US" w:eastAsia="zh-CN"/>
              </w:rPr>
              <w:t>10</w:t>
            </w:r>
          </w:p>
        </w:tc>
        <w:tc>
          <w:tcPr>
            <w:tcW w:w="601" w:type="pct"/>
            <w:vAlign w:val="center"/>
          </w:tcPr>
          <w:p>
            <w:pPr>
              <w:pStyle w:val="112"/>
              <w:widowControl w:val="0"/>
              <w:ind w:left="0" w:leftChars="0" w:firstLine="0" w:firstLineChars="0"/>
              <w:jc w:val="center"/>
              <w:rPr>
                <w:rFonts w:hint="default"/>
              </w:rPr>
            </w:pPr>
            <w:r>
              <w:t>200</w:t>
            </w:r>
          </w:p>
        </w:tc>
      </w:tr>
    </w:tbl>
    <w:p>
      <w:pPr>
        <w:pStyle w:val="89"/>
        <w:bidi w:val="0"/>
        <w:rPr>
          <w:rFonts w:hint="eastAsia"/>
          <w:lang w:val="en-US" w:eastAsia="zh-CN"/>
        </w:rPr>
      </w:pPr>
      <w:r>
        <w:rPr>
          <w:rFonts w:hint="eastAsia"/>
          <w:lang w:val="en-US" w:eastAsia="zh-CN"/>
        </w:rPr>
        <w:t>等级划分</w:t>
      </w:r>
    </w:p>
    <w:p>
      <w:pPr>
        <w:pStyle w:val="102"/>
        <w:bidi w:val="0"/>
        <w:rPr>
          <w:rFonts w:hint="default"/>
          <w:lang w:val="en-US" w:eastAsia="zh-CN"/>
        </w:rPr>
      </w:pPr>
      <w:r>
        <w:rPr>
          <w:rFonts w:hint="eastAsia"/>
          <w:lang w:val="en-US" w:eastAsia="zh-CN"/>
        </w:rPr>
        <w:t>等级划分评定表</w:t>
      </w:r>
    </w:p>
    <w:tbl>
      <w:tblPr>
        <w:tblStyle w:val="21"/>
        <w:tblW w:w="48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2263"/>
        <w:gridCol w:w="57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7" w:type="pct"/>
            <w:tcBorders>
              <w:bottom w:val="single" w:color="auto" w:sz="8" w:space="0"/>
            </w:tcBorders>
          </w:tcPr>
          <w:p>
            <w:pPr>
              <w:pStyle w:val="112"/>
              <w:widowControl w:val="0"/>
              <w:bidi w:val="0"/>
              <w:ind w:left="0" w:leftChars="0" w:firstLine="0" w:firstLineChars="0"/>
              <w:jc w:val="center"/>
              <w:rPr>
                <w:rFonts w:hint="default"/>
                <w:lang w:val="en-US" w:eastAsia="zh-CN"/>
              </w:rPr>
            </w:pPr>
            <w:r>
              <w:rPr>
                <w:rFonts w:hint="eastAsia"/>
                <w:vertAlign w:val="baseline"/>
                <w:lang w:val="en-US" w:eastAsia="zh-CN"/>
              </w:rPr>
              <w:t>评价等级</w:t>
            </w:r>
          </w:p>
        </w:tc>
        <w:tc>
          <w:tcPr>
            <w:tcW w:w="1206" w:type="pct"/>
            <w:tcBorders>
              <w:bottom w:val="single" w:color="auto" w:sz="8" w:space="0"/>
            </w:tcBorders>
          </w:tcPr>
          <w:p>
            <w:pPr>
              <w:pStyle w:val="112"/>
              <w:widowControl w:val="0"/>
              <w:bidi w:val="0"/>
              <w:ind w:left="0" w:leftChars="0" w:firstLine="0" w:firstLineChars="0"/>
              <w:jc w:val="center"/>
              <w:rPr>
                <w:rFonts w:hint="default"/>
                <w:lang w:val="en-US" w:eastAsia="zh-CN"/>
              </w:rPr>
            </w:pPr>
            <w:r>
              <w:rPr>
                <w:rFonts w:hint="eastAsia"/>
                <w:vertAlign w:val="baseline"/>
                <w:lang w:val="en-US" w:eastAsia="zh-CN"/>
              </w:rPr>
              <w:t>评价分数区间</w:t>
            </w:r>
          </w:p>
        </w:tc>
        <w:tc>
          <w:tcPr>
            <w:tcW w:w="3055" w:type="pct"/>
            <w:tcBorders>
              <w:bottom w:val="single" w:color="auto" w:sz="8" w:space="0"/>
            </w:tcBorders>
          </w:tcPr>
          <w:p>
            <w:pPr>
              <w:pStyle w:val="112"/>
              <w:widowControl w:val="0"/>
              <w:bidi w:val="0"/>
              <w:ind w:left="0" w:leftChars="0" w:firstLine="0" w:firstLineChars="0"/>
              <w:jc w:val="center"/>
              <w:rPr>
                <w:rFonts w:hint="default"/>
                <w:lang w:val="en-US" w:eastAsia="zh-CN"/>
              </w:rPr>
            </w:pPr>
            <w:r>
              <w:rPr>
                <w:rFonts w:hint="eastAsia"/>
                <w:vertAlign w:val="baseline"/>
                <w:lang w:val="en-US" w:eastAsia="zh-CN"/>
              </w:rPr>
              <w:t>评价等级释义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7" w:type="pct"/>
            <w:tcBorders>
              <w:top w:val="single" w:color="auto" w:sz="8" w:space="0"/>
            </w:tcBorders>
            <w:vAlign w:val="center"/>
          </w:tcPr>
          <w:p>
            <w:pPr>
              <w:pStyle w:val="112"/>
              <w:widowControl w:val="0"/>
              <w:bidi w:val="0"/>
              <w:ind w:left="0" w:leftChars="0" w:firstLine="0" w:firstLineChars="0"/>
              <w:jc w:val="center"/>
              <w:rPr>
                <w:rFonts w:hint="eastAsia" w:eastAsia="宋体"/>
                <w:lang w:val="en-US" w:eastAsia="zh-CN"/>
              </w:rPr>
            </w:pPr>
            <w:r>
              <w:rPr>
                <w:rFonts w:hint="eastAsia" w:ascii="Arial" w:hAnsi="Arial" w:cs="Arial"/>
                <w:i w:val="0"/>
                <w:iCs w:val="0"/>
                <w:caps w:val="0"/>
                <w:color w:val="333333"/>
                <w:spacing w:val="0"/>
                <w:sz w:val="19"/>
                <w:szCs w:val="19"/>
                <w:shd w:val="clear" w:fill="FFFFFF"/>
                <w:lang w:val="en-US" w:eastAsia="zh-CN"/>
              </w:rPr>
              <w:t>优秀</w:t>
            </w:r>
          </w:p>
        </w:tc>
        <w:tc>
          <w:tcPr>
            <w:tcW w:w="1206" w:type="pct"/>
            <w:tcBorders>
              <w:top w:val="single" w:color="auto" w:sz="8" w:space="0"/>
            </w:tcBorders>
            <w:vAlign w:val="center"/>
          </w:tcPr>
          <w:p>
            <w:pPr>
              <w:pStyle w:val="112"/>
              <w:widowControl w:val="0"/>
              <w:bidi w:val="0"/>
              <w:ind w:left="0" w:leftChars="0" w:firstLine="0" w:firstLineChars="0"/>
              <w:jc w:val="center"/>
              <w:rPr>
                <w:rFonts w:hint="default"/>
                <w:lang w:val="en-US" w:eastAsia="zh-CN"/>
              </w:rPr>
            </w:pPr>
            <w:r>
              <w:rPr>
                <w:rFonts w:hint="eastAsia"/>
                <w:lang w:val="en-US" w:eastAsia="zh-CN"/>
              </w:rPr>
              <w:t>180-200</w:t>
            </w:r>
          </w:p>
        </w:tc>
        <w:tc>
          <w:tcPr>
            <w:tcW w:w="3055" w:type="pct"/>
            <w:tcBorders>
              <w:top w:val="single" w:color="auto" w:sz="8" w:space="0"/>
            </w:tcBorders>
          </w:tcPr>
          <w:p>
            <w:pPr>
              <w:pStyle w:val="112"/>
              <w:widowControl w:val="0"/>
              <w:bidi w:val="0"/>
              <w:ind w:left="0" w:leftChars="0" w:firstLine="0" w:firstLineChars="0"/>
              <w:jc w:val="both"/>
              <w:rPr>
                <w:rFonts w:hint="default"/>
                <w:lang w:val="en-US" w:eastAsia="zh-CN"/>
              </w:rPr>
            </w:pPr>
            <w:r>
              <w:rPr>
                <w:rFonts w:hint="eastAsia"/>
                <w:lang w:val="en-US" w:eastAsia="zh-CN"/>
              </w:rPr>
              <w:t>体检机构参评等级优秀，依健康体检质控评分表执行内部质量管理与控制，有效、健康发展。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7" w:type="pct"/>
            <w:vAlign w:val="center"/>
          </w:tcPr>
          <w:p>
            <w:pPr>
              <w:pStyle w:val="112"/>
              <w:widowControl w:val="0"/>
              <w:bidi w:val="0"/>
              <w:ind w:left="0" w:leftChars="0" w:firstLine="0" w:firstLineChars="0"/>
              <w:jc w:val="center"/>
              <w:rPr>
                <w:rFonts w:hint="eastAsia" w:eastAsia="宋体"/>
                <w:lang w:val="en-US" w:eastAsia="zh-CN"/>
              </w:rPr>
            </w:pPr>
            <w:r>
              <w:rPr>
                <w:rFonts w:hint="eastAsia" w:ascii="Arial" w:hAnsi="Arial" w:cs="Arial"/>
                <w:i w:val="0"/>
                <w:iCs w:val="0"/>
                <w:caps w:val="0"/>
                <w:color w:val="333333"/>
                <w:spacing w:val="0"/>
                <w:sz w:val="19"/>
                <w:szCs w:val="19"/>
                <w:shd w:val="clear" w:fill="FFFFFF"/>
                <w:lang w:val="en-US" w:eastAsia="zh-CN"/>
              </w:rPr>
              <w:t>合格</w:t>
            </w:r>
          </w:p>
        </w:tc>
        <w:tc>
          <w:tcPr>
            <w:tcW w:w="1206" w:type="pct"/>
            <w:vAlign w:val="center"/>
          </w:tcPr>
          <w:p>
            <w:pPr>
              <w:pStyle w:val="112"/>
              <w:widowControl w:val="0"/>
              <w:bidi w:val="0"/>
              <w:ind w:left="0" w:leftChars="0" w:firstLine="0" w:firstLineChars="0"/>
              <w:jc w:val="center"/>
              <w:rPr>
                <w:rFonts w:hint="default"/>
                <w:lang w:val="en-US" w:eastAsia="zh-CN"/>
              </w:rPr>
            </w:pPr>
            <w:r>
              <w:rPr>
                <w:rFonts w:hint="eastAsia"/>
                <w:lang w:val="en-US" w:eastAsia="zh-CN"/>
              </w:rPr>
              <w:t>140-179</w:t>
            </w:r>
          </w:p>
        </w:tc>
        <w:tc>
          <w:tcPr>
            <w:tcW w:w="3055" w:type="pct"/>
          </w:tcPr>
          <w:p>
            <w:pPr>
              <w:pStyle w:val="112"/>
              <w:widowControl w:val="0"/>
              <w:bidi w:val="0"/>
              <w:ind w:left="0" w:leftChars="0" w:firstLine="0" w:firstLineChars="0"/>
              <w:jc w:val="both"/>
              <w:rPr>
                <w:rFonts w:hint="default"/>
                <w:lang w:val="en-US" w:eastAsia="zh-CN"/>
              </w:rPr>
            </w:pPr>
            <w:r>
              <w:rPr>
                <w:rFonts w:hint="eastAsia"/>
                <w:lang w:val="en-US" w:eastAsia="zh-CN"/>
              </w:rPr>
              <w:t>体检机构参评等级合格，依健康体检质控评分表基本执行内部质量管理与控制。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37" w:type="pct"/>
            <w:vAlign w:val="center"/>
          </w:tcPr>
          <w:p>
            <w:pPr>
              <w:pStyle w:val="112"/>
              <w:widowControl w:val="0"/>
              <w:bidi w:val="0"/>
              <w:ind w:left="0" w:leftChars="0" w:firstLine="0" w:firstLineChars="0"/>
              <w:jc w:val="center"/>
              <w:rPr>
                <w:rFonts w:hint="eastAsia" w:eastAsia="宋体"/>
                <w:lang w:val="en-US" w:eastAsia="zh-CN"/>
              </w:rPr>
            </w:pPr>
            <w:r>
              <w:rPr>
                <w:rFonts w:hint="eastAsia" w:ascii="Arial" w:hAnsi="Arial" w:cs="Arial"/>
                <w:i w:val="0"/>
                <w:iCs w:val="0"/>
                <w:caps w:val="0"/>
                <w:color w:val="333333"/>
                <w:spacing w:val="0"/>
                <w:sz w:val="19"/>
                <w:szCs w:val="19"/>
                <w:shd w:val="clear" w:fill="FFFFFF"/>
                <w:lang w:val="en-US" w:eastAsia="zh-CN"/>
              </w:rPr>
              <w:t>不合格</w:t>
            </w:r>
          </w:p>
        </w:tc>
        <w:tc>
          <w:tcPr>
            <w:tcW w:w="1206" w:type="pct"/>
            <w:vAlign w:val="center"/>
          </w:tcPr>
          <w:p>
            <w:pPr>
              <w:pStyle w:val="112"/>
              <w:widowControl w:val="0"/>
              <w:bidi w:val="0"/>
              <w:ind w:left="0" w:leftChars="0" w:firstLine="0" w:firstLineChars="0"/>
              <w:jc w:val="center"/>
              <w:rPr>
                <w:rFonts w:hint="default"/>
                <w:lang w:val="en-US" w:eastAsia="zh-CN"/>
              </w:rPr>
            </w:pPr>
            <w:r>
              <w:rPr>
                <w:rFonts w:hint="eastAsia"/>
                <w:lang w:val="en-US" w:eastAsia="zh-CN"/>
              </w:rPr>
              <w:t>0-139</w:t>
            </w:r>
          </w:p>
        </w:tc>
        <w:tc>
          <w:tcPr>
            <w:tcW w:w="3055" w:type="pct"/>
          </w:tcPr>
          <w:p>
            <w:pPr>
              <w:pStyle w:val="112"/>
              <w:widowControl w:val="0"/>
              <w:bidi w:val="0"/>
              <w:ind w:left="0" w:leftChars="0" w:firstLine="0" w:firstLineChars="0"/>
              <w:jc w:val="both"/>
              <w:rPr>
                <w:rFonts w:hint="default"/>
                <w:lang w:val="en-US" w:eastAsia="zh-CN"/>
              </w:rPr>
            </w:pPr>
            <w:r>
              <w:rPr>
                <w:rFonts w:hint="eastAsia"/>
                <w:lang w:val="en-US" w:eastAsia="zh-CN"/>
              </w:rPr>
              <w:t>体检机构参评等级不合格，应暂停开展体检业务，并责令限期整改，直至整改合格。</w:t>
            </w:r>
          </w:p>
        </w:tc>
      </w:tr>
    </w:tbl>
    <w:p>
      <w:pPr>
        <w:pStyle w:val="89"/>
        <w:bidi w:val="0"/>
        <w:rPr>
          <w:rFonts w:hint="eastAsia"/>
          <w:lang w:val="en-US" w:eastAsia="zh-CN"/>
        </w:rPr>
      </w:pPr>
      <w:r>
        <w:rPr>
          <w:rFonts w:hint="eastAsia"/>
          <w:lang w:val="en-US" w:eastAsia="zh-CN"/>
        </w:rPr>
        <w:t>评分细则</w:t>
      </w:r>
    </w:p>
    <w:p>
      <w:pPr>
        <w:pStyle w:val="102"/>
        <w:bidi w:val="0"/>
        <w:rPr>
          <w:rFonts w:hint="eastAsia"/>
          <w:lang w:val="en-US" w:eastAsia="zh-CN"/>
        </w:rPr>
      </w:pPr>
      <w:r>
        <w:rPr>
          <w:rFonts w:hint="eastAsia"/>
          <w:lang w:val="en-US" w:eastAsia="zh-CN"/>
        </w:rPr>
        <w:t>评分细则表</w:t>
      </w:r>
    </w:p>
    <w:tbl>
      <w:tblPr>
        <w:tblStyle w:val="20"/>
        <w:tblpPr w:leftFromText="180" w:rightFromText="180" w:vertAnchor="text" w:tblpX="-477" w:tblpY="1"/>
        <w:tblOverlap w:val="never"/>
        <w:tblW w:w="5384"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81"/>
        <w:gridCol w:w="4551"/>
        <w:gridCol w:w="3928"/>
        <w:gridCol w:w="6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trPr>
        <w:tc>
          <w:tcPr>
            <w:tcW w:w="1181" w:type="dxa"/>
            <w:noWrap w:val="0"/>
            <w:vAlign w:val="center"/>
          </w:tcPr>
          <w:p>
            <w:pPr>
              <w:spacing w:line="520" w:lineRule="exact"/>
              <w:jc w:val="center"/>
              <w:rPr>
                <w:rFonts w:hint="eastAsia" w:ascii="宋体" w:hAnsi="宋体" w:eastAsia="宋体" w:cs="宋体"/>
                <w:b w:val="0"/>
                <w:bCs/>
                <w:sz w:val="18"/>
                <w:szCs w:val="18"/>
                <w:lang w:eastAsia="zh-CN"/>
              </w:rPr>
            </w:pPr>
            <w:r>
              <w:rPr>
                <w:rFonts w:hint="eastAsia" w:ascii="宋体" w:hAnsi="宋体" w:eastAsia="宋体" w:cs="宋体"/>
                <w:b w:val="0"/>
                <w:bCs/>
                <w:sz w:val="18"/>
                <w:szCs w:val="18"/>
              </w:rPr>
              <w:t>项  目</w:t>
            </w:r>
          </w:p>
        </w:tc>
        <w:tc>
          <w:tcPr>
            <w:tcW w:w="4551" w:type="dxa"/>
            <w:noWrap w:val="0"/>
            <w:vAlign w:val="center"/>
          </w:tcPr>
          <w:p>
            <w:pPr>
              <w:spacing w:line="520" w:lineRule="exact"/>
              <w:jc w:val="center"/>
              <w:rPr>
                <w:rFonts w:hint="eastAsia" w:ascii="宋体" w:hAnsi="宋体" w:eastAsia="宋体" w:cs="宋体"/>
                <w:b w:val="0"/>
                <w:bCs/>
                <w:sz w:val="18"/>
                <w:szCs w:val="18"/>
                <w:lang w:eastAsia="zh-CN"/>
              </w:rPr>
            </w:pPr>
            <w:r>
              <w:rPr>
                <w:rFonts w:hint="eastAsia" w:ascii="宋体" w:hAnsi="宋体" w:eastAsia="宋体" w:cs="宋体"/>
                <w:b w:val="0"/>
                <w:bCs/>
                <w:sz w:val="18"/>
                <w:szCs w:val="18"/>
              </w:rPr>
              <w:t>指  标  内  容</w:t>
            </w:r>
          </w:p>
        </w:tc>
        <w:tc>
          <w:tcPr>
            <w:tcW w:w="3928" w:type="dxa"/>
            <w:noWrap w:val="0"/>
            <w:vAlign w:val="center"/>
          </w:tcPr>
          <w:p>
            <w:pPr>
              <w:spacing w:line="520" w:lineRule="exact"/>
              <w:jc w:val="center"/>
              <w:rPr>
                <w:rFonts w:hint="eastAsia" w:ascii="宋体" w:hAnsi="宋体" w:eastAsia="宋体" w:cs="宋体"/>
                <w:b w:val="0"/>
                <w:bCs/>
                <w:sz w:val="18"/>
                <w:szCs w:val="18"/>
              </w:rPr>
            </w:pPr>
            <w:r>
              <w:rPr>
                <w:rFonts w:hint="eastAsia" w:ascii="宋体" w:hAnsi="宋体" w:eastAsia="宋体" w:cs="宋体"/>
                <w:b w:val="0"/>
                <w:bCs/>
                <w:sz w:val="18"/>
                <w:szCs w:val="18"/>
              </w:rPr>
              <w:t>评  分  标  准</w:t>
            </w:r>
          </w:p>
        </w:tc>
        <w:tc>
          <w:tcPr>
            <w:tcW w:w="645" w:type="dxa"/>
            <w:noWrap w:val="0"/>
            <w:vAlign w:val="center"/>
          </w:tcPr>
          <w:p>
            <w:pPr>
              <w:spacing w:line="520" w:lineRule="exact"/>
              <w:jc w:val="center"/>
              <w:rPr>
                <w:rFonts w:hint="eastAsia" w:ascii="宋体" w:hAnsi="宋体" w:eastAsia="宋体" w:cs="宋体"/>
                <w:b w:val="0"/>
                <w:bCs/>
                <w:sz w:val="18"/>
                <w:szCs w:val="18"/>
              </w:rPr>
            </w:pPr>
            <w:r>
              <w:rPr>
                <w:rFonts w:hint="eastAsia" w:ascii="宋体" w:hAnsi="宋体" w:eastAsia="宋体" w:cs="宋体"/>
                <w:b w:val="0"/>
                <w:bCs/>
                <w:sz w:val="18"/>
                <w:szCs w:val="18"/>
              </w:rPr>
              <w:t>得分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noWrap w:val="0"/>
            <w:vAlign w:val="center"/>
          </w:tcPr>
          <w:p>
            <w:pPr>
              <w:spacing w:line="5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一、资源配置（必备条件</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lang w:val="en-US" w:eastAsia="zh-CN"/>
              </w:rPr>
              <w:t>不达标者一票否决</w:t>
            </w:r>
            <w:r>
              <w:rPr>
                <w:rFonts w:hint="eastAsia" w:ascii="宋体" w:hAnsi="宋体" w:eastAsia="宋体" w:cs="宋体"/>
                <w:b w:val="0"/>
                <w:bCs/>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1.执业许可</w:t>
            </w:r>
          </w:p>
        </w:tc>
        <w:tc>
          <w:tcPr>
            <w:tcW w:w="4551" w:type="dxa"/>
            <w:noWrap w:val="0"/>
            <w:vAlign w:val="center"/>
          </w:tcPr>
          <w:p>
            <w:pPr>
              <w:spacing w:line="240" w:lineRule="auto"/>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1.1</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lang w:val="en-US" w:eastAsia="zh-CN"/>
              </w:rPr>
              <w:t>医疗机构执业许可证</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lang w:val="en-US" w:eastAsia="zh-CN"/>
              </w:rPr>
              <w:t>合法有效，未过期</w:t>
            </w:r>
            <w:r>
              <w:rPr>
                <w:rFonts w:hint="eastAsia" w:hAnsi="宋体" w:cs="宋体"/>
                <w:b w:val="0"/>
                <w:bCs/>
                <w:sz w:val="18"/>
                <w:szCs w:val="18"/>
                <w:lang w:val="en-US" w:eastAsia="zh-CN"/>
              </w:rPr>
              <w:t>。</w:t>
            </w:r>
          </w:p>
          <w:p>
            <w:pPr>
              <w:spacing w:line="240" w:lineRule="auto"/>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1.2</w:t>
            </w:r>
            <w:r>
              <w:rPr>
                <w:rFonts w:hint="eastAsia" w:ascii="宋体" w:hAnsi="宋体" w:eastAsia="宋体" w:cs="宋体"/>
                <w:b w:val="0"/>
                <w:bCs/>
                <w:sz w:val="18"/>
                <w:szCs w:val="18"/>
                <w:lang w:eastAsia="zh-CN"/>
              </w:rPr>
              <w:t>取得登记机关开展“健康体检”的执业许可</w:t>
            </w:r>
            <w:r>
              <w:rPr>
                <w:rFonts w:hint="eastAsia" w:hAnsi="宋体" w:cs="宋体"/>
                <w:b w:val="0"/>
                <w:bCs/>
                <w:sz w:val="18"/>
                <w:szCs w:val="18"/>
                <w:lang w:eastAsia="zh-CN"/>
              </w:rPr>
              <w:t>。</w:t>
            </w:r>
          </w:p>
          <w:p>
            <w:pPr>
              <w:spacing w:line="240" w:lineRule="auto"/>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1.</w:t>
            </w:r>
            <w:r>
              <w:rPr>
                <w:rFonts w:hint="eastAsia" w:ascii="宋体" w:hAnsi="宋体" w:eastAsia="宋体" w:cs="宋体"/>
                <w:b w:val="0"/>
                <w:bCs/>
                <w:sz w:val="18"/>
                <w:szCs w:val="18"/>
                <w:lang w:val="en-US" w:eastAsia="zh-CN"/>
              </w:rPr>
              <w:t>3</w:t>
            </w:r>
            <w:r>
              <w:rPr>
                <w:rFonts w:hint="eastAsia" w:ascii="宋体" w:hAnsi="宋体" w:eastAsia="宋体" w:cs="宋体"/>
                <w:b w:val="0"/>
                <w:bCs/>
                <w:sz w:val="18"/>
                <w:szCs w:val="18"/>
                <w:lang w:eastAsia="zh-CN"/>
              </w:rPr>
              <w:t>所开展的《健康体检项目目录》应当向其登记机关备案</w:t>
            </w:r>
            <w:r>
              <w:rPr>
                <w:rFonts w:hint="eastAsia" w:hAnsi="宋体" w:cs="宋体"/>
                <w:b w:val="0"/>
                <w:bCs/>
                <w:sz w:val="18"/>
                <w:szCs w:val="18"/>
                <w:lang w:eastAsia="zh-CN"/>
              </w:rPr>
              <w:t>。</w:t>
            </w:r>
          </w:p>
          <w:p>
            <w:pPr>
              <w:spacing w:line="240" w:lineRule="auto"/>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1.4机构对外招牌应与《执业许可证》登记名称一致</w:t>
            </w:r>
            <w:r>
              <w:rPr>
                <w:rFonts w:hint="eastAsia" w:hAnsi="宋体" w:cs="宋体"/>
                <w:b w:val="0"/>
                <w:bCs/>
                <w:sz w:val="18"/>
                <w:szCs w:val="18"/>
                <w:lang w:val="en-US" w:eastAsia="zh-CN"/>
              </w:rPr>
              <w:t>。</w:t>
            </w:r>
          </w:p>
          <w:p>
            <w:pPr>
              <w:spacing w:line="240" w:lineRule="auto"/>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1.5体检项目收费价格清晰，在显著位置公示。</w:t>
            </w:r>
          </w:p>
        </w:tc>
        <w:tc>
          <w:tcPr>
            <w:tcW w:w="3928" w:type="dxa"/>
            <w:noWrap w:val="0"/>
            <w:vAlign w:val="center"/>
          </w:tcPr>
          <w:p>
            <w:pPr>
              <w:spacing w:line="340" w:lineRule="exact"/>
              <w:ind w:left="0" w:leftChars="0" w:firstLine="0" w:firstLineChars="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1.出示《医疗机构执业许可证》原件或复印件，检查登记名称、执业范围、有效期等</w:t>
            </w:r>
            <w:r>
              <w:rPr>
                <w:rFonts w:hint="eastAsia" w:hAnsi="宋体" w:cs="宋体"/>
                <w:b w:val="0"/>
                <w:bCs/>
                <w:sz w:val="18"/>
                <w:szCs w:val="18"/>
                <w:lang w:val="en-US" w:eastAsia="zh-CN"/>
              </w:rPr>
              <w:t>。</w:t>
            </w:r>
          </w:p>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2.检查登记机关颁发的“健康体检”执业许可</w:t>
            </w:r>
            <w:r>
              <w:rPr>
                <w:rFonts w:hint="eastAsia" w:hAnsi="宋体" w:cs="宋体"/>
                <w:b w:val="0"/>
                <w:bCs/>
                <w:sz w:val="18"/>
                <w:szCs w:val="18"/>
                <w:lang w:val="en-US" w:eastAsia="zh-CN"/>
              </w:rPr>
              <w:t>。</w:t>
            </w:r>
          </w:p>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3.</w:t>
            </w:r>
            <w:r>
              <w:rPr>
                <w:rFonts w:hint="eastAsia" w:ascii="宋体" w:hAnsi="宋体" w:eastAsia="宋体" w:cs="宋体"/>
                <w:b w:val="0"/>
                <w:bCs/>
                <w:sz w:val="18"/>
                <w:szCs w:val="18"/>
                <w:lang w:eastAsia="zh-CN"/>
              </w:rPr>
              <w:t>所开展的健康体检项目未向登记机关备案或所开展的项目与《目录》不符，不合格</w:t>
            </w:r>
            <w:r>
              <w:rPr>
                <w:rFonts w:hint="eastAsia" w:hAnsi="宋体" w:cs="宋体"/>
                <w:b w:val="0"/>
                <w:bCs/>
                <w:sz w:val="18"/>
                <w:szCs w:val="18"/>
                <w:lang w:eastAsia="zh-CN"/>
              </w:rPr>
              <w:t>。</w:t>
            </w:r>
          </w:p>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 xml:space="preserve">4.机构开展的健康体检项目要求应满足中华医学会健康管理学分会2014年《健康体检基本项目目录（试行）》中“1+X”的规定，必选项目包括：健康体检自测问卷、一般检查（身高、体重、腰围、臀围、血压、脉搏）、物理检查（内科、外科、眼科、耳鼻喉科、口腔科、妇科）、常规检查（血尿常规）、生化检查（肝功能、肾功能、血脂、血糖、血尿酸等）、细胞学检查（妇科病理学检查）、心电图检查、X线检查、超声检查（腹部超声：肝、胆、胰、脾、肾）。 </w:t>
            </w:r>
          </w:p>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5.核对机构外招牌名称，必要时拍照记录</w:t>
            </w:r>
            <w:r>
              <w:rPr>
                <w:rFonts w:hint="eastAsia" w:hAnsi="宋体" w:cs="宋体"/>
                <w:b w:val="0"/>
                <w:bCs/>
                <w:sz w:val="18"/>
                <w:szCs w:val="18"/>
                <w:lang w:val="en-US" w:eastAsia="zh-CN"/>
              </w:rPr>
              <w:t>。</w:t>
            </w:r>
          </w:p>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6.检查机构体检项目收费标准公示情况。</w:t>
            </w:r>
          </w:p>
        </w:tc>
        <w:tc>
          <w:tcPr>
            <w:tcW w:w="645" w:type="dxa"/>
            <w:noWrap w:val="0"/>
            <w:vAlign w:val="center"/>
          </w:tcPr>
          <w:p>
            <w:pPr>
              <w:spacing w:line="340" w:lineRule="exact"/>
              <w:jc w:val="both"/>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合格/不合格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rPr>
              <w:t>2.场地设置</w:t>
            </w:r>
          </w:p>
          <w:p>
            <w:pPr>
              <w:spacing w:line="340" w:lineRule="exact"/>
              <w:ind w:left="9" w:leftChars="0" w:hanging="9" w:hangingChars="5"/>
              <w:jc w:val="both"/>
              <w:rPr>
                <w:rFonts w:hint="eastAsia" w:ascii="宋体" w:hAnsi="宋体" w:eastAsia="宋体" w:cs="宋体"/>
                <w:b w:val="0"/>
                <w:bCs/>
                <w:sz w:val="18"/>
                <w:szCs w:val="18"/>
                <w:lang w:val="en-US" w:eastAsia="zh-CN"/>
              </w:rPr>
            </w:pPr>
          </w:p>
        </w:tc>
        <w:tc>
          <w:tcPr>
            <w:tcW w:w="4551" w:type="dxa"/>
            <w:noWrap w:val="0"/>
            <w:vAlign w:val="center"/>
          </w:tcPr>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2.1.医院内体检机构：具有独立的健康体检场所及候检区域；总面积不少于400平方米，每个检查室面积不少于6平方米</w:t>
            </w:r>
            <w:r>
              <w:rPr>
                <w:rFonts w:hint="eastAsia" w:ascii="宋体" w:hAnsi="宋体" w:eastAsia="宋体" w:cs="宋体"/>
                <w:b w:val="0"/>
                <w:bCs/>
                <w:sz w:val="18"/>
                <w:szCs w:val="18"/>
                <w:lang w:eastAsia="zh-CN"/>
              </w:rPr>
              <w:t>。</w:t>
            </w:r>
          </w:p>
          <w:p>
            <w:pPr>
              <w:spacing w:line="34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2.2独立医学健康体检中心：具有独立的健康体检场所及候检场所，健康体检区域建筑总面积不少于1500平方米，每个独立的检查室使用面积不少于10平方米</w:t>
            </w:r>
            <w:r>
              <w:rPr>
                <w:rFonts w:hint="eastAsia" w:ascii="宋体" w:hAnsi="宋体" w:eastAsia="宋体" w:cs="宋体"/>
                <w:b w:val="0"/>
                <w:bCs/>
                <w:sz w:val="18"/>
                <w:szCs w:val="18"/>
                <w:lang w:eastAsia="zh-CN"/>
              </w:rPr>
              <w:t>。</w:t>
            </w:r>
          </w:p>
        </w:tc>
        <w:tc>
          <w:tcPr>
            <w:tcW w:w="3928" w:type="dxa"/>
            <w:noWrap w:val="0"/>
            <w:vAlign w:val="center"/>
          </w:tcPr>
          <w:p>
            <w:pPr>
              <w:spacing w:line="34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出示机构平面图原件或复印件，场地不达标</w:t>
            </w:r>
            <w:r>
              <w:rPr>
                <w:rFonts w:hint="eastAsia" w:hAnsi="宋体" w:cs="宋体"/>
                <w:b w:val="0"/>
                <w:bCs/>
                <w:sz w:val="18"/>
                <w:szCs w:val="18"/>
                <w:lang w:val="en-US" w:eastAsia="zh-CN"/>
              </w:rPr>
              <w:t>者，</w:t>
            </w:r>
            <w:r>
              <w:rPr>
                <w:rFonts w:hint="eastAsia" w:ascii="宋体" w:hAnsi="宋体" w:eastAsia="宋体" w:cs="宋体"/>
                <w:b w:val="0"/>
                <w:bCs/>
                <w:sz w:val="18"/>
                <w:szCs w:val="18"/>
                <w:lang w:val="en-US" w:eastAsia="zh-CN"/>
              </w:rPr>
              <w:t>不合格。</w:t>
            </w:r>
          </w:p>
        </w:tc>
        <w:tc>
          <w:tcPr>
            <w:tcW w:w="645" w:type="dxa"/>
            <w:noWrap w:val="0"/>
            <w:vAlign w:val="center"/>
          </w:tcPr>
          <w:p>
            <w:pPr>
              <w:spacing w:line="34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合格/不合格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jc w:val="both"/>
              <w:rPr>
                <w:rFonts w:hint="eastAsia" w:ascii="宋体" w:hAnsi="宋体" w:eastAsia="宋体" w:cs="宋体"/>
                <w:b w:val="0"/>
                <w:bCs/>
                <w:sz w:val="18"/>
                <w:szCs w:val="18"/>
              </w:rPr>
            </w:pPr>
            <w:r>
              <w:rPr>
                <w:rFonts w:hint="eastAsia" w:hAnsi="宋体" w:cs="宋体"/>
                <w:b w:val="0"/>
                <w:bCs/>
                <w:sz w:val="18"/>
                <w:szCs w:val="18"/>
                <w:lang w:val="en-US" w:eastAsia="zh-CN"/>
              </w:rPr>
              <w:t>3</w:t>
            </w:r>
            <w:r>
              <w:rPr>
                <w:rFonts w:hint="eastAsia" w:ascii="宋体" w:hAnsi="宋体" w:eastAsia="宋体" w:cs="宋体"/>
                <w:b w:val="0"/>
                <w:bCs/>
                <w:sz w:val="18"/>
                <w:szCs w:val="18"/>
              </w:rPr>
              <w:t>.科室设置</w:t>
            </w:r>
          </w:p>
        </w:tc>
        <w:tc>
          <w:tcPr>
            <w:tcW w:w="4551" w:type="dxa"/>
            <w:noWrap w:val="0"/>
            <w:vAlign w:val="center"/>
          </w:tcPr>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hAnsi="宋体" w:cs="宋体"/>
                <w:b w:val="0"/>
                <w:bCs/>
                <w:sz w:val="18"/>
                <w:szCs w:val="18"/>
                <w:lang w:val="en-US" w:eastAsia="zh-CN"/>
              </w:rPr>
              <w:t>3</w:t>
            </w:r>
            <w:r>
              <w:rPr>
                <w:rFonts w:hint="eastAsia" w:ascii="宋体" w:hAnsi="宋体" w:eastAsia="宋体" w:cs="宋体"/>
                <w:b w:val="0"/>
                <w:bCs/>
                <w:sz w:val="18"/>
                <w:szCs w:val="18"/>
              </w:rPr>
              <w:t>.1至少包括</w:t>
            </w:r>
            <w:r>
              <w:rPr>
                <w:rFonts w:hint="eastAsia" w:ascii="宋体" w:hAnsi="宋体" w:eastAsia="宋体" w:cs="宋体"/>
                <w:b w:val="0"/>
                <w:bCs/>
                <w:sz w:val="18"/>
                <w:szCs w:val="18"/>
                <w:lang w:eastAsia="zh-CN"/>
              </w:rPr>
              <w:t>一般检查、</w:t>
            </w:r>
            <w:r>
              <w:rPr>
                <w:rFonts w:hint="eastAsia" w:ascii="宋体" w:hAnsi="宋体" w:eastAsia="宋体" w:cs="宋体"/>
                <w:b w:val="0"/>
                <w:bCs/>
                <w:sz w:val="18"/>
                <w:szCs w:val="18"/>
              </w:rPr>
              <w:t>内科、外科、妇科、眼科、耳鼻咽喉科、口腔科，有独立的心电图、超声、放射检查科室</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hAnsi="宋体" w:cs="宋体"/>
                <w:b w:val="0"/>
                <w:bCs/>
                <w:sz w:val="18"/>
                <w:szCs w:val="18"/>
                <w:lang w:val="en-US" w:eastAsia="zh-CN"/>
              </w:rPr>
              <w:t>3</w:t>
            </w:r>
            <w:r>
              <w:rPr>
                <w:rFonts w:hint="eastAsia" w:ascii="宋体" w:hAnsi="宋体" w:eastAsia="宋体" w:cs="宋体"/>
                <w:b w:val="0"/>
                <w:bCs/>
                <w:sz w:val="18"/>
                <w:szCs w:val="18"/>
              </w:rPr>
              <w:t>.2医、检分离</w:t>
            </w:r>
            <w:r>
              <w:rPr>
                <w:rFonts w:hint="eastAsia" w:hAnsi="宋体" w:cs="宋体"/>
                <w:b w:val="0"/>
                <w:bCs/>
                <w:sz w:val="18"/>
                <w:szCs w:val="18"/>
                <w:lang w:eastAsia="zh-CN"/>
              </w:rPr>
              <w:t>。</w:t>
            </w:r>
          </w:p>
          <w:p>
            <w:pPr>
              <w:spacing w:line="340" w:lineRule="exact"/>
              <w:jc w:val="both"/>
              <w:rPr>
                <w:rFonts w:hint="default" w:ascii="宋体" w:hAnsi="宋体" w:eastAsia="宋体" w:cs="宋体"/>
                <w:b w:val="0"/>
                <w:bCs/>
                <w:sz w:val="18"/>
                <w:szCs w:val="18"/>
                <w:lang w:val="en-US" w:eastAsia="zh-CN"/>
              </w:rPr>
            </w:pPr>
            <w:r>
              <w:rPr>
                <w:rFonts w:hint="eastAsia" w:hAnsi="宋体" w:cs="宋体"/>
                <w:b w:val="0"/>
                <w:bCs/>
                <w:sz w:val="18"/>
                <w:szCs w:val="18"/>
                <w:lang w:val="en-US" w:eastAsia="zh-CN"/>
              </w:rPr>
              <w:t>3</w:t>
            </w:r>
            <w:r>
              <w:rPr>
                <w:rFonts w:hint="eastAsia" w:ascii="宋体" w:hAnsi="宋体" w:eastAsia="宋体" w:cs="宋体"/>
                <w:b w:val="0"/>
                <w:bCs/>
                <w:sz w:val="18"/>
                <w:szCs w:val="18"/>
                <w:lang w:val="en-US" w:eastAsia="zh-CN"/>
              </w:rPr>
              <w:t>.3各诊室及抽血室配有流动水消毒设施或其他符合院感要求的消毒设施。</w:t>
            </w:r>
          </w:p>
        </w:tc>
        <w:tc>
          <w:tcPr>
            <w:tcW w:w="3928"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科室设置不达标</w:t>
            </w:r>
            <w:r>
              <w:rPr>
                <w:rFonts w:hint="eastAsia" w:ascii="宋体" w:hAnsi="宋体" w:eastAsia="宋体" w:cs="宋体"/>
                <w:b w:val="0"/>
                <w:bCs/>
                <w:sz w:val="18"/>
                <w:szCs w:val="18"/>
                <w:lang w:eastAsia="zh-CN"/>
              </w:rPr>
              <w:t>者，</w:t>
            </w:r>
            <w:r>
              <w:rPr>
                <w:rFonts w:hint="eastAsia" w:ascii="宋体" w:hAnsi="宋体" w:eastAsia="宋体" w:cs="宋体"/>
                <w:b w:val="0"/>
                <w:bCs/>
                <w:sz w:val="18"/>
                <w:szCs w:val="18"/>
              </w:rPr>
              <w:t>不合格</w:t>
            </w:r>
            <w:r>
              <w:rPr>
                <w:rFonts w:hint="eastAsia" w:ascii="宋体" w:hAnsi="宋体" w:eastAsia="宋体" w:cs="宋体"/>
                <w:b w:val="0"/>
                <w:bCs/>
                <w:sz w:val="18"/>
                <w:szCs w:val="18"/>
                <w:lang w:eastAsia="zh-CN"/>
              </w:rPr>
              <w:t>。</w:t>
            </w:r>
          </w:p>
        </w:tc>
        <w:tc>
          <w:tcPr>
            <w:tcW w:w="645" w:type="dxa"/>
            <w:noWrap w:val="0"/>
            <w:vAlign w:val="center"/>
          </w:tcPr>
          <w:p>
            <w:pPr>
              <w:spacing w:line="340" w:lineRule="exact"/>
              <w:jc w:val="both"/>
              <w:rPr>
                <w:rFonts w:hint="eastAsia" w:ascii="宋体" w:hAnsi="宋体" w:eastAsia="宋体" w:cs="宋体"/>
                <w:b w:val="0"/>
                <w:bCs/>
                <w:kern w:val="2"/>
                <w:sz w:val="18"/>
                <w:szCs w:val="18"/>
                <w:lang w:val="en-US" w:eastAsia="zh-CN" w:bidi="ar-SA"/>
              </w:rPr>
            </w:pPr>
            <w:r>
              <w:rPr>
                <w:rFonts w:hint="eastAsia" w:ascii="宋体" w:hAnsi="宋体" w:eastAsia="宋体" w:cs="宋体"/>
                <w:b w:val="0"/>
                <w:bCs/>
                <w:sz w:val="18"/>
                <w:szCs w:val="18"/>
                <w:lang w:val="en-US" w:eastAsia="zh-CN"/>
              </w:rPr>
              <w:t>合格/不合格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jc w:val="both"/>
              <w:rPr>
                <w:rFonts w:hint="eastAsia" w:ascii="宋体" w:hAnsi="宋体" w:eastAsia="宋体" w:cs="宋体"/>
                <w:b w:val="0"/>
                <w:bCs/>
                <w:sz w:val="18"/>
                <w:szCs w:val="18"/>
              </w:rPr>
            </w:pPr>
            <w:r>
              <w:rPr>
                <w:rFonts w:hint="eastAsia" w:hAnsi="宋体" w:cs="宋体"/>
                <w:b w:val="0"/>
                <w:bCs/>
                <w:sz w:val="18"/>
                <w:szCs w:val="18"/>
                <w:lang w:val="en-US" w:eastAsia="zh-CN"/>
              </w:rPr>
              <w:t>4</w:t>
            </w:r>
            <w:r>
              <w:rPr>
                <w:rFonts w:hint="eastAsia" w:ascii="宋体" w:hAnsi="宋体" w:eastAsia="宋体" w:cs="宋体"/>
                <w:b w:val="0"/>
                <w:bCs/>
                <w:sz w:val="18"/>
                <w:szCs w:val="18"/>
              </w:rPr>
              <w:t>.人员配备与资质</w:t>
            </w:r>
          </w:p>
        </w:tc>
        <w:tc>
          <w:tcPr>
            <w:tcW w:w="4551" w:type="dxa"/>
            <w:noWrap w:val="0"/>
            <w:vAlign w:val="center"/>
          </w:tcPr>
          <w:p>
            <w:pPr>
              <w:spacing w:line="340" w:lineRule="exact"/>
              <w:ind w:left="9" w:leftChars="0" w:hanging="9" w:hangingChars="5"/>
              <w:jc w:val="both"/>
              <w:rPr>
                <w:rFonts w:hint="eastAsia" w:ascii="宋体" w:hAnsi="宋体" w:eastAsia="宋体" w:cs="宋体"/>
                <w:b w:val="0"/>
                <w:bCs/>
                <w:sz w:val="18"/>
                <w:szCs w:val="18"/>
              </w:rPr>
            </w:pPr>
            <w:r>
              <w:rPr>
                <w:rFonts w:hint="eastAsia" w:hAnsi="宋体" w:cs="宋体"/>
                <w:b w:val="0"/>
                <w:bCs/>
                <w:sz w:val="18"/>
                <w:szCs w:val="18"/>
                <w:lang w:val="en-US" w:eastAsia="zh-CN"/>
              </w:rPr>
              <w:t>4</w:t>
            </w:r>
            <w:r>
              <w:rPr>
                <w:rFonts w:hint="eastAsia" w:ascii="宋体" w:hAnsi="宋体" w:eastAsia="宋体" w:cs="宋体"/>
                <w:b w:val="0"/>
                <w:bCs/>
                <w:sz w:val="18"/>
                <w:szCs w:val="18"/>
              </w:rPr>
              <w:t>.1医生：</w:t>
            </w:r>
          </w:p>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①具有执业医师资格并注册在本机构，且工作内容与执业范围一致</w:t>
            </w:r>
            <w:r>
              <w:rPr>
                <w:rFonts w:hint="eastAsia" w:hAnsi="宋体" w:cs="宋体"/>
                <w:b w:val="0"/>
                <w:bCs/>
                <w:sz w:val="18"/>
                <w:szCs w:val="18"/>
                <w:lang w:eastAsia="zh-CN"/>
              </w:rPr>
              <w:t>；</w:t>
            </w:r>
          </w:p>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②至少具有2名</w:t>
            </w:r>
            <w:r>
              <w:rPr>
                <w:rFonts w:hint="eastAsia" w:ascii="宋体" w:hAnsi="宋体" w:eastAsia="宋体" w:cs="宋体"/>
                <w:b w:val="0"/>
                <w:bCs/>
                <w:sz w:val="18"/>
                <w:szCs w:val="18"/>
                <w:lang w:val="en-US" w:eastAsia="zh-CN"/>
              </w:rPr>
              <w:t>内科、外科或者全科医学专业、</w:t>
            </w:r>
            <w:r>
              <w:rPr>
                <w:rFonts w:hint="eastAsia" w:ascii="宋体" w:hAnsi="宋体" w:eastAsia="宋体" w:cs="宋体"/>
                <w:b w:val="0"/>
                <w:bCs/>
                <w:sz w:val="18"/>
                <w:szCs w:val="18"/>
              </w:rPr>
              <w:t>副高级</w:t>
            </w:r>
            <w:r>
              <w:rPr>
                <w:rFonts w:hint="eastAsia" w:ascii="宋体" w:hAnsi="宋体" w:eastAsia="宋体" w:cs="宋体"/>
                <w:b w:val="0"/>
                <w:bCs/>
                <w:sz w:val="18"/>
                <w:szCs w:val="18"/>
                <w:lang w:val="en-US" w:eastAsia="zh-CN"/>
              </w:rPr>
              <w:t>或</w:t>
            </w:r>
            <w:r>
              <w:rPr>
                <w:rFonts w:hint="eastAsia" w:ascii="宋体" w:hAnsi="宋体" w:eastAsia="宋体" w:cs="宋体"/>
                <w:b w:val="0"/>
                <w:bCs/>
                <w:sz w:val="18"/>
                <w:szCs w:val="18"/>
              </w:rPr>
              <w:t>以上专业技术职称的执业医师担任</w:t>
            </w:r>
            <w:r>
              <w:rPr>
                <w:rFonts w:hint="eastAsia" w:ascii="宋体" w:hAnsi="宋体" w:eastAsia="宋体" w:cs="宋体"/>
                <w:b w:val="0"/>
                <w:bCs/>
                <w:sz w:val="18"/>
                <w:szCs w:val="18"/>
                <w:lang w:val="en-US" w:eastAsia="zh-CN"/>
              </w:rPr>
              <w:t>专职</w:t>
            </w:r>
            <w:r>
              <w:rPr>
                <w:rFonts w:hint="eastAsia" w:ascii="宋体" w:hAnsi="宋体" w:eastAsia="宋体" w:cs="宋体"/>
                <w:b w:val="0"/>
                <w:bCs/>
                <w:sz w:val="18"/>
                <w:szCs w:val="18"/>
              </w:rPr>
              <w:t>主检医生</w:t>
            </w:r>
            <w:r>
              <w:rPr>
                <w:rFonts w:hint="eastAsia" w:ascii="宋体" w:hAnsi="宋体" w:eastAsia="宋体" w:cs="宋体"/>
                <w:b w:val="0"/>
                <w:bCs/>
                <w:sz w:val="18"/>
                <w:szCs w:val="18"/>
                <w:lang w:val="en-US" w:eastAsia="zh-CN"/>
              </w:rPr>
              <w:t>或者专职总审医生</w:t>
            </w:r>
            <w:r>
              <w:rPr>
                <w:rFonts w:hint="eastAsia" w:ascii="宋体" w:hAnsi="宋体" w:eastAsia="宋体" w:cs="宋体"/>
                <w:b w:val="0"/>
                <w:bCs/>
                <w:sz w:val="18"/>
                <w:szCs w:val="18"/>
              </w:rPr>
              <w:t>（独立医学健康体检中心至少</w:t>
            </w:r>
            <w:r>
              <w:rPr>
                <w:rFonts w:hint="eastAsia" w:ascii="宋体" w:hAnsi="宋体" w:eastAsia="宋体" w:cs="宋体"/>
                <w:b w:val="0"/>
                <w:bCs/>
                <w:sz w:val="18"/>
                <w:szCs w:val="18"/>
                <w:lang w:val="en-US" w:eastAsia="zh-CN"/>
              </w:rPr>
              <w:t>1</w:t>
            </w:r>
            <w:r>
              <w:rPr>
                <w:rFonts w:hint="eastAsia" w:ascii="宋体" w:hAnsi="宋体" w:eastAsia="宋体" w:cs="宋体"/>
                <w:b w:val="0"/>
                <w:bCs/>
                <w:sz w:val="18"/>
                <w:szCs w:val="18"/>
              </w:rPr>
              <w:t>名内科医师）</w:t>
            </w:r>
            <w:r>
              <w:rPr>
                <w:rFonts w:hint="eastAsia" w:hAnsi="宋体" w:cs="宋体"/>
                <w:b w:val="0"/>
                <w:bCs/>
                <w:sz w:val="18"/>
                <w:szCs w:val="18"/>
                <w:lang w:eastAsia="zh-CN"/>
              </w:rPr>
              <w:t>；</w:t>
            </w:r>
          </w:p>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③每个临床检查科室至少具有1名中级及以上专业技术职务任职资格的执业医师（独立医学健康体检中心每个临床检查科室至少2名专业技术职务任职资格的执业医师，其中1名中级及以上）</w:t>
            </w:r>
            <w:r>
              <w:rPr>
                <w:rFonts w:hint="eastAsia" w:hAnsi="宋体" w:cs="宋体"/>
                <w:b w:val="0"/>
                <w:bCs/>
                <w:sz w:val="18"/>
                <w:szCs w:val="18"/>
                <w:lang w:eastAsia="zh-CN"/>
              </w:rPr>
              <w:t>。</w:t>
            </w:r>
          </w:p>
          <w:p>
            <w:pPr>
              <w:spacing w:line="340" w:lineRule="exact"/>
              <w:ind w:left="361" w:hanging="270" w:hangingChars="150"/>
              <w:jc w:val="both"/>
              <w:rPr>
                <w:rFonts w:hint="eastAsia" w:ascii="宋体" w:hAnsi="宋体" w:eastAsia="宋体" w:cs="宋体"/>
                <w:b w:val="0"/>
                <w:bCs/>
                <w:sz w:val="18"/>
                <w:szCs w:val="18"/>
              </w:rPr>
            </w:pPr>
            <w:r>
              <w:rPr>
                <w:rFonts w:hint="eastAsia" w:hAnsi="宋体" w:cs="宋体"/>
                <w:b w:val="0"/>
                <w:bCs/>
                <w:sz w:val="18"/>
                <w:szCs w:val="18"/>
                <w:lang w:val="en-US" w:eastAsia="zh-CN"/>
              </w:rPr>
              <w:t>4</w:t>
            </w:r>
            <w:r>
              <w:rPr>
                <w:rFonts w:hint="eastAsia" w:ascii="宋体" w:hAnsi="宋体" w:eastAsia="宋体" w:cs="宋体"/>
                <w:b w:val="0"/>
                <w:bCs/>
                <w:sz w:val="18"/>
                <w:szCs w:val="18"/>
              </w:rPr>
              <w:t>.2医技：</w:t>
            </w:r>
          </w:p>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①医院内设体检机构：</w:t>
            </w:r>
            <w:r>
              <w:rPr>
                <w:rFonts w:hint="eastAsia" w:ascii="宋体" w:hAnsi="宋体" w:eastAsia="宋体" w:cs="宋体"/>
                <w:b w:val="0"/>
                <w:bCs/>
                <w:sz w:val="18"/>
                <w:szCs w:val="18"/>
                <w:lang w:eastAsia="zh-CN"/>
              </w:rPr>
              <w:t>技师</w:t>
            </w:r>
            <w:r>
              <w:rPr>
                <w:rFonts w:hint="eastAsia" w:ascii="宋体" w:hAnsi="宋体" w:eastAsia="宋体" w:cs="宋体"/>
                <w:b w:val="0"/>
                <w:bCs/>
                <w:sz w:val="18"/>
                <w:szCs w:val="18"/>
              </w:rPr>
              <w:t>具有</w:t>
            </w:r>
            <w:r>
              <w:rPr>
                <w:rFonts w:hint="eastAsia" w:ascii="宋体" w:hAnsi="宋体" w:eastAsia="宋体" w:cs="宋体"/>
                <w:b w:val="0"/>
                <w:bCs/>
                <w:sz w:val="18"/>
                <w:szCs w:val="18"/>
                <w:lang w:eastAsia="zh-CN"/>
              </w:rPr>
              <w:t>操作</w:t>
            </w:r>
            <w:r>
              <w:rPr>
                <w:rFonts w:hint="eastAsia" w:ascii="宋体" w:hAnsi="宋体" w:eastAsia="宋体" w:cs="宋体"/>
                <w:b w:val="0"/>
                <w:bCs/>
                <w:sz w:val="18"/>
                <w:szCs w:val="18"/>
              </w:rPr>
              <w:t>资格并注册在本机构，且工作内容与专业资质相一致</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具有上岗证</w:t>
            </w:r>
            <w:r>
              <w:rPr>
                <w:rFonts w:hint="eastAsia" w:ascii="宋体" w:hAnsi="宋体" w:eastAsia="宋体" w:cs="宋体"/>
                <w:b w:val="0"/>
                <w:bCs/>
                <w:sz w:val="18"/>
                <w:szCs w:val="18"/>
                <w:lang w:eastAsia="zh-CN"/>
              </w:rPr>
              <w:t>；</w:t>
            </w:r>
          </w:p>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②医学健康体检中心：</w:t>
            </w:r>
            <w:r>
              <w:rPr>
                <w:rFonts w:hint="eastAsia" w:ascii="宋体" w:hAnsi="宋体" w:eastAsia="宋体" w:cs="宋体"/>
                <w:b w:val="0"/>
                <w:bCs/>
                <w:sz w:val="18"/>
                <w:szCs w:val="18"/>
                <w:lang w:val="en-US" w:eastAsia="zh-CN"/>
              </w:rPr>
              <w:t>A：</w:t>
            </w:r>
            <w:r>
              <w:rPr>
                <w:rFonts w:hint="eastAsia" w:ascii="宋体" w:hAnsi="宋体" w:eastAsia="宋体" w:cs="宋体"/>
                <w:b w:val="0"/>
                <w:bCs/>
                <w:sz w:val="18"/>
                <w:szCs w:val="18"/>
              </w:rPr>
              <w:t>医学检验科（含核医学体外检测）至少具有5名（其中1名中级及以上）专业技术职务任职资格的执业技师；B：超声诊断专业至少具有1名副主任医师及以上专业技术职务任职资格的执业医师；C：放射诊断专业至少具有1名中级及以上专业技术职务任职资格的执业医师；D：心电诊断专业至少具有1名专业技术职务任职资格的执业医师；E：具有满足健康体检需要的其他卫生技术人员</w:t>
            </w:r>
            <w:r>
              <w:rPr>
                <w:rFonts w:hint="eastAsia" w:hAnsi="宋体" w:cs="宋体"/>
                <w:b w:val="0"/>
                <w:bCs/>
                <w:sz w:val="18"/>
                <w:szCs w:val="18"/>
                <w:lang w:eastAsia="zh-CN"/>
              </w:rPr>
              <w:t>。</w:t>
            </w:r>
          </w:p>
          <w:p>
            <w:pPr>
              <w:spacing w:line="340" w:lineRule="exact"/>
              <w:ind w:left="361" w:hanging="270" w:hangingChars="150"/>
              <w:jc w:val="both"/>
              <w:rPr>
                <w:rFonts w:hint="eastAsia" w:ascii="宋体" w:hAnsi="宋体" w:eastAsia="宋体" w:cs="宋体"/>
                <w:b w:val="0"/>
                <w:bCs/>
                <w:sz w:val="18"/>
                <w:szCs w:val="18"/>
              </w:rPr>
            </w:pPr>
            <w:r>
              <w:rPr>
                <w:rFonts w:hint="eastAsia" w:hAnsi="宋体" w:cs="宋体"/>
                <w:b w:val="0"/>
                <w:bCs/>
                <w:sz w:val="18"/>
                <w:szCs w:val="18"/>
                <w:lang w:val="en-US" w:eastAsia="zh-CN"/>
              </w:rPr>
              <w:t>4</w:t>
            </w:r>
            <w:r>
              <w:rPr>
                <w:rFonts w:hint="eastAsia" w:ascii="宋体" w:hAnsi="宋体" w:eastAsia="宋体" w:cs="宋体"/>
                <w:b w:val="0"/>
                <w:bCs/>
                <w:sz w:val="18"/>
                <w:szCs w:val="18"/>
              </w:rPr>
              <w:t>.3护士：</w:t>
            </w:r>
          </w:p>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①医院内设体检机构：具有执业护士资格并注册在本机构，至少具有10名注册护士</w:t>
            </w:r>
            <w:r>
              <w:rPr>
                <w:rFonts w:hint="eastAsia" w:ascii="宋体" w:hAnsi="宋体" w:eastAsia="宋体" w:cs="宋体"/>
                <w:b w:val="0"/>
                <w:bCs/>
                <w:sz w:val="18"/>
                <w:szCs w:val="18"/>
                <w:lang w:eastAsia="zh-CN"/>
              </w:rPr>
              <w:t>；</w:t>
            </w:r>
          </w:p>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②独立医学健康体检中心：至少具有15名注册护士，其中至少5名</w:t>
            </w:r>
            <w:r>
              <w:rPr>
                <w:rFonts w:hint="eastAsia" w:ascii="宋体" w:hAnsi="宋体" w:eastAsia="宋体" w:cs="宋体"/>
                <w:b w:val="0"/>
                <w:bCs/>
                <w:sz w:val="18"/>
                <w:szCs w:val="18"/>
                <w:lang w:eastAsia="zh-CN"/>
              </w:rPr>
              <w:t>具有</w:t>
            </w:r>
            <w:r>
              <w:rPr>
                <w:rFonts w:hint="eastAsia" w:ascii="宋体" w:hAnsi="宋体" w:eastAsia="宋体" w:cs="宋体"/>
                <w:b w:val="0"/>
                <w:bCs/>
                <w:sz w:val="18"/>
                <w:szCs w:val="18"/>
              </w:rPr>
              <w:t>主管护师及以上任职资格</w:t>
            </w:r>
            <w:r>
              <w:rPr>
                <w:rFonts w:hint="eastAsia" w:ascii="宋体" w:hAnsi="宋体" w:eastAsia="宋体" w:cs="宋体"/>
                <w:b w:val="0"/>
                <w:bCs/>
                <w:sz w:val="18"/>
                <w:szCs w:val="18"/>
                <w:lang w:eastAsia="zh-CN"/>
              </w:rPr>
              <w:t>。</w:t>
            </w:r>
          </w:p>
        </w:tc>
        <w:tc>
          <w:tcPr>
            <w:tcW w:w="3928"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人员配备与资质不达标</w:t>
            </w:r>
            <w:r>
              <w:rPr>
                <w:rFonts w:hint="eastAsia" w:ascii="宋体" w:hAnsi="宋体" w:eastAsia="宋体" w:cs="宋体"/>
                <w:b w:val="0"/>
                <w:bCs/>
                <w:sz w:val="18"/>
                <w:szCs w:val="18"/>
                <w:lang w:eastAsia="zh-CN"/>
              </w:rPr>
              <w:t>者，</w:t>
            </w:r>
            <w:r>
              <w:rPr>
                <w:rFonts w:hint="eastAsia" w:ascii="宋体" w:hAnsi="宋体" w:eastAsia="宋体" w:cs="宋体"/>
                <w:b w:val="0"/>
                <w:bCs/>
                <w:sz w:val="18"/>
                <w:szCs w:val="18"/>
              </w:rPr>
              <w:t>不合格</w:t>
            </w:r>
            <w:r>
              <w:rPr>
                <w:rFonts w:hint="eastAsia" w:ascii="宋体" w:hAnsi="宋体" w:eastAsia="宋体" w:cs="宋体"/>
                <w:b w:val="0"/>
                <w:bCs/>
                <w:sz w:val="18"/>
                <w:szCs w:val="18"/>
                <w:lang w:eastAsia="zh-CN"/>
              </w:rPr>
              <w:t>。</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1.</w:t>
            </w:r>
            <w:r>
              <w:rPr>
                <w:rFonts w:hint="eastAsia" w:ascii="宋体" w:hAnsi="宋体" w:eastAsia="宋体" w:cs="宋体"/>
                <w:b w:val="0"/>
                <w:bCs/>
                <w:sz w:val="18"/>
                <w:szCs w:val="18"/>
                <w:lang w:val="en-US" w:eastAsia="zh-CN"/>
              </w:rPr>
              <w:t>出示科室人员花名册、医务人员执业证书原件或复印件、医技人员上岗证或操作证原件或复印件</w:t>
            </w:r>
            <w:r>
              <w:rPr>
                <w:rFonts w:hint="eastAsia" w:hAnsi="宋体" w:cs="宋体"/>
                <w:b w:val="0"/>
                <w:bCs/>
                <w:sz w:val="18"/>
                <w:szCs w:val="18"/>
                <w:lang w:val="en-US"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2.出示主检及体检医师执业证书及专业技术资格证书原件或复印件。</w:t>
            </w:r>
          </w:p>
        </w:tc>
        <w:tc>
          <w:tcPr>
            <w:tcW w:w="645" w:type="dxa"/>
            <w:noWrap w:val="0"/>
            <w:vAlign w:val="center"/>
          </w:tcPr>
          <w:p>
            <w:pPr>
              <w:spacing w:line="340" w:lineRule="exact"/>
              <w:jc w:val="both"/>
              <w:rPr>
                <w:rFonts w:hint="eastAsia" w:ascii="宋体" w:hAnsi="宋体" w:eastAsia="宋体" w:cs="宋体"/>
                <w:b w:val="0"/>
                <w:bCs/>
                <w:kern w:val="2"/>
                <w:sz w:val="18"/>
                <w:szCs w:val="18"/>
                <w:lang w:val="en-US" w:eastAsia="zh-CN" w:bidi="ar-SA"/>
              </w:rPr>
            </w:pPr>
            <w:r>
              <w:rPr>
                <w:rFonts w:hint="eastAsia" w:ascii="宋体" w:hAnsi="宋体" w:eastAsia="宋体" w:cs="宋体"/>
                <w:b w:val="0"/>
                <w:bCs/>
                <w:sz w:val="18"/>
                <w:szCs w:val="18"/>
                <w:lang w:val="en-US" w:eastAsia="zh-CN"/>
              </w:rPr>
              <w:t>合格/不合格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w:t>
            </w:r>
            <w:r>
              <w:rPr>
                <w:rFonts w:hint="eastAsia" w:ascii="宋体" w:hAnsi="宋体" w:eastAsia="宋体" w:cs="宋体"/>
                <w:b w:val="0"/>
                <w:bCs/>
                <w:sz w:val="18"/>
                <w:szCs w:val="18"/>
              </w:rPr>
              <w:t>.体检软件系统</w:t>
            </w:r>
          </w:p>
        </w:tc>
        <w:tc>
          <w:tcPr>
            <w:tcW w:w="4551" w:type="dxa"/>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具有并应用信息化健康体检软件系统</w:t>
            </w:r>
            <w:r>
              <w:rPr>
                <w:rFonts w:hint="eastAsia" w:ascii="宋体" w:hAnsi="宋体" w:eastAsia="宋体" w:cs="宋体"/>
                <w:b w:val="0"/>
                <w:bCs/>
                <w:sz w:val="18"/>
                <w:szCs w:val="18"/>
                <w:lang w:eastAsia="zh-CN"/>
              </w:rPr>
              <w:t>。</w:t>
            </w:r>
          </w:p>
        </w:tc>
        <w:tc>
          <w:tcPr>
            <w:tcW w:w="3928" w:type="dxa"/>
            <w:noWrap w:val="0"/>
            <w:vAlign w:val="center"/>
          </w:tcPr>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无信息化健康体检软件系统</w:t>
            </w:r>
            <w:r>
              <w:rPr>
                <w:rFonts w:hint="eastAsia" w:ascii="宋体" w:hAnsi="宋体" w:eastAsia="宋体" w:cs="宋体"/>
                <w:b w:val="0"/>
                <w:bCs/>
                <w:sz w:val="18"/>
                <w:szCs w:val="18"/>
                <w:lang w:val="en-US" w:eastAsia="zh-CN"/>
              </w:rPr>
              <w:t>或者系统自动化程度很低</w:t>
            </w:r>
            <w:r>
              <w:rPr>
                <w:rFonts w:hint="eastAsia" w:ascii="宋体" w:hAnsi="宋体" w:eastAsia="宋体" w:cs="宋体"/>
                <w:b w:val="0"/>
                <w:bCs/>
                <w:sz w:val="18"/>
                <w:szCs w:val="18"/>
                <w:lang w:eastAsia="zh-CN"/>
              </w:rPr>
              <w:t>。</w:t>
            </w:r>
          </w:p>
        </w:tc>
        <w:tc>
          <w:tcPr>
            <w:tcW w:w="645" w:type="dxa"/>
            <w:noWrap w:val="0"/>
            <w:vAlign w:val="center"/>
          </w:tcPr>
          <w:p>
            <w:pPr>
              <w:spacing w:line="34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合格/不合格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noWrap w:val="0"/>
            <w:vAlign w:val="center"/>
          </w:tcPr>
          <w:p>
            <w:pPr>
              <w:spacing w:line="5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二、设备管理与维护</w:t>
            </w:r>
            <w:r>
              <w:rPr>
                <w:rFonts w:hint="eastAsia" w:hAnsi="宋体" w:cs="宋体"/>
                <w:b w:val="0"/>
                <w:bCs/>
                <w:sz w:val="18"/>
                <w:szCs w:val="18"/>
                <w:lang w:eastAsia="zh-CN"/>
              </w:rPr>
              <w:t>（</w:t>
            </w:r>
            <w:r>
              <w:rPr>
                <w:rFonts w:hint="eastAsia" w:hAnsi="宋体" w:cs="宋体"/>
                <w:b w:val="0"/>
                <w:bCs/>
                <w:sz w:val="18"/>
                <w:szCs w:val="18"/>
                <w:lang w:val="en-US" w:eastAsia="zh-CN"/>
              </w:rPr>
              <w:t>25分</w:t>
            </w:r>
            <w:r>
              <w:rPr>
                <w:rFonts w:hint="eastAsia" w:hAnsi="宋体" w:cs="宋体"/>
                <w:b w:val="0"/>
                <w:bCs/>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1.一般设备</w:t>
            </w:r>
          </w:p>
          <w:p>
            <w:pPr>
              <w:spacing w:line="34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（4分）</w:t>
            </w:r>
          </w:p>
        </w:tc>
        <w:tc>
          <w:tcPr>
            <w:tcW w:w="4551"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1.1测量</w:t>
            </w:r>
            <w:r>
              <w:rPr>
                <w:rFonts w:hint="eastAsia" w:hAnsi="宋体" w:cs="宋体"/>
                <w:b w:val="0"/>
                <w:bCs/>
                <w:sz w:val="18"/>
                <w:szCs w:val="18"/>
                <w:lang w:eastAsia="zh-CN"/>
              </w:rPr>
              <w:t>软</w:t>
            </w:r>
            <w:r>
              <w:rPr>
                <w:rFonts w:hint="eastAsia" w:ascii="宋体" w:hAnsi="宋体" w:eastAsia="宋体" w:cs="宋体"/>
                <w:b w:val="0"/>
                <w:bCs/>
                <w:sz w:val="18"/>
                <w:szCs w:val="18"/>
              </w:rPr>
              <w:t>尺、身高体重仪、血压计</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1.2眼科：视力表、裂隙灯、检眼镜</w:t>
            </w:r>
            <w:r>
              <w:rPr>
                <w:rFonts w:hint="eastAsia" w:hAnsi="宋体" w:cs="宋体"/>
                <w:b w:val="0"/>
                <w:bCs/>
                <w:sz w:val="18"/>
                <w:szCs w:val="18"/>
                <w:lang w:eastAsia="zh-CN"/>
              </w:rPr>
              <w:t>。</w:t>
            </w:r>
          </w:p>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1.3耳鼻咽喉科：具备额镜、扩鼻器、压舌板、间接喉镜</w:t>
            </w:r>
            <w:r>
              <w:rPr>
                <w:rFonts w:hint="eastAsia" w:hAnsi="宋体" w:cs="宋体"/>
                <w:b w:val="0"/>
                <w:bCs/>
                <w:sz w:val="18"/>
                <w:szCs w:val="18"/>
                <w:lang w:eastAsia="zh-CN"/>
              </w:rPr>
              <w:t>。</w:t>
            </w:r>
          </w:p>
          <w:p>
            <w:pPr>
              <w:spacing w:line="340" w:lineRule="exact"/>
              <w:ind w:left="0" w:leftChars="0" w:firstLine="0" w:firstLineChars="0"/>
              <w:jc w:val="both"/>
              <w:rPr>
                <w:rFonts w:hint="eastAsia" w:hAnsi="宋体" w:cs="宋体"/>
                <w:b w:val="0"/>
                <w:bCs/>
                <w:sz w:val="18"/>
                <w:szCs w:val="18"/>
                <w:lang w:eastAsia="zh-CN"/>
              </w:rPr>
            </w:pPr>
            <w:r>
              <w:rPr>
                <w:rFonts w:hint="eastAsia" w:ascii="宋体" w:hAnsi="宋体" w:eastAsia="宋体" w:cs="宋体"/>
                <w:b w:val="0"/>
                <w:bCs/>
                <w:sz w:val="18"/>
                <w:szCs w:val="18"/>
              </w:rPr>
              <w:t>1.4口腔科：具备口腔科综合治疗椅、口腔科常规检查器具，满足每人一套, 包括：口镜、镊子、探针等</w:t>
            </w:r>
            <w:r>
              <w:rPr>
                <w:rFonts w:hint="eastAsia" w:hAnsi="宋体" w:cs="宋体"/>
                <w:b w:val="0"/>
                <w:bCs/>
                <w:sz w:val="18"/>
                <w:szCs w:val="18"/>
                <w:lang w:eastAsia="zh-CN"/>
              </w:rPr>
              <w:t>。</w:t>
            </w:r>
          </w:p>
          <w:p>
            <w:pPr>
              <w:spacing w:line="340" w:lineRule="exact"/>
              <w:ind w:left="0" w:leftChars="0" w:firstLine="0" w:firstLineChars="0"/>
              <w:jc w:val="both"/>
              <w:rPr>
                <w:rFonts w:hint="eastAsia" w:hAnsi="宋体" w:cs="宋体"/>
                <w:b w:val="0"/>
                <w:bCs/>
                <w:sz w:val="18"/>
                <w:szCs w:val="18"/>
                <w:lang w:eastAsia="zh-CN"/>
              </w:rPr>
            </w:pPr>
            <w:r>
              <w:rPr>
                <w:rFonts w:hint="eastAsia" w:hAnsi="宋体" w:cs="宋体"/>
                <w:b w:val="0"/>
                <w:bCs/>
                <w:sz w:val="18"/>
                <w:szCs w:val="18"/>
                <w:lang w:val="en-US" w:eastAsia="zh-CN"/>
              </w:rPr>
              <w:t>1.5妇科：妇科检查床、鹅颈灯。</w:t>
            </w:r>
          </w:p>
        </w:tc>
        <w:tc>
          <w:tcPr>
            <w:tcW w:w="3928"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每缺1项</w:t>
            </w:r>
            <w:r>
              <w:rPr>
                <w:rFonts w:hint="eastAsia" w:hAnsi="宋体" w:cs="宋体"/>
                <w:b w:val="0"/>
                <w:bCs/>
                <w:sz w:val="18"/>
                <w:szCs w:val="18"/>
                <w:lang w:eastAsia="zh-CN"/>
              </w:rPr>
              <w:t>设备</w:t>
            </w:r>
            <w:r>
              <w:rPr>
                <w:rFonts w:hint="eastAsia" w:ascii="宋体" w:hAnsi="宋体" w:eastAsia="宋体" w:cs="宋体"/>
                <w:b w:val="0"/>
                <w:bCs/>
                <w:sz w:val="18"/>
                <w:szCs w:val="18"/>
              </w:rPr>
              <w:t>扣1分</w:t>
            </w:r>
            <w:r>
              <w:rPr>
                <w:rFonts w:hint="eastAsia" w:ascii="宋体" w:hAnsi="宋体" w:eastAsia="宋体" w:cs="宋体"/>
                <w:b w:val="0"/>
                <w:bCs/>
                <w:sz w:val="18"/>
                <w:szCs w:val="18"/>
                <w:lang w:eastAsia="zh-CN"/>
              </w:rPr>
              <w:t>。</w:t>
            </w:r>
          </w:p>
        </w:tc>
        <w:tc>
          <w:tcPr>
            <w:tcW w:w="645" w:type="dxa"/>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2</w:t>
            </w:r>
            <w:r>
              <w:rPr>
                <w:rFonts w:hint="eastAsia" w:ascii="宋体" w:hAnsi="宋体" w:eastAsia="宋体" w:cs="宋体"/>
                <w:b w:val="0"/>
                <w:bCs/>
                <w:sz w:val="18"/>
                <w:szCs w:val="18"/>
              </w:rPr>
              <w:t>.抢救设备</w:t>
            </w:r>
          </w:p>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 xml:space="preserve">  （4分）</w:t>
            </w:r>
          </w:p>
        </w:tc>
        <w:tc>
          <w:tcPr>
            <w:tcW w:w="4551" w:type="dxa"/>
            <w:noWrap w:val="0"/>
            <w:vAlign w:val="center"/>
          </w:tcPr>
          <w:p>
            <w:pPr>
              <w:spacing w:line="340" w:lineRule="exact"/>
              <w:ind w:left="0" w:leftChars="0" w:firstLine="0" w:firstLineChars="0"/>
              <w:jc w:val="both"/>
              <w:rPr>
                <w:rFonts w:hint="default" w:ascii="宋体" w:hAnsi="宋体" w:eastAsia="宋体" w:cs="宋体"/>
                <w:b w:val="0"/>
                <w:bCs/>
                <w:sz w:val="18"/>
                <w:szCs w:val="18"/>
                <w:lang w:val="en-US"/>
              </w:rPr>
            </w:pPr>
            <w:r>
              <w:rPr>
                <w:rFonts w:hint="eastAsia" w:ascii="宋体" w:hAnsi="宋体" w:eastAsia="宋体" w:cs="宋体"/>
                <w:b w:val="0"/>
                <w:bCs/>
                <w:sz w:val="18"/>
                <w:szCs w:val="18"/>
                <w:lang w:val="en-US" w:eastAsia="zh-CN"/>
              </w:rPr>
              <w:t>2</w:t>
            </w:r>
            <w:r>
              <w:rPr>
                <w:rFonts w:hint="eastAsia" w:ascii="宋体" w:hAnsi="宋体" w:eastAsia="宋体" w:cs="宋体"/>
                <w:b w:val="0"/>
                <w:bCs/>
                <w:sz w:val="18"/>
                <w:szCs w:val="18"/>
              </w:rPr>
              <w:t>.1</w:t>
            </w:r>
            <w:r>
              <w:rPr>
                <w:rFonts w:hint="eastAsia" w:ascii="宋体" w:hAnsi="宋体" w:eastAsia="宋体" w:cs="宋体"/>
                <w:b w:val="0"/>
                <w:bCs/>
                <w:sz w:val="18"/>
                <w:szCs w:val="18"/>
                <w:lang w:val="en-US" w:eastAsia="zh-CN"/>
              </w:rPr>
              <w:t>体检部门必须备有抢救车或者类似抢救设备</w:t>
            </w:r>
            <w:r>
              <w:rPr>
                <w:rFonts w:hint="eastAsia" w:hAnsi="宋体" w:cs="宋体"/>
                <w:b w:val="0"/>
                <w:bCs/>
                <w:sz w:val="18"/>
                <w:szCs w:val="18"/>
                <w:lang w:val="en-US" w:eastAsia="zh-CN"/>
              </w:rPr>
              <w:t>。</w:t>
            </w:r>
          </w:p>
          <w:p>
            <w:pPr>
              <w:spacing w:line="340" w:lineRule="exact"/>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2</w:t>
            </w:r>
            <w:r>
              <w:rPr>
                <w:rFonts w:hint="eastAsia" w:ascii="宋体" w:hAnsi="宋体" w:eastAsia="宋体" w:cs="宋体"/>
                <w:b w:val="0"/>
                <w:bCs/>
                <w:sz w:val="18"/>
                <w:szCs w:val="18"/>
              </w:rPr>
              <w:t>.2</w:t>
            </w:r>
            <w:r>
              <w:rPr>
                <w:rFonts w:hint="eastAsia" w:ascii="宋体" w:hAnsi="宋体" w:eastAsia="宋体" w:cs="宋体"/>
                <w:b w:val="0"/>
                <w:bCs/>
                <w:sz w:val="18"/>
                <w:szCs w:val="18"/>
                <w:lang w:val="en-US" w:eastAsia="zh-CN"/>
              </w:rPr>
              <w:t>抢救车定点放置，专人管理；每周自检1次，做好记录，贴上封条</w:t>
            </w:r>
            <w:r>
              <w:rPr>
                <w:rFonts w:hint="eastAsia" w:hAnsi="宋体" w:cs="宋体"/>
                <w:b w:val="0"/>
                <w:bCs/>
                <w:sz w:val="18"/>
                <w:szCs w:val="18"/>
                <w:lang w:val="en-US" w:eastAsia="zh-CN"/>
              </w:rPr>
              <w:t>。</w:t>
            </w:r>
          </w:p>
          <w:p>
            <w:pPr>
              <w:spacing w:line="340" w:lineRule="exact"/>
              <w:ind w:left="0" w:leftChars="0" w:firstLine="0" w:firstLineChars="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w:t>
            </w:r>
            <w:r>
              <w:rPr>
                <w:rFonts w:hint="eastAsia" w:ascii="宋体" w:hAnsi="宋体" w:eastAsia="宋体" w:cs="宋体"/>
                <w:b w:val="0"/>
                <w:bCs/>
                <w:sz w:val="18"/>
                <w:szCs w:val="18"/>
              </w:rPr>
              <w:t>.3抢救车内至少包含：常规急救药品、开口器、拉舌钳、简易人工呼吸器、手电筒、血压计</w:t>
            </w:r>
            <w:r>
              <w:rPr>
                <w:rFonts w:hint="eastAsia" w:ascii="宋体" w:hAnsi="宋体" w:eastAsia="宋体" w:cs="宋体"/>
                <w:b w:val="0"/>
                <w:bCs/>
                <w:sz w:val="18"/>
                <w:szCs w:val="18"/>
                <w:lang w:val="en-US" w:eastAsia="zh-CN"/>
              </w:rPr>
              <w:t>等</w:t>
            </w:r>
            <w:r>
              <w:rPr>
                <w:rFonts w:hint="eastAsia" w:hAnsi="宋体" w:cs="宋体"/>
                <w:b w:val="0"/>
                <w:bCs/>
                <w:sz w:val="18"/>
                <w:szCs w:val="18"/>
                <w:lang w:val="en-US" w:eastAsia="zh-CN"/>
              </w:rPr>
              <w:t>。</w:t>
            </w:r>
          </w:p>
          <w:p>
            <w:pPr>
              <w:spacing w:line="340" w:lineRule="exact"/>
              <w:ind w:left="0" w:leftChars="0" w:firstLine="0" w:firstLineChars="0"/>
              <w:jc w:val="both"/>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w:t>
            </w:r>
            <w:r>
              <w:rPr>
                <w:rFonts w:hint="eastAsia" w:ascii="宋体" w:hAnsi="宋体" w:eastAsia="宋体" w:cs="宋体"/>
                <w:b w:val="0"/>
                <w:bCs/>
                <w:sz w:val="18"/>
                <w:szCs w:val="18"/>
              </w:rPr>
              <w:t>.4</w:t>
            </w:r>
            <w:r>
              <w:rPr>
                <w:rFonts w:hint="eastAsia" w:ascii="宋体" w:hAnsi="宋体" w:eastAsia="宋体" w:cs="宋体"/>
                <w:b w:val="0"/>
                <w:bCs/>
                <w:sz w:val="18"/>
                <w:szCs w:val="18"/>
                <w:lang w:val="en-US" w:eastAsia="zh-CN"/>
              </w:rPr>
              <w:t>配有供氧装置，不依托医院的独立体检中心还应具备心脏除颤仪（AED）及其他抢救设备</w:t>
            </w:r>
            <w:r>
              <w:rPr>
                <w:rFonts w:hint="eastAsia" w:hAnsi="宋体" w:cs="宋体"/>
                <w:b w:val="0"/>
                <w:bCs/>
                <w:sz w:val="18"/>
                <w:szCs w:val="18"/>
                <w:lang w:val="en-US" w:eastAsia="zh-CN"/>
              </w:rPr>
              <w:t>。</w:t>
            </w:r>
          </w:p>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2</w:t>
            </w:r>
            <w:r>
              <w:rPr>
                <w:rFonts w:hint="eastAsia" w:ascii="宋体" w:hAnsi="宋体" w:eastAsia="宋体" w:cs="宋体"/>
                <w:b w:val="0"/>
                <w:bCs/>
                <w:sz w:val="18"/>
                <w:szCs w:val="18"/>
              </w:rPr>
              <w:t>.5</w:t>
            </w:r>
            <w:r>
              <w:rPr>
                <w:rFonts w:hint="eastAsia" w:ascii="宋体" w:hAnsi="宋体" w:eastAsia="宋体" w:cs="宋体"/>
                <w:b w:val="0"/>
                <w:bCs/>
                <w:sz w:val="18"/>
                <w:szCs w:val="18"/>
                <w:lang w:val="en-US" w:eastAsia="zh-CN"/>
              </w:rPr>
              <w:t>具有抢救预案、抢救记录本、抢救车及物品定期检查记录。</w:t>
            </w:r>
          </w:p>
        </w:tc>
        <w:tc>
          <w:tcPr>
            <w:tcW w:w="3928"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1.无抢救设备扣</w:t>
            </w:r>
            <w:r>
              <w:rPr>
                <w:rFonts w:hint="eastAsia" w:ascii="宋体" w:hAnsi="宋体" w:eastAsia="宋体" w:cs="宋体"/>
                <w:b w:val="0"/>
                <w:bCs/>
                <w:sz w:val="18"/>
                <w:szCs w:val="18"/>
                <w:lang w:val="en-US" w:eastAsia="zh-CN"/>
              </w:rPr>
              <w:t>4</w:t>
            </w:r>
            <w:r>
              <w:rPr>
                <w:rFonts w:hint="eastAsia" w:ascii="宋体" w:hAnsi="宋体" w:eastAsia="宋体" w:cs="宋体"/>
                <w:b w:val="0"/>
                <w:bCs/>
                <w:sz w:val="18"/>
                <w:szCs w:val="18"/>
                <w:lang w:eastAsia="zh-CN"/>
              </w:rPr>
              <w:t>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2.</w:t>
            </w:r>
            <w:r>
              <w:rPr>
                <w:rFonts w:hint="eastAsia" w:ascii="宋体" w:hAnsi="宋体" w:eastAsia="宋体" w:cs="宋体"/>
                <w:b w:val="0"/>
                <w:bCs/>
                <w:sz w:val="18"/>
                <w:szCs w:val="18"/>
                <w:lang w:val="en-US" w:eastAsia="zh-CN"/>
              </w:rPr>
              <w:t>抢救车管理不规范扣2分</w:t>
            </w:r>
            <w:r>
              <w:rPr>
                <w:rFonts w:hint="eastAsia" w:hAnsi="宋体" w:cs="宋体"/>
                <w:b w:val="0"/>
                <w:bCs/>
                <w:sz w:val="18"/>
                <w:szCs w:val="18"/>
                <w:lang w:val="en-US"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3.</w:t>
            </w:r>
            <w:r>
              <w:rPr>
                <w:rFonts w:hint="eastAsia" w:ascii="宋体" w:hAnsi="宋体" w:eastAsia="宋体" w:cs="宋体"/>
                <w:b w:val="0"/>
                <w:bCs/>
                <w:sz w:val="18"/>
                <w:szCs w:val="18"/>
                <w:lang w:eastAsia="zh-CN"/>
              </w:rPr>
              <w:t>抢救药品及设施不全或药品过期失效扣2分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4.无抢救</w:t>
            </w:r>
            <w:r>
              <w:rPr>
                <w:rFonts w:hint="eastAsia" w:ascii="宋体" w:hAnsi="宋体" w:eastAsia="宋体" w:cs="宋体"/>
                <w:b w:val="0"/>
                <w:bCs/>
                <w:sz w:val="18"/>
                <w:szCs w:val="18"/>
                <w:lang w:val="en-US" w:eastAsia="zh-CN"/>
              </w:rPr>
              <w:t>预案</w:t>
            </w:r>
            <w:r>
              <w:rPr>
                <w:rFonts w:hint="eastAsia" w:ascii="宋体" w:hAnsi="宋体" w:eastAsia="宋体" w:cs="宋体"/>
                <w:b w:val="0"/>
                <w:bCs/>
                <w:sz w:val="18"/>
                <w:szCs w:val="18"/>
                <w:lang w:eastAsia="zh-CN"/>
              </w:rPr>
              <w:t>扣1分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5.无定期检查记录扣1分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6.检查供氧、心脏除颤仪等抢救设备，设备能否正常使用</w:t>
            </w:r>
            <w:r>
              <w:rPr>
                <w:rFonts w:hint="eastAsia" w:hAnsi="宋体" w:cs="宋体"/>
                <w:b w:val="0"/>
                <w:bCs/>
                <w:sz w:val="18"/>
                <w:szCs w:val="18"/>
                <w:lang w:val="en-US" w:eastAsia="zh-CN"/>
              </w:rPr>
              <w:t>。每缺1项</w:t>
            </w:r>
            <w:r>
              <w:rPr>
                <w:rFonts w:hint="eastAsia" w:ascii="宋体" w:hAnsi="宋体" w:eastAsia="宋体" w:cs="宋体"/>
                <w:b w:val="0"/>
                <w:bCs/>
                <w:sz w:val="18"/>
                <w:szCs w:val="18"/>
                <w:lang w:val="en-US" w:eastAsia="zh-CN"/>
              </w:rPr>
              <w:t>扣4分。</w:t>
            </w:r>
          </w:p>
        </w:tc>
        <w:tc>
          <w:tcPr>
            <w:tcW w:w="645" w:type="dxa"/>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3.心电图</w:t>
            </w:r>
          </w:p>
          <w:p>
            <w:pPr>
              <w:spacing w:line="34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w:t>
            </w:r>
            <w:r>
              <w:rPr>
                <w:rFonts w:hint="eastAsia" w:ascii="宋体" w:hAnsi="宋体" w:eastAsia="宋体" w:cs="宋体"/>
                <w:b w:val="0"/>
                <w:bCs/>
                <w:sz w:val="18"/>
                <w:szCs w:val="18"/>
                <w:lang w:val="en-US" w:eastAsia="zh-CN"/>
              </w:rPr>
              <w:t>3</w:t>
            </w:r>
            <w:r>
              <w:rPr>
                <w:rFonts w:hint="eastAsia" w:ascii="宋体" w:hAnsi="宋体" w:eastAsia="宋体" w:cs="宋体"/>
                <w:b w:val="0"/>
                <w:bCs/>
                <w:sz w:val="18"/>
                <w:szCs w:val="18"/>
              </w:rPr>
              <w:t>分）</w:t>
            </w:r>
          </w:p>
        </w:tc>
        <w:tc>
          <w:tcPr>
            <w:tcW w:w="4551" w:type="dxa"/>
            <w:noWrap w:val="0"/>
            <w:vAlign w:val="center"/>
          </w:tcPr>
          <w:p>
            <w:pPr>
              <w:spacing w:line="34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3.1十二导联同步心电图仪</w:t>
            </w:r>
            <w:r>
              <w:rPr>
                <w:rFonts w:hint="eastAsia" w:hAnsi="宋体" w:cs="宋体"/>
                <w:b w:val="0"/>
                <w:bCs/>
                <w:sz w:val="18"/>
                <w:szCs w:val="18"/>
                <w:lang w:eastAsia="zh-CN"/>
              </w:rPr>
              <w:t>。</w:t>
            </w:r>
          </w:p>
          <w:p>
            <w:pPr>
              <w:spacing w:line="34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3.2</w:t>
            </w:r>
            <w:r>
              <w:rPr>
                <w:rFonts w:hint="eastAsia" w:ascii="宋体" w:hAnsi="宋体" w:eastAsia="宋体" w:cs="宋体"/>
                <w:b w:val="0"/>
                <w:bCs/>
                <w:sz w:val="18"/>
                <w:szCs w:val="18"/>
                <w:lang w:val="en-US" w:eastAsia="zh-CN"/>
              </w:rPr>
              <w:t>设备年检合格记录、定期校正记录</w:t>
            </w:r>
            <w:r>
              <w:rPr>
                <w:rFonts w:hint="eastAsia" w:hAnsi="宋体" w:cs="宋体"/>
                <w:b w:val="0"/>
                <w:bCs/>
                <w:sz w:val="18"/>
                <w:szCs w:val="18"/>
                <w:lang w:val="en-US" w:eastAsia="zh-CN"/>
              </w:rPr>
              <w:t>。</w:t>
            </w:r>
          </w:p>
          <w:p>
            <w:pPr>
              <w:spacing w:line="34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3.3</w:t>
            </w:r>
            <w:r>
              <w:rPr>
                <w:rFonts w:hint="eastAsia" w:ascii="宋体" w:hAnsi="宋体" w:eastAsia="宋体" w:cs="宋体"/>
                <w:b w:val="0"/>
                <w:bCs/>
                <w:sz w:val="18"/>
                <w:szCs w:val="18"/>
                <w:lang w:val="en-US" w:eastAsia="zh-CN"/>
              </w:rPr>
              <w:t>设备应</w:t>
            </w:r>
            <w:r>
              <w:rPr>
                <w:rFonts w:hint="eastAsia" w:ascii="宋体" w:hAnsi="宋体" w:eastAsia="宋体" w:cs="宋体"/>
                <w:b w:val="0"/>
                <w:bCs/>
                <w:sz w:val="18"/>
                <w:szCs w:val="18"/>
                <w:lang w:eastAsia="zh-CN"/>
              </w:rPr>
              <w:t>有</w:t>
            </w:r>
            <w:r>
              <w:rPr>
                <w:rFonts w:hint="eastAsia" w:ascii="宋体" w:hAnsi="宋体" w:eastAsia="宋体" w:cs="宋体"/>
                <w:b w:val="0"/>
                <w:bCs/>
                <w:sz w:val="18"/>
                <w:szCs w:val="18"/>
                <w:lang w:val="en-US" w:eastAsia="zh-CN"/>
              </w:rPr>
              <w:t>备案登记记录，记录内明确设备负责人</w:t>
            </w:r>
            <w:r>
              <w:rPr>
                <w:rFonts w:hint="eastAsia" w:hAnsi="宋体" w:cs="宋体"/>
                <w:b w:val="0"/>
                <w:bCs/>
                <w:sz w:val="18"/>
                <w:szCs w:val="18"/>
                <w:lang w:val="en-US" w:eastAsia="zh-CN"/>
              </w:rPr>
              <w:t>。</w:t>
            </w:r>
          </w:p>
          <w:p>
            <w:pPr>
              <w:spacing w:line="34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3.4有</w:t>
            </w:r>
            <w:r>
              <w:rPr>
                <w:rFonts w:hint="eastAsia" w:ascii="宋体" w:hAnsi="宋体" w:eastAsia="宋体" w:cs="宋体"/>
                <w:b w:val="0"/>
                <w:bCs/>
                <w:sz w:val="18"/>
                <w:szCs w:val="18"/>
                <w:lang w:eastAsia="zh-CN"/>
              </w:rPr>
              <w:t>维修保养制度及记录</w:t>
            </w:r>
            <w:r>
              <w:rPr>
                <w:rFonts w:hint="eastAsia" w:hAnsi="宋体" w:cs="宋体"/>
                <w:b w:val="0"/>
                <w:bCs/>
                <w:sz w:val="18"/>
                <w:szCs w:val="18"/>
                <w:lang w:eastAsia="zh-CN"/>
              </w:rPr>
              <w:t>。</w:t>
            </w:r>
          </w:p>
          <w:p>
            <w:pPr>
              <w:spacing w:line="34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3.5有设备使用规程。</w:t>
            </w:r>
          </w:p>
        </w:tc>
        <w:tc>
          <w:tcPr>
            <w:tcW w:w="3928"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1.无单独心电图仪扣3分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2.</w:t>
            </w:r>
            <w:r>
              <w:rPr>
                <w:rFonts w:hint="eastAsia" w:ascii="宋体" w:hAnsi="宋体" w:eastAsia="宋体" w:cs="宋体"/>
                <w:b w:val="0"/>
                <w:bCs/>
                <w:sz w:val="18"/>
                <w:szCs w:val="18"/>
                <w:lang w:val="en-US" w:eastAsia="zh-CN"/>
              </w:rPr>
              <w:t>无年检合格记录，每台扣</w:t>
            </w:r>
            <w:r>
              <w:rPr>
                <w:rFonts w:hint="eastAsia" w:ascii="宋体" w:hAnsi="宋体" w:eastAsia="宋体" w:cs="宋体"/>
                <w:b w:val="0"/>
                <w:bCs/>
                <w:sz w:val="18"/>
                <w:szCs w:val="18"/>
                <w:lang w:eastAsia="zh-CN"/>
              </w:rPr>
              <w:t>1分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3.出示设备备案登记本原件</w:t>
            </w:r>
            <w:r>
              <w:rPr>
                <w:rFonts w:hint="eastAsia" w:hAnsi="宋体" w:cs="宋体"/>
                <w:b w:val="0"/>
                <w:bCs/>
                <w:sz w:val="18"/>
                <w:szCs w:val="18"/>
                <w:lang w:val="en-US"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4</w:t>
            </w:r>
            <w:r>
              <w:rPr>
                <w:rFonts w:hint="eastAsia" w:ascii="宋体" w:hAnsi="宋体" w:eastAsia="宋体" w:cs="宋体"/>
                <w:b w:val="0"/>
                <w:bCs/>
                <w:sz w:val="18"/>
                <w:szCs w:val="18"/>
                <w:lang w:eastAsia="zh-CN"/>
              </w:rPr>
              <w:t>.无维修保养制度及记录或记录不全每台扣1分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5.无设备使用规程扣1分</w:t>
            </w:r>
            <w:r>
              <w:rPr>
                <w:rFonts w:hint="eastAsia" w:hAnsi="宋体" w:cs="宋体"/>
                <w:b w:val="0"/>
                <w:bCs/>
                <w:sz w:val="18"/>
                <w:szCs w:val="18"/>
                <w:lang w:val="en-US" w:eastAsia="zh-CN"/>
              </w:rPr>
              <w:t>。</w:t>
            </w:r>
          </w:p>
        </w:tc>
        <w:tc>
          <w:tcPr>
            <w:tcW w:w="645" w:type="dxa"/>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14" w:hRule="atLeast"/>
        </w:trPr>
        <w:tc>
          <w:tcPr>
            <w:tcW w:w="1181" w:type="dxa"/>
            <w:noWrap w:val="0"/>
            <w:vAlign w:val="center"/>
          </w:tcPr>
          <w:p>
            <w:pPr>
              <w:spacing w:line="340" w:lineRule="exact"/>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4.超声检查仪（5分）</w:t>
            </w:r>
          </w:p>
        </w:tc>
        <w:tc>
          <w:tcPr>
            <w:tcW w:w="4551"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4.1有满足工作需要的超声检查仪</w:t>
            </w:r>
            <w:r>
              <w:rPr>
                <w:rFonts w:hint="eastAsia" w:hAnsi="宋体" w:cs="宋体"/>
                <w:b w:val="0"/>
                <w:bCs/>
                <w:sz w:val="18"/>
                <w:szCs w:val="18"/>
                <w:lang w:eastAsia="zh-CN"/>
              </w:rPr>
              <w:t>。</w:t>
            </w:r>
          </w:p>
          <w:p>
            <w:pPr>
              <w:spacing w:line="34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4.2</w:t>
            </w:r>
            <w:r>
              <w:rPr>
                <w:rFonts w:hint="eastAsia" w:ascii="宋体" w:hAnsi="宋体" w:eastAsia="宋体" w:cs="宋体"/>
                <w:b w:val="0"/>
                <w:bCs/>
                <w:sz w:val="18"/>
                <w:szCs w:val="18"/>
                <w:lang w:val="en-US" w:eastAsia="zh-CN"/>
              </w:rPr>
              <w:t>设备年检合格记录、定期校正记录</w:t>
            </w:r>
            <w:r>
              <w:rPr>
                <w:rFonts w:hint="eastAsia" w:hAnsi="宋体" w:cs="宋体"/>
                <w:b w:val="0"/>
                <w:bCs/>
                <w:sz w:val="18"/>
                <w:szCs w:val="18"/>
                <w:lang w:val="en-US" w:eastAsia="zh-CN"/>
              </w:rPr>
              <w:t>。</w:t>
            </w:r>
          </w:p>
          <w:p>
            <w:pPr>
              <w:spacing w:line="34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4.3</w:t>
            </w:r>
            <w:r>
              <w:rPr>
                <w:rFonts w:hint="eastAsia" w:ascii="宋体" w:hAnsi="宋体" w:eastAsia="宋体" w:cs="宋体"/>
                <w:b w:val="0"/>
                <w:bCs/>
                <w:sz w:val="18"/>
                <w:szCs w:val="18"/>
                <w:lang w:val="en-US" w:eastAsia="zh-CN"/>
              </w:rPr>
              <w:t>设备应有备案登记记录，记录内明确设备负责人</w:t>
            </w:r>
            <w:r>
              <w:rPr>
                <w:rFonts w:hint="eastAsia" w:hAnsi="宋体" w:cs="宋体"/>
                <w:b w:val="0"/>
                <w:bCs/>
                <w:sz w:val="18"/>
                <w:szCs w:val="18"/>
                <w:lang w:val="en-US" w:eastAsia="zh-CN"/>
              </w:rPr>
              <w:t>。</w:t>
            </w:r>
          </w:p>
          <w:p>
            <w:pPr>
              <w:spacing w:line="34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4.4有维修保养制度及记录</w:t>
            </w:r>
            <w:r>
              <w:rPr>
                <w:rFonts w:hint="eastAsia" w:hAnsi="宋体" w:cs="宋体"/>
                <w:b w:val="0"/>
                <w:bCs/>
                <w:sz w:val="18"/>
                <w:szCs w:val="18"/>
                <w:lang w:val="en-US" w:eastAsia="zh-CN"/>
              </w:rPr>
              <w:t>。</w:t>
            </w:r>
          </w:p>
          <w:p>
            <w:pPr>
              <w:spacing w:line="34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4.5有设备使用规程。</w:t>
            </w:r>
          </w:p>
        </w:tc>
        <w:tc>
          <w:tcPr>
            <w:tcW w:w="3928"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1.无单独超声检查仪扣5分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2.</w:t>
            </w:r>
            <w:r>
              <w:rPr>
                <w:rFonts w:hint="eastAsia" w:ascii="宋体" w:hAnsi="宋体" w:eastAsia="宋体" w:cs="宋体"/>
                <w:b w:val="0"/>
                <w:bCs/>
                <w:sz w:val="18"/>
                <w:szCs w:val="18"/>
                <w:lang w:val="en-US" w:eastAsia="zh-CN"/>
              </w:rPr>
              <w:t>无年检合格记录，每台扣1分</w:t>
            </w:r>
            <w:r>
              <w:rPr>
                <w:rFonts w:hint="eastAsia" w:hAnsi="宋体" w:cs="宋体"/>
                <w:b w:val="0"/>
                <w:bCs/>
                <w:sz w:val="18"/>
                <w:szCs w:val="18"/>
                <w:lang w:val="en-US" w:eastAsia="zh-CN"/>
              </w:rPr>
              <w:t>。</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3.出示设备备案登记本原件</w:t>
            </w:r>
            <w:r>
              <w:rPr>
                <w:rFonts w:hint="eastAsia" w:hAnsi="宋体" w:cs="宋体"/>
                <w:b w:val="0"/>
                <w:bCs/>
                <w:sz w:val="18"/>
                <w:szCs w:val="18"/>
                <w:lang w:val="en-US" w:eastAsia="zh-CN"/>
              </w:rPr>
              <w:t>。</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w:t>
            </w:r>
            <w:r>
              <w:rPr>
                <w:rFonts w:hint="eastAsia" w:ascii="宋体" w:hAnsi="宋体" w:eastAsia="宋体" w:cs="宋体"/>
                <w:b w:val="0"/>
                <w:bCs/>
                <w:sz w:val="18"/>
                <w:szCs w:val="18"/>
                <w:lang w:eastAsia="zh-CN"/>
              </w:rPr>
              <w:t>.无维修保养制度及记录或记录不全每台扣1分</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5.无设备使用规程扣1分。</w:t>
            </w:r>
          </w:p>
        </w:tc>
        <w:tc>
          <w:tcPr>
            <w:tcW w:w="645" w:type="dxa"/>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5.放射设备</w:t>
            </w:r>
          </w:p>
          <w:p>
            <w:pPr>
              <w:spacing w:line="34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（5分）</w:t>
            </w:r>
          </w:p>
        </w:tc>
        <w:tc>
          <w:tcPr>
            <w:tcW w:w="4551" w:type="dxa"/>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5.1</w:t>
            </w:r>
            <w:r>
              <w:rPr>
                <w:rFonts w:hint="eastAsia" w:ascii="宋体" w:hAnsi="宋体" w:eastAsia="宋体" w:cs="宋体"/>
                <w:b w:val="0"/>
                <w:bCs/>
                <w:sz w:val="18"/>
                <w:szCs w:val="18"/>
                <w:lang w:val="en-US" w:eastAsia="zh-CN"/>
              </w:rPr>
              <w:t>有</w:t>
            </w:r>
            <w:r>
              <w:rPr>
                <w:rFonts w:hint="eastAsia" w:ascii="宋体" w:hAnsi="宋体" w:eastAsia="宋体" w:cs="宋体"/>
                <w:b w:val="0"/>
                <w:bCs/>
                <w:sz w:val="18"/>
                <w:szCs w:val="18"/>
                <w:lang w:eastAsia="zh-CN"/>
              </w:rPr>
              <w:t>DR或CR设备</w:t>
            </w:r>
            <w:r>
              <w:rPr>
                <w:rFonts w:hint="eastAsia" w:hAnsi="宋体" w:cs="宋体"/>
                <w:b w:val="0"/>
                <w:bCs/>
                <w:sz w:val="18"/>
                <w:szCs w:val="18"/>
                <w:lang w:eastAsia="zh-CN"/>
              </w:rPr>
              <w:t>。</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5.2设备年检合格记录、定期校正记录</w:t>
            </w:r>
            <w:r>
              <w:rPr>
                <w:rFonts w:hint="eastAsia" w:hAnsi="宋体" w:cs="宋体"/>
                <w:b w:val="0"/>
                <w:bCs/>
                <w:sz w:val="18"/>
                <w:szCs w:val="18"/>
                <w:lang w:val="en-US" w:eastAsia="zh-CN"/>
              </w:rPr>
              <w:t>。</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5.</w:t>
            </w:r>
            <w:r>
              <w:rPr>
                <w:rFonts w:hint="eastAsia" w:ascii="宋体" w:hAnsi="宋体" w:eastAsia="宋体" w:cs="宋体"/>
                <w:b w:val="0"/>
                <w:bCs/>
                <w:sz w:val="18"/>
                <w:szCs w:val="18"/>
                <w:lang w:val="en-US" w:eastAsia="zh-CN"/>
              </w:rPr>
              <w:t>3设备应有备案登记记录，记录内明确设备负责人。</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5.</w:t>
            </w:r>
            <w:r>
              <w:rPr>
                <w:rFonts w:hint="eastAsia" w:ascii="宋体" w:hAnsi="宋体" w:eastAsia="宋体" w:cs="宋体"/>
                <w:b w:val="0"/>
                <w:bCs/>
                <w:sz w:val="18"/>
                <w:szCs w:val="18"/>
                <w:lang w:val="en-US" w:eastAsia="zh-CN"/>
              </w:rPr>
              <w:t>4</w:t>
            </w:r>
            <w:r>
              <w:rPr>
                <w:rFonts w:hint="eastAsia" w:ascii="宋体" w:hAnsi="宋体" w:eastAsia="宋体" w:cs="宋体"/>
                <w:b w:val="0"/>
                <w:bCs/>
                <w:sz w:val="18"/>
                <w:szCs w:val="18"/>
                <w:lang w:eastAsia="zh-CN"/>
              </w:rPr>
              <w:t>有维</w:t>
            </w:r>
            <w:r>
              <w:rPr>
                <w:rFonts w:hint="eastAsia" w:ascii="宋体" w:hAnsi="宋体" w:eastAsia="宋体" w:cs="宋体"/>
                <w:b w:val="0"/>
                <w:bCs/>
                <w:sz w:val="18"/>
                <w:szCs w:val="18"/>
                <w:lang w:val="en-US" w:eastAsia="zh-CN"/>
              </w:rPr>
              <w:t>修</w:t>
            </w:r>
            <w:r>
              <w:rPr>
                <w:rFonts w:hint="eastAsia" w:ascii="宋体" w:hAnsi="宋体" w:eastAsia="宋体" w:cs="宋体"/>
                <w:b w:val="0"/>
                <w:bCs/>
                <w:sz w:val="18"/>
                <w:szCs w:val="18"/>
                <w:lang w:eastAsia="zh-CN"/>
              </w:rPr>
              <w:t>保养制度及记录。</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5.5有设备使用规程。</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5.6受检者防护个人用品至少两套。</w:t>
            </w:r>
          </w:p>
        </w:tc>
        <w:tc>
          <w:tcPr>
            <w:tcW w:w="3928" w:type="dxa"/>
            <w:noWrap w:val="0"/>
            <w:vAlign w:val="center"/>
          </w:tcPr>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1.无独立放射设备扣5分；</w:t>
            </w:r>
            <w:r>
              <w:rPr>
                <w:rFonts w:hint="eastAsia" w:ascii="宋体" w:hAnsi="宋体" w:eastAsia="宋体" w:cs="宋体"/>
                <w:b w:val="0"/>
                <w:bCs/>
                <w:sz w:val="18"/>
                <w:szCs w:val="18"/>
                <w:lang w:val="en-US" w:eastAsia="zh-CN"/>
              </w:rPr>
              <w:t>透视设备不合格并扣5分。</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2.</w:t>
            </w:r>
            <w:r>
              <w:rPr>
                <w:rFonts w:hint="eastAsia" w:ascii="宋体" w:hAnsi="宋体" w:eastAsia="宋体" w:cs="宋体"/>
                <w:b w:val="0"/>
                <w:bCs/>
                <w:sz w:val="18"/>
                <w:szCs w:val="18"/>
                <w:lang w:val="en-US" w:eastAsia="zh-CN"/>
              </w:rPr>
              <w:t>无年检合格记录，每台扣1分。</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3.</w:t>
            </w:r>
            <w:r>
              <w:rPr>
                <w:rFonts w:hint="eastAsia" w:ascii="宋体" w:hAnsi="宋体" w:eastAsia="宋体" w:cs="宋体"/>
                <w:b w:val="0"/>
                <w:bCs/>
                <w:sz w:val="18"/>
                <w:szCs w:val="18"/>
                <w:lang w:val="en-US" w:eastAsia="zh-CN"/>
              </w:rPr>
              <w:t>出示设备备案登记本原件。</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4.无维修保养制度及记录或记录不全</w:t>
            </w:r>
            <w:r>
              <w:rPr>
                <w:rFonts w:hint="eastAsia" w:ascii="宋体" w:hAnsi="宋体" w:eastAsia="宋体" w:cs="宋体"/>
                <w:b w:val="0"/>
                <w:bCs/>
                <w:sz w:val="18"/>
                <w:szCs w:val="18"/>
                <w:lang w:val="en-US" w:eastAsia="zh-CN"/>
              </w:rPr>
              <w:t>每台</w:t>
            </w:r>
            <w:r>
              <w:rPr>
                <w:rFonts w:hint="eastAsia" w:ascii="宋体" w:hAnsi="宋体" w:eastAsia="宋体" w:cs="宋体"/>
                <w:b w:val="0"/>
                <w:bCs/>
                <w:sz w:val="18"/>
                <w:szCs w:val="18"/>
                <w:lang w:eastAsia="zh-CN"/>
              </w:rPr>
              <w:t>扣1分。</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5.无设备使用规程扣1分。</w:t>
            </w:r>
          </w:p>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6.无防护用品扣1分；少1套扣0.5分。</w:t>
            </w:r>
          </w:p>
        </w:tc>
        <w:tc>
          <w:tcPr>
            <w:tcW w:w="645" w:type="dxa"/>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6</w:t>
            </w:r>
            <w:r>
              <w:rPr>
                <w:rFonts w:hint="eastAsia" w:ascii="宋体" w:hAnsi="宋体" w:eastAsia="宋体" w:cs="宋体"/>
                <w:b w:val="0"/>
                <w:bCs/>
                <w:sz w:val="18"/>
                <w:szCs w:val="18"/>
              </w:rPr>
              <w:t>.检验设备</w:t>
            </w:r>
          </w:p>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 xml:space="preserve">  （4分）</w:t>
            </w:r>
          </w:p>
        </w:tc>
        <w:tc>
          <w:tcPr>
            <w:tcW w:w="4551" w:type="dxa"/>
            <w:noWrap w:val="0"/>
            <w:vAlign w:val="center"/>
          </w:tcPr>
          <w:p>
            <w:pPr>
              <w:spacing w:line="32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没有设置检验部门、检验设备、检验项目者不用检查。</w:t>
            </w:r>
          </w:p>
          <w:p>
            <w:pPr>
              <w:spacing w:line="32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6</w:t>
            </w:r>
            <w:r>
              <w:rPr>
                <w:rFonts w:hint="eastAsia" w:ascii="宋体" w:hAnsi="宋体" w:eastAsia="宋体" w:cs="宋体"/>
                <w:b w:val="0"/>
                <w:bCs/>
                <w:sz w:val="18"/>
                <w:szCs w:val="18"/>
                <w:lang w:eastAsia="zh-CN"/>
              </w:rPr>
              <w:t>.1</w:t>
            </w:r>
            <w:r>
              <w:rPr>
                <w:rFonts w:hint="eastAsia" w:ascii="宋体" w:hAnsi="宋体" w:eastAsia="宋体" w:cs="宋体"/>
                <w:b w:val="0"/>
                <w:bCs/>
                <w:sz w:val="18"/>
                <w:szCs w:val="18"/>
                <w:lang w:val="en-US" w:eastAsia="zh-CN"/>
              </w:rPr>
              <w:t>按照检验质控指标定期检查登记。</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6</w:t>
            </w:r>
            <w:r>
              <w:rPr>
                <w:rFonts w:hint="eastAsia" w:ascii="宋体" w:hAnsi="宋体" w:eastAsia="宋体" w:cs="宋体"/>
                <w:b w:val="0"/>
                <w:bCs/>
                <w:sz w:val="18"/>
                <w:szCs w:val="18"/>
                <w:lang w:eastAsia="zh-CN"/>
              </w:rPr>
              <w:t>.2有维护保养制度及记录。</w:t>
            </w:r>
          </w:p>
        </w:tc>
        <w:tc>
          <w:tcPr>
            <w:tcW w:w="3928" w:type="dxa"/>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没有设置检验部门、检验设备、检验项目者不扣分</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eastAsia="zh-CN"/>
              </w:rPr>
              <w:t>1.</w:t>
            </w:r>
            <w:r>
              <w:rPr>
                <w:rFonts w:hint="eastAsia" w:ascii="宋体" w:hAnsi="宋体" w:eastAsia="宋体" w:cs="宋体"/>
                <w:b w:val="0"/>
                <w:bCs/>
                <w:sz w:val="18"/>
                <w:szCs w:val="18"/>
                <w:lang w:val="en-US" w:eastAsia="zh-CN"/>
              </w:rPr>
              <w:t>未按照检验质控指标定期检查登记者，扣4分。</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2.维护保养制度及记录</w:t>
            </w:r>
            <w:r>
              <w:rPr>
                <w:rFonts w:hint="eastAsia" w:ascii="宋体" w:hAnsi="宋体" w:eastAsia="宋体" w:cs="宋体"/>
                <w:b w:val="0"/>
                <w:bCs/>
                <w:sz w:val="18"/>
                <w:szCs w:val="18"/>
                <w:lang w:val="en-US" w:eastAsia="zh-CN"/>
              </w:rPr>
              <w:t>缺失或者不全者，扣4分。</w:t>
            </w:r>
          </w:p>
        </w:tc>
        <w:tc>
          <w:tcPr>
            <w:tcW w:w="645" w:type="dxa"/>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noWrap w:val="0"/>
            <w:vAlign w:val="center"/>
          </w:tcPr>
          <w:p>
            <w:pPr>
              <w:spacing w:line="5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三、质量管理</w:t>
            </w:r>
            <w:r>
              <w:rPr>
                <w:rFonts w:hint="eastAsia" w:hAnsi="宋体" w:cs="宋体"/>
                <w:b w:val="0"/>
                <w:bCs/>
                <w:sz w:val="18"/>
                <w:szCs w:val="18"/>
                <w:lang w:eastAsia="zh-CN"/>
              </w:rPr>
              <w:t>（</w:t>
            </w:r>
            <w:r>
              <w:rPr>
                <w:rFonts w:hint="eastAsia" w:hAnsi="宋体" w:cs="宋体"/>
                <w:b w:val="0"/>
                <w:bCs/>
                <w:sz w:val="18"/>
                <w:szCs w:val="18"/>
                <w:lang w:val="en-US" w:eastAsia="zh-CN"/>
              </w:rPr>
              <w:t>80分</w:t>
            </w:r>
            <w:r>
              <w:rPr>
                <w:rFonts w:hint="eastAsia" w:hAnsi="宋体" w:cs="宋体"/>
                <w:b w:val="0"/>
                <w:bCs/>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1.组织与制度建设</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（10分）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1.1有质量与</w:t>
            </w:r>
            <w:r>
              <w:rPr>
                <w:rFonts w:hint="eastAsia" w:hAnsi="宋体" w:cs="宋体"/>
                <w:b w:val="0"/>
                <w:bCs/>
                <w:sz w:val="18"/>
                <w:szCs w:val="18"/>
                <w:lang w:eastAsia="zh-CN"/>
              </w:rPr>
              <w:t>安全</w:t>
            </w:r>
            <w:r>
              <w:rPr>
                <w:rFonts w:hint="eastAsia" w:ascii="宋体" w:hAnsi="宋体" w:eastAsia="宋体" w:cs="宋体"/>
                <w:b w:val="0"/>
                <w:bCs/>
                <w:sz w:val="18"/>
                <w:szCs w:val="18"/>
              </w:rPr>
              <w:t>管理小组，有专（兼）职人员负责质量管理工作</w:t>
            </w:r>
            <w:r>
              <w:rPr>
                <w:rFonts w:hint="eastAsia" w:hAnsi="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1.2有健康体检工作制度（共21项基本制度，见</w:t>
            </w:r>
            <w:r>
              <w:rPr>
                <w:rFonts w:hint="eastAsia" w:ascii="宋体" w:hAnsi="宋体" w:eastAsia="宋体" w:cs="宋体"/>
                <w:b w:val="0"/>
                <w:bCs/>
                <w:sz w:val="18"/>
                <w:szCs w:val="18"/>
                <w:lang w:eastAsia="zh-CN"/>
              </w:rPr>
              <w:t>表脚注</w:t>
            </w:r>
            <w:r>
              <w:rPr>
                <w:rFonts w:hint="eastAsia" w:ascii="宋体" w:hAnsi="宋体" w:eastAsia="宋体" w:cs="宋体"/>
                <w:b w:val="0"/>
                <w:bCs/>
                <w:sz w:val="18"/>
                <w:szCs w:val="18"/>
              </w:rPr>
              <w:t>）、岗位职责、工作流程、标准操作规程等，并装订成册</w:t>
            </w:r>
            <w:r>
              <w:rPr>
                <w:rFonts w:hint="eastAsia" w:hAnsi="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1.3定期进行质量检查，定期召开科室质控工作会议，对科室存在问题进行分析、讨论，提出持续改进措施，督促各项问题整改落实到位，并有记录，至少每季度一次</w:t>
            </w:r>
            <w:r>
              <w:rPr>
                <w:rFonts w:hint="eastAsia" w:hAnsi="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1.4有投诉与建议征求制度并有记录，能够简要叙述事件发生及处理过程</w:t>
            </w:r>
            <w:r>
              <w:rPr>
                <w:rFonts w:hint="eastAsia" w:hAnsi="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1.无质量与安全管理小组扣2分，无专（兼）职人员负责质量管理工作扣1分</w:t>
            </w:r>
            <w:r>
              <w:rPr>
                <w:rFonts w:hint="eastAsia" w:hAnsi="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2.健康体检工作制度、岗位职责、工作流程、标准操作规程等，每缺少一项扣1分，未装订成册扣1分</w:t>
            </w:r>
            <w:r>
              <w:rPr>
                <w:rFonts w:hint="eastAsia" w:hAnsi="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3.至少每季度进行一次质量检查，同时召开科室质控工作会议并有记录，每缺少一次扣1分</w:t>
            </w:r>
            <w:r>
              <w:rPr>
                <w:rFonts w:hint="eastAsia" w:hAnsi="宋体" w:cs="宋体"/>
                <w:b w:val="0"/>
                <w:bCs/>
                <w:sz w:val="18"/>
                <w:szCs w:val="18"/>
                <w:lang w:eastAsia="zh-CN"/>
              </w:rPr>
              <w:t>，</w:t>
            </w:r>
            <w:r>
              <w:rPr>
                <w:rFonts w:hint="eastAsia" w:ascii="宋体" w:hAnsi="宋体" w:eastAsia="宋体" w:cs="宋体"/>
                <w:b w:val="0"/>
                <w:bCs/>
                <w:sz w:val="18"/>
                <w:szCs w:val="18"/>
              </w:rPr>
              <w:t>记录不全扣1分</w:t>
            </w:r>
            <w:r>
              <w:rPr>
                <w:rFonts w:hint="eastAsia" w:hAnsi="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4.无投诉与建议记录本扣2分</w:t>
            </w:r>
            <w:r>
              <w:rPr>
                <w:rFonts w:hint="eastAsia" w:hAnsi="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2.物理检查科室医师操作规范</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w:t>
            </w:r>
            <w:r>
              <w:rPr>
                <w:rFonts w:hint="eastAsia" w:hAnsi="宋体" w:cs="宋体"/>
                <w:b w:val="0"/>
                <w:bCs/>
                <w:sz w:val="18"/>
                <w:szCs w:val="18"/>
                <w:lang w:val="en-US" w:eastAsia="zh-CN"/>
              </w:rPr>
              <w:t>10</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eastAsia="zh-CN"/>
              </w:rPr>
              <w:t>内、外、眼、耳鼻喉科、口腔、</w:t>
            </w:r>
            <w:r>
              <w:rPr>
                <w:rFonts w:hint="eastAsia" w:ascii="宋体" w:hAnsi="宋体" w:eastAsia="宋体" w:cs="宋体"/>
                <w:b w:val="0"/>
                <w:bCs/>
                <w:sz w:val="18"/>
                <w:szCs w:val="18"/>
                <w:lang w:val="en-US" w:eastAsia="zh-CN"/>
              </w:rPr>
              <w:t>妇科</w:t>
            </w:r>
            <w:r>
              <w:rPr>
                <w:rFonts w:hint="eastAsia" w:ascii="宋体" w:hAnsi="宋体" w:eastAsia="宋体" w:cs="宋体"/>
                <w:b w:val="0"/>
                <w:bCs/>
                <w:sz w:val="18"/>
                <w:szCs w:val="18"/>
                <w:lang w:eastAsia="zh-CN"/>
              </w:rPr>
              <w:t>医师能够按照各专业体检操作规程，逐项完成体检项目，项目全面，方法正确。</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现场考核，酌情扣分。</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1.内科：软件系统或体检报告中所设项目包括</w:t>
            </w:r>
            <w:r>
              <w:rPr>
                <w:rFonts w:hint="eastAsia" w:hAnsi="宋体" w:cs="宋体"/>
                <w:b w:val="0"/>
                <w:bCs/>
                <w:sz w:val="18"/>
                <w:szCs w:val="18"/>
                <w:lang w:val="en-US" w:eastAsia="zh-CN"/>
              </w:rPr>
              <w:t>：</w:t>
            </w:r>
            <w:r>
              <w:rPr>
                <w:rFonts w:hint="eastAsia" w:ascii="宋体" w:hAnsi="宋体" w:eastAsia="宋体" w:cs="宋体"/>
                <w:b w:val="0"/>
                <w:bCs/>
                <w:sz w:val="18"/>
                <w:szCs w:val="18"/>
                <w:lang w:val="en-US" w:eastAsia="zh-CN"/>
              </w:rPr>
              <w:t>心脏、肝脏、脾脏、肺部、肾脏等；检查仪器齐全（听诊器等）；操作熟练且规范。</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2.外科：软件系统或体检报告中所设项目包括：浅表淋巴结、甲状腺、乳腺、脊柱四肢关节、肛门、外生殖器（男性）等；检查仪器齐全（检查手套、石蜡油等）；操作熟练且规范。</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3.眼科：软件系统或体检报告中所设项目包括：视力、辨色力、内眼、外眼、眼压等；检查仪器齐全（视力表、裂隙灯、眼压器、色觉检查图等）；操作熟练且规范。</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4.耳鼻咽喉科：软件系统或体检报告中所设项目包括：外耳道、鼓膜、听力、鼻腔、咽喉等；检查仪器齐全（额镜、前鼻镜、压舌板、间接喉镜等）；操作熟练且规范。</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5.口腔科：软件系统或体检报告中所设项目包括：口腔粘膜、牙齿、牙龈、颞颌关节、腮腺等；检查仪器齐全（口镜、镊子、探针等）；操作熟练且规范。</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6.妇科：软件系统或体检报告中所设项目包括：外阴、内诊检查；检查仪器齐全（扩阴器、妇科棉签、垫巾等）；操作熟练且规范。</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1" w:type="dxa"/>
            <w:tcBorders>
              <w:top w:val="single" w:color="auto" w:sz="4" w:space="0"/>
              <w:bottom w:val="single" w:color="auto" w:sz="4" w:space="0"/>
              <w:right w:val="single" w:color="auto" w:sz="4" w:space="0"/>
            </w:tcBorders>
            <w:noWrap w:val="0"/>
            <w:vAlign w:val="center"/>
          </w:tcPr>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3.检验质量管理</w:t>
            </w:r>
            <w:r>
              <w:rPr>
                <w:rFonts w:hint="eastAsia" w:hAnsi="宋体" w:cs="宋体"/>
                <w:b w:val="0"/>
                <w:bCs/>
                <w:sz w:val="18"/>
                <w:szCs w:val="18"/>
                <w:lang w:eastAsia="zh-CN"/>
              </w:rPr>
              <w:t>（</w:t>
            </w:r>
            <w:r>
              <w:rPr>
                <w:rFonts w:hint="eastAsia" w:hAnsi="宋体" w:cs="宋体"/>
                <w:b w:val="0"/>
                <w:bCs/>
                <w:sz w:val="18"/>
                <w:szCs w:val="18"/>
                <w:lang w:val="en-US" w:eastAsia="zh-CN"/>
              </w:rPr>
              <w:t>1</w:t>
            </w:r>
            <w:r>
              <w:rPr>
                <w:rFonts w:hint="eastAsia" w:ascii="宋体" w:hAnsi="宋体" w:eastAsia="宋体" w:cs="宋体"/>
                <w:b w:val="0"/>
                <w:bCs/>
                <w:sz w:val="18"/>
                <w:szCs w:val="18"/>
              </w:rPr>
              <w:t>0分</w:t>
            </w:r>
            <w:r>
              <w:rPr>
                <w:rFonts w:hint="eastAsia" w:hAnsi="宋体" w:cs="宋体"/>
                <w:b w:val="0"/>
                <w:bCs/>
                <w:sz w:val="18"/>
                <w:szCs w:val="18"/>
                <w:lang w:eastAsia="zh-CN"/>
              </w:rPr>
              <w:t>）</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体检部门具有自己的检验项目、检验设备和检验人员的，均需按本条款进行管理。</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3.1有检验质量管理制度（包括：质量目标、样本采集手册、检验报告管理、阳性结果管理、人员岗位职责等）</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3.2有相应标准操作规程和实施记录</w:t>
            </w:r>
            <w:r>
              <w:rPr>
                <w:rFonts w:hint="eastAsia" w:ascii="宋体" w:hAnsi="宋体" w:eastAsia="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3.3检验项目符合国家卫计委《医疗机构临床检验项目目录（2013年版）》范围</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3.4检验设备有定期校准、保养、维修等制度和相关记录，实验室环境能够保证检验设备正常运行</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3.5检验科布局合理，实验区和非实验区标识清晰，实验区有生物安全标识，有效通风</w:t>
            </w:r>
            <w:r>
              <w:rPr>
                <w:rFonts w:hint="eastAsia" w:ascii="宋体" w:hAnsi="宋体" w:eastAsia="宋体" w:cs="宋体"/>
                <w:b w:val="0"/>
                <w:bCs/>
                <w:sz w:val="18"/>
                <w:szCs w:val="18"/>
                <w:lang w:eastAsia="zh-CN"/>
              </w:rPr>
              <w:t>。</w:t>
            </w:r>
          </w:p>
          <w:p>
            <w:pPr>
              <w:spacing w:line="320" w:lineRule="exact"/>
              <w:ind w:left="482" w:hanging="360" w:hangingChars="20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3.6开展实验室室内质量控制及参加室间质评活动</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3.7有生物安全管理程序，制定并落实样本管理制度</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3.8检验试剂的购置和使用符合国家相关规定</w:t>
            </w:r>
            <w:r>
              <w:rPr>
                <w:rFonts w:hint="eastAsia" w:ascii="宋体" w:hAnsi="宋体" w:eastAsia="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3.9有标本交接记录本，有标本送检者和接收者的双签名</w:t>
            </w:r>
            <w:r>
              <w:rPr>
                <w:rFonts w:hint="eastAsia" w:ascii="宋体" w:hAnsi="宋体" w:eastAsia="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3.10个别项目依托院外检验科进行标本检测者，具有委托协议和所送检单位的资质证明，有标本交接记录本</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1.无管理制度扣2分，每缺少一项扣0.5分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2.无操作规程扣1分，记录不全扣1分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3.不符合国家</w:t>
            </w:r>
            <w:r>
              <w:rPr>
                <w:rFonts w:hint="eastAsia" w:ascii="宋体" w:hAnsi="宋体" w:eastAsia="宋体" w:cs="宋体"/>
                <w:b w:val="0"/>
                <w:bCs/>
                <w:sz w:val="18"/>
                <w:szCs w:val="18"/>
                <w:lang w:eastAsia="zh-CN"/>
              </w:rPr>
              <w:t>卫健委</w:t>
            </w:r>
            <w:r>
              <w:rPr>
                <w:rFonts w:hint="eastAsia" w:ascii="宋体" w:hAnsi="宋体" w:eastAsia="宋体" w:cs="宋体"/>
                <w:b w:val="0"/>
                <w:bCs/>
                <w:sz w:val="18"/>
                <w:szCs w:val="18"/>
              </w:rPr>
              <w:t>检验项目目录扣2分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4.无定期校准、保养、维修等制度扣2分，记录不全扣1分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5.布局不合理扣2分，无实验区生物</w:t>
            </w:r>
            <w:r>
              <w:rPr>
                <w:rFonts w:hint="eastAsia" w:ascii="宋体" w:hAnsi="宋体" w:eastAsia="宋体" w:cs="宋体"/>
                <w:b w:val="0"/>
                <w:bCs/>
                <w:sz w:val="18"/>
                <w:szCs w:val="18"/>
                <w:lang w:eastAsia="zh-CN"/>
              </w:rPr>
              <w:t>安全</w:t>
            </w:r>
            <w:r>
              <w:rPr>
                <w:rFonts w:hint="eastAsia" w:ascii="宋体" w:hAnsi="宋体" w:eastAsia="宋体" w:cs="宋体"/>
                <w:b w:val="0"/>
                <w:bCs/>
                <w:sz w:val="18"/>
                <w:szCs w:val="18"/>
              </w:rPr>
              <w:t>标识扣1分，无有效通风扣1分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6.未开展室内质控及参加室间质评扣15分，检测项目不全扣5分，不符合省临检中心要求扣5分</w:t>
            </w:r>
            <w:r>
              <w:rPr>
                <w:rFonts w:hint="eastAsia" w:ascii="宋体" w:hAnsi="宋体" w:eastAsia="宋体" w:cs="宋体"/>
                <w:b w:val="0"/>
                <w:bCs/>
                <w:sz w:val="18"/>
                <w:szCs w:val="18"/>
                <w:lang w:eastAsia="zh-CN"/>
              </w:rPr>
              <w:t>。</w:t>
            </w:r>
          </w:p>
          <w:p>
            <w:pPr>
              <w:tabs>
                <w:tab w:val="right" w:pos="4867"/>
              </w:tabs>
              <w:spacing w:line="320" w:lineRule="exact"/>
              <w:ind w:left="241" w:hanging="180" w:hangingChars="10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7.无生物安全管理相关程序及制度扣2分</w:t>
            </w:r>
            <w:r>
              <w:rPr>
                <w:rFonts w:hint="eastAsia" w:ascii="宋体" w:hAnsi="宋体" w:eastAsia="宋体" w:cs="宋体"/>
                <w:b w:val="0"/>
                <w:bCs/>
                <w:sz w:val="18"/>
                <w:szCs w:val="18"/>
                <w:lang w:eastAsia="zh-CN"/>
              </w:rPr>
              <w:t>。</w:t>
            </w:r>
          </w:p>
          <w:p>
            <w:pPr>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8.抽查经营企业的《营业执照》《药品经营许可证》《医疗器械生产企业许可证》《药品生产许可证》等，发现不符合规定的情况扣5分</w:t>
            </w:r>
            <w:r>
              <w:rPr>
                <w:rFonts w:hint="eastAsia" w:ascii="宋体" w:hAnsi="宋体" w:eastAsia="宋体" w:cs="宋体"/>
                <w:b w:val="0"/>
                <w:bCs/>
                <w:sz w:val="18"/>
                <w:szCs w:val="18"/>
                <w:lang w:eastAsia="zh-CN"/>
              </w:rPr>
              <w:t>。</w:t>
            </w:r>
          </w:p>
          <w:p>
            <w:pPr>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9.无标本交接班记录扣2分</w:t>
            </w:r>
            <w:r>
              <w:rPr>
                <w:rFonts w:hint="eastAsia" w:ascii="宋体" w:hAnsi="宋体" w:eastAsia="宋体" w:cs="宋体"/>
                <w:b w:val="0"/>
                <w:bCs/>
                <w:sz w:val="18"/>
                <w:szCs w:val="18"/>
                <w:lang w:eastAsia="zh-CN"/>
              </w:rPr>
              <w:t>。</w:t>
            </w:r>
          </w:p>
          <w:p>
            <w:pPr>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10.依托院外进行标本检测者，不符合规定</w:t>
            </w:r>
            <w:r>
              <w:rPr>
                <w:rFonts w:hint="eastAsia" w:ascii="宋体" w:hAnsi="宋体" w:eastAsia="宋体" w:cs="宋体"/>
                <w:b w:val="0"/>
                <w:bCs/>
                <w:sz w:val="18"/>
                <w:szCs w:val="18"/>
                <w:lang w:eastAsia="zh-CN"/>
              </w:rPr>
              <w:t>的</w:t>
            </w:r>
            <w:r>
              <w:rPr>
                <w:rFonts w:hint="eastAsia" w:ascii="宋体" w:hAnsi="宋体" w:eastAsia="宋体" w:cs="宋体"/>
                <w:b w:val="0"/>
                <w:bCs/>
                <w:sz w:val="18"/>
                <w:szCs w:val="18"/>
              </w:rPr>
              <w:t>扣2分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4.放射影像质量管理</w:t>
            </w:r>
          </w:p>
          <w:p>
            <w:pPr>
              <w:spacing w:line="320" w:lineRule="exact"/>
              <w:ind w:firstLine="90" w:firstLineChars="50"/>
              <w:jc w:val="both"/>
              <w:rPr>
                <w:rFonts w:hint="eastAsia" w:ascii="宋体" w:hAnsi="宋体" w:eastAsia="宋体" w:cs="宋体"/>
                <w:b w:val="0"/>
                <w:bCs/>
                <w:sz w:val="18"/>
                <w:szCs w:val="18"/>
              </w:rPr>
            </w:pPr>
            <w:r>
              <w:rPr>
                <w:rFonts w:hint="eastAsia" w:ascii="宋体" w:hAnsi="宋体" w:eastAsia="宋体" w:cs="宋体"/>
                <w:b w:val="0"/>
                <w:bCs/>
                <w:sz w:val="18"/>
                <w:szCs w:val="18"/>
              </w:rPr>
              <w:t>（10分）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4.1</w:t>
            </w:r>
            <w:r>
              <w:rPr>
                <w:rFonts w:hint="eastAsia" w:ascii="宋体" w:hAnsi="宋体" w:eastAsia="宋体" w:cs="宋体"/>
                <w:b w:val="0"/>
                <w:bCs/>
                <w:sz w:val="18"/>
                <w:szCs w:val="18"/>
                <w:lang w:eastAsia="zh-CN"/>
              </w:rPr>
              <w:t>有</w:t>
            </w:r>
            <w:r>
              <w:rPr>
                <w:rFonts w:hint="eastAsia" w:ascii="宋体" w:hAnsi="宋体" w:eastAsia="宋体" w:cs="宋体"/>
                <w:b w:val="0"/>
                <w:bCs/>
                <w:sz w:val="18"/>
                <w:szCs w:val="18"/>
              </w:rPr>
              <w:t>设备定期检测制度</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4.2</w:t>
            </w:r>
            <w:r>
              <w:rPr>
                <w:rFonts w:hint="eastAsia" w:ascii="宋体" w:hAnsi="宋体" w:eastAsia="宋体" w:cs="宋体"/>
                <w:b w:val="0"/>
                <w:bCs/>
                <w:sz w:val="18"/>
                <w:szCs w:val="18"/>
                <w:lang w:eastAsia="zh-CN"/>
              </w:rPr>
              <w:t>有</w:t>
            </w:r>
            <w:r>
              <w:rPr>
                <w:rFonts w:hint="eastAsia" w:ascii="宋体" w:hAnsi="宋体" w:eastAsia="宋体" w:cs="宋体"/>
                <w:b w:val="0"/>
                <w:bCs/>
                <w:sz w:val="18"/>
                <w:szCs w:val="18"/>
              </w:rPr>
              <w:t>影像质量评估制度和记录</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4.3</w:t>
            </w:r>
            <w:r>
              <w:rPr>
                <w:rFonts w:hint="eastAsia" w:ascii="宋体" w:hAnsi="宋体" w:eastAsia="宋体" w:cs="宋体"/>
                <w:b w:val="0"/>
                <w:bCs/>
                <w:sz w:val="18"/>
                <w:szCs w:val="18"/>
                <w:lang w:eastAsia="zh-CN"/>
              </w:rPr>
              <w:t>有</w:t>
            </w:r>
            <w:r>
              <w:rPr>
                <w:rFonts w:hint="eastAsia" w:ascii="宋体" w:hAnsi="宋体" w:eastAsia="宋体" w:cs="宋体"/>
                <w:b w:val="0"/>
                <w:bCs/>
                <w:sz w:val="18"/>
                <w:szCs w:val="18"/>
              </w:rPr>
              <w:t>诊断质量评估制度和记录</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4.4</w:t>
            </w:r>
            <w:r>
              <w:rPr>
                <w:rFonts w:hint="eastAsia" w:ascii="宋体" w:hAnsi="宋体" w:eastAsia="宋体" w:cs="宋体"/>
                <w:b w:val="0"/>
                <w:bCs/>
                <w:sz w:val="18"/>
                <w:szCs w:val="18"/>
                <w:lang w:eastAsia="zh-CN"/>
              </w:rPr>
              <w:t>有</w:t>
            </w:r>
            <w:r>
              <w:rPr>
                <w:rFonts w:hint="eastAsia" w:ascii="宋体" w:hAnsi="宋体" w:eastAsia="宋体" w:cs="宋体"/>
                <w:b w:val="0"/>
                <w:bCs/>
                <w:sz w:val="18"/>
                <w:szCs w:val="18"/>
              </w:rPr>
              <w:t>影像资料自查、互查制度和记录</w:t>
            </w:r>
            <w:r>
              <w:rPr>
                <w:rFonts w:hint="eastAsia" w:ascii="宋体" w:hAnsi="宋体" w:eastAsia="宋体" w:cs="宋体"/>
                <w:b w:val="0"/>
                <w:bCs/>
                <w:sz w:val="18"/>
                <w:szCs w:val="18"/>
                <w:lang w:eastAsia="zh-CN"/>
              </w:rPr>
              <w:t>。</w:t>
            </w:r>
          </w:p>
          <w:p>
            <w:pPr>
              <w:spacing w:line="320" w:lineRule="exact"/>
              <w:ind w:left="482" w:hanging="360" w:hangingChars="200"/>
              <w:jc w:val="both"/>
              <w:rPr>
                <w:rFonts w:hint="eastAsia" w:ascii="宋体" w:hAnsi="宋体" w:eastAsia="宋体" w:cs="宋体"/>
                <w:b w:val="0"/>
                <w:bCs/>
                <w:sz w:val="18"/>
                <w:szCs w:val="18"/>
              </w:rPr>
            </w:pPr>
            <w:r>
              <w:rPr>
                <w:rFonts w:hint="eastAsia" w:ascii="宋体" w:hAnsi="宋体" w:eastAsia="宋体" w:cs="宋体"/>
                <w:b w:val="0"/>
                <w:bCs/>
                <w:sz w:val="18"/>
                <w:szCs w:val="18"/>
              </w:rPr>
              <w:t>4.5诊断报告规范</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1.无设备定期检测制度扣2分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2.无影像质量评估制度和记录扣2分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3.无诊断质量评估制度和记录扣2分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4.无影像资料自查、互查制度和记录扣2分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rPr>
              <w:t>5.抽查10</w:t>
            </w:r>
            <w:r>
              <w:rPr>
                <w:rFonts w:hint="eastAsia" w:ascii="宋体" w:hAnsi="宋体" w:eastAsia="宋体" w:cs="宋体"/>
                <w:b w:val="0"/>
                <w:bCs/>
                <w:sz w:val="18"/>
                <w:szCs w:val="18"/>
                <w:lang w:eastAsia="zh-CN"/>
              </w:rPr>
              <w:t>份</w:t>
            </w:r>
            <w:r>
              <w:rPr>
                <w:rFonts w:hint="eastAsia" w:ascii="宋体" w:hAnsi="宋体" w:eastAsia="宋体" w:cs="宋体"/>
                <w:b w:val="0"/>
                <w:bCs/>
                <w:sz w:val="18"/>
                <w:szCs w:val="18"/>
              </w:rPr>
              <w:t>报告，</w:t>
            </w:r>
            <w:r>
              <w:rPr>
                <w:rFonts w:hint="eastAsia" w:ascii="宋体" w:hAnsi="宋体" w:eastAsia="宋体" w:cs="宋体"/>
                <w:b w:val="0"/>
                <w:bCs/>
                <w:sz w:val="18"/>
                <w:szCs w:val="18"/>
                <w:lang w:eastAsia="zh-CN"/>
              </w:rPr>
              <w:t>每份</w:t>
            </w:r>
            <w:r>
              <w:rPr>
                <w:rFonts w:hint="eastAsia" w:ascii="宋体" w:hAnsi="宋体" w:eastAsia="宋体" w:cs="宋体"/>
                <w:b w:val="0"/>
                <w:bCs/>
                <w:sz w:val="18"/>
                <w:szCs w:val="18"/>
              </w:rPr>
              <w:t>诊断报告规范不合格扣</w:t>
            </w:r>
            <w:r>
              <w:rPr>
                <w:rFonts w:hint="eastAsia" w:ascii="宋体" w:hAnsi="宋体" w:eastAsia="宋体" w:cs="宋体"/>
                <w:b w:val="0"/>
                <w:bCs/>
                <w:sz w:val="18"/>
                <w:szCs w:val="18"/>
                <w:lang w:val="en-US" w:eastAsia="zh-CN"/>
              </w:rPr>
              <w:t>1</w:t>
            </w:r>
            <w:r>
              <w:rPr>
                <w:rFonts w:hint="eastAsia" w:ascii="宋体" w:hAnsi="宋体" w:eastAsia="宋体" w:cs="宋体"/>
                <w:b w:val="0"/>
                <w:bCs/>
                <w:sz w:val="18"/>
                <w:szCs w:val="18"/>
              </w:rPr>
              <w:t>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rPr>
              <w:t>5.心电图质量管理</w:t>
            </w:r>
          </w:p>
          <w:p>
            <w:pPr>
              <w:spacing w:line="320" w:lineRule="exact"/>
              <w:ind w:firstLine="90" w:firstLineChars="50"/>
              <w:jc w:val="both"/>
              <w:rPr>
                <w:rFonts w:hint="eastAsia" w:ascii="宋体" w:hAnsi="宋体" w:eastAsia="宋体" w:cs="宋体"/>
                <w:b w:val="0"/>
                <w:bCs/>
                <w:sz w:val="18"/>
                <w:szCs w:val="18"/>
              </w:rPr>
            </w:pPr>
            <w:r>
              <w:rPr>
                <w:rFonts w:hint="eastAsia" w:ascii="宋体" w:hAnsi="宋体" w:eastAsia="宋体" w:cs="宋体"/>
                <w:b w:val="0"/>
                <w:bCs/>
                <w:sz w:val="18"/>
                <w:szCs w:val="18"/>
              </w:rPr>
              <w:t>（10分）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5.1心电图纸上标有检查时间、受检基本信息、诊断医师签名等</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5.2采集的心电图符合心电图诊断的基本要求</w:t>
            </w:r>
            <w:r>
              <w:rPr>
                <w:rFonts w:hint="eastAsia" w:ascii="宋体" w:hAnsi="宋体" w:eastAsia="宋体" w:cs="宋体"/>
                <w:b w:val="0"/>
                <w:bCs/>
                <w:sz w:val="18"/>
                <w:szCs w:val="18"/>
                <w:lang w:val="en-US"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5.3异常心电图应作出具体心电图诊断</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5.4诊断文辞规范，诊断正确</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现场抽取10份心电图，不符合以上要求，每份扣1分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rPr>
              <w:t>6.超声质量管理</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（10分）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6.1医师操作规范准确</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6.2 结果描述全面、准确、详细</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6.3 留存受检者的个人信息及影像资料</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6.4具有</w:t>
            </w:r>
            <w:r>
              <w:rPr>
                <w:rFonts w:hint="eastAsia" w:ascii="宋体" w:hAnsi="宋体" w:eastAsia="宋体" w:cs="宋体"/>
                <w:b w:val="0"/>
                <w:bCs/>
                <w:sz w:val="18"/>
                <w:szCs w:val="18"/>
                <w:lang w:eastAsia="zh-CN"/>
              </w:rPr>
              <w:t>超声</w:t>
            </w:r>
            <w:r>
              <w:rPr>
                <w:rFonts w:hint="eastAsia" w:ascii="宋体" w:hAnsi="宋体" w:eastAsia="宋体" w:cs="宋体"/>
                <w:b w:val="0"/>
                <w:bCs/>
                <w:sz w:val="18"/>
                <w:szCs w:val="18"/>
              </w:rPr>
              <w:t>影像工作站</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1.超声检查操作不规范或有遗漏，扣5分</w:t>
            </w:r>
            <w:r>
              <w:rPr>
                <w:rFonts w:hint="eastAsia" w:ascii="宋体" w:hAnsi="宋体" w:eastAsia="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2.抽查10</w:t>
            </w:r>
            <w:r>
              <w:rPr>
                <w:rFonts w:hint="eastAsia" w:ascii="宋体" w:hAnsi="宋体" w:eastAsia="宋体" w:cs="宋体"/>
                <w:b w:val="0"/>
                <w:bCs/>
                <w:sz w:val="18"/>
                <w:szCs w:val="18"/>
                <w:lang w:eastAsia="zh-CN"/>
              </w:rPr>
              <w:t>份</w:t>
            </w:r>
            <w:r>
              <w:rPr>
                <w:rFonts w:hint="eastAsia" w:ascii="宋体" w:hAnsi="宋体" w:eastAsia="宋体" w:cs="宋体"/>
                <w:b w:val="0"/>
                <w:bCs/>
                <w:sz w:val="18"/>
                <w:szCs w:val="18"/>
              </w:rPr>
              <w:t>报告，结果描述不全面、不准确</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不详细，每份扣1分</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3.未留存受检者的个人信息及影像资料扣2分</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4.无</w:t>
            </w:r>
            <w:r>
              <w:rPr>
                <w:rFonts w:hint="eastAsia" w:ascii="宋体" w:hAnsi="宋体" w:eastAsia="宋体" w:cs="宋体"/>
                <w:b w:val="0"/>
                <w:bCs/>
                <w:sz w:val="18"/>
                <w:szCs w:val="18"/>
                <w:lang w:eastAsia="zh-CN"/>
              </w:rPr>
              <w:t>超声</w:t>
            </w:r>
            <w:r>
              <w:rPr>
                <w:rFonts w:hint="eastAsia" w:ascii="宋体" w:hAnsi="宋体" w:eastAsia="宋体" w:cs="宋体"/>
                <w:b w:val="0"/>
                <w:bCs/>
                <w:sz w:val="18"/>
                <w:szCs w:val="18"/>
              </w:rPr>
              <w:t>影像工作站扣2分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rPr>
              <w:t>7.体检重要异常结果管理（</w:t>
            </w:r>
            <w:r>
              <w:rPr>
                <w:rFonts w:hint="eastAsia" w:hAnsi="宋体" w:cs="宋体"/>
                <w:b w:val="0"/>
                <w:bCs/>
                <w:sz w:val="18"/>
                <w:szCs w:val="18"/>
                <w:lang w:val="en-US" w:eastAsia="zh-CN"/>
              </w:rPr>
              <w:t>10</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7.1有重要异常结果（含危急值）处理、随访制度及流程，流程应符合中华医学会健康管理学分会2019年《健康体检重要异常结果管理专家共识（试行版）》的相关要求。设置体检重要异常结果记录应依据《健康体检重要异常结果管理专家共识（试行版）》进行疾病分类。</w:t>
            </w:r>
          </w:p>
          <w:p>
            <w:pPr>
              <w:spacing w:line="32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7.2有重要异常结果（含危急值）告知、处理及随访记录。</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1.无重要异常结果（含危急值）处理</w:t>
            </w:r>
            <w:r>
              <w:rPr>
                <w:rFonts w:hint="eastAsia" w:ascii="宋体" w:hAnsi="宋体" w:eastAsia="宋体" w:cs="宋体"/>
                <w:b w:val="0"/>
                <w:bCs/>
                <w:sz w:val="18"/>
                <w:szCs w:val="18"/>
                <w:lang w:val="en-US" w:eastAsia="zh-CN"/>
              </w:rPr>
              <w:t>、随访</w:t>
            </w:r>
            <w:r>
              <w:rPr>
                <w:rFonts w:hint="eastAsia" w:ascii="宋体" w:hAnsi="宋体" w:eastAsia="宋体" w:cs="宋体"/>
                <w:b w:val="0"/>
                <w:bCs/>
                <w:sz w:val="18"/>
                <w:szCs w:val="18"/>
              </w:rPr>
              <w:t>制度及流程扣</w:t>
            </w:r>
            <w:r>
              <w:rPr>
                <w:rFonts w:hint="eastAsia" w:ascii="宋体" w:hAnsi="宋体" w:eastAsia="宋体" w:cs="宋体"/>
                <w:b w:val="0"/>
                <w:bCs/>
                <w:sz w:val="18"/>
                <w:szCs w:val="18"/>
                <w:lang w:val="en-US" w:eastAsia="zh-CN"/>
              </w:rPr>
              <w:t>5</w:t>
            </w:r>
            <w:r>
              <w:rPr>
                <w:rFonts w:hint="eastAsia" w:ascii="宋体" w:hAnsi="宋体" w:eastAsia="宋体" w:cs="宋体"/>
                <w:b w:val="0"/>
                <w:bCs/>
                <w:sz w:val="18"/>
                <w:szCs w:val="18"/>
              </w:rPr>
              <w:t>分</w:t>
            </w:r>
            <w:r>
              <w:rPr>
                <w:rFonts w:hint="eastAsia" w:ascii="宋体" w:hAnsi="宋体" w:eastAsia="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2.无重要异常结果（含危急值）告知</w:t>
            </w:r>
            <w:r>
              <w:rPr>
                <w:rFonts w:hint="eastAsia" w:ascii="宋体" w:hAnsi="宋体" w:eastAsia="宋体" w:cs="宋体"/>
                <w:b w:val="0"/>
                <w:bCs/>
                <w:sz w:val="18"/>
                <w:szCs w:val="18"/>
                <w:lang w:val="en-US" w:eastAsia="zh-CN"/>
              </w:rPr>
              <w:t>、</w:t>
            </w:r>
            <w:r>
              <w:rPr>
                <w:rFonts w:hint="eastAsia" w:ascii="宋体" w:hAnsi="宋体" w:eastAsia="宋体" w:cs="宋体"/>
                <w:b w:val="0"/>
                <w:bCs/>
                <w:sz w:val="18"/>
                <w:szCs w:val="18"/>
              </w:rPr>
              <w:t>处理</w:t>
            </w:r>
            <w:r>
              <w:rPr>
                <w:rFonts w:hint="eastAsia" w:ascii="宋体" w:hAnsi="宋体" w:eastAsia="宋体" w:cs="宋体"/>
                <w:b w:val="0"/>
                <w:bCs/>
                <w:sz w:val="18"/>
                <w:szCs w:val="18"/>
                <w:lang w:val="en-US" w:eastAsia="zh-CN"/>
              </w:rPr>
              <w:t>及随访</w:t>
            </w:r>
            <w:r>
              <w:rPr>
                <w:rFonts w:hint="eastAsia" w:ascii="宋体" w:hAnsi="宋体" w:eastAsia="宋体" w:cs="宋体"/>
                <w:b w:val="0"/>
                <w:bCs/>
                <w:sz w:val="18"/>
                <w:szCs w:val="18"/>
              </w:rPr>
              <w:t>记录扣</w:t>
            </w:r>
            <w:r>
              <w:rPr>
                <w:rFonts w:hint="eastAsia" w:ascii="宋体" w:hAnsi="宋体" w:eastAsia="宋体" w:cs="宋体"/>
                <w:b w:val="0"/>
                <w:bCs/>
                <w:sz w:val="18"/>
                <w:szCs w:val="18"/>
                <w:lang w:val="en-US" w:eastAsia="zh-CN"/>
              </w:rPr>
              <w:t>5</w:t>
            </w:r>
            <w:r>
              <w:rPr>
                <w:rFonts w:hint="eastAsia" w:ascii="宋体" w:hAnsi="宋体" w:eastAsia="宋体" w:cs="宋体"/>
                <w:b w:val="0"/>
                <w:bCs/>
                <w:sz w:val="18"/>
                <w:szCs w:val="18"/>
              </w:rPr>
              <w:t>分</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lang w:val="en-US" w:eastAsia="zh-CN"/>
              </w:rPr>
              <w:t>体检重要异常结果（含危急值）随访率&lt;60%扣3分。</w:t>
            </w:r>
          </w:p>
          <w:p>
            <w:pPr>
              <w:spacing w:line="32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3.抽查一位主检医师对体检重要异常结果的疾病认识和处理流程，酌情扣分。</w:t>
            </w:r>
          </w:p>
        </w:tc>
        <w:tc>
          <w:tcPr>
            <w:tcW w:w="645" w:type="dxa"/>
            <w:tcBorders>
              <w:top w:val="single" w:color="auto" w:sz="4" w:space="0"/>
              <w:left w:val="single" w:color="auto" w:sz="4" w:space="0"/>
              <w:bottom w:val="single" w:color="auto" w:sz="4" w:space="0"/>
            </w:tcBorders>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color w:val="333333"/>
                <w:sz w:val="18"/>
                <w:szCs w:val="18"/>
              </w:rPr>
              <w:t>8.</w:t>
            </w:r>
            <w:r>
              <w:rPr>
                <w:rFonts w:hint="eastAsia" w:ascii="宋体" w:hAnsi="宋体" w:eastAsia="宋体" w:cs="宋体"/>
                <w:b w:val="0"/>
                <w:bCs/>
                <w:sz w:val="18"/>
                <w:szCs w:val="18"/>
              </w:rPr>
              <w:t>体检报告质量管理</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color w:val="333333"/>
                <w:sz w:val="18"/>
                <w:szCs w:val="18"/>
              </w:rPr>
              <w:t>（10分）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8.1内容完整：至少包含体检机构基本信息、个人基本信息、各科体格检查记录、实验室和医学影像检查报告</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主检结论、健康建议</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8.2各科室对于阳性体检结果的解释和建议必须符合诊疗常规</w:t>
            </w:r>
            <w:r>
              <w:rPr>
                <w:rFonts w:hint="eastAsia" w:hAnsi="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8.3体检报告中各项结果应记录检查医师或操作者姓名和实施时间，条件具备时应手工签名或电子签名</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8.4体检报告由主检</w:t>
            </w:r>
            <w:r>
              <w:rPr>
                <w:rFonts w:hint="eastAsia" w:ascii="宋体" w:hAnsi="宋体" w:eastAsia="宋体" w:cs="宋体"/>
                <w:b w:val="0"/>
                <w:bCs/>
                <w:sz w:val="18"/>
                <w:szCs w:val="18"/>
                <w:lang w:eastAsia="zh-CN"/>
              </w:rPr>
              <w:t>医师</w:t>
            </w:r>
            <w:r>
              <w:rPr>
                <w:rFonts w:hint="eastAsia" w:ascii="宋体" w:hAnsi="宋体" w:eastAsia="宋体" w:cs="宋体"/>
                <w:b w:val="0"/>
                <w:bCs/>
                <w:sz w:val="18"/>
                <w:szCs w:val="18"/>
              </w:rPr>
              <w:t>出具并签章，签章者与实际</w:t>
            </w:r>
            <w:r>
              <w:rPr>
                <w:rFonts w:hint="eastAsia" w:ascii="宋体" w:hAnsi="宋体" w:eastAsia="宋体" w:cs="宋体"/>
                <w:b w:val="0"/>
                <w:bCs/>
                <w:sz w:val="18"/>
                <w:szCs w:val="18"/>
                <w:lang w:eastAsia="zh-CN"/>
              </w:rPr>
              <w:t>出具</w:t>
            </w:r>
            <w:r>
              <w:rPr>
                <w:rFonts w:hint="eastAsia" w:ascii="宋体" w:hAnsi="宋体" w:eastAsia="宋体" w:cs="宋体"/>
                <w:b w:val="0"/>
                <w:bCs/>
                <w:sz w:val="18"/>
                <w:szCs w:val="18"/>
              </w:rPr>
              <w:t>报告者一致</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lang w:val="en-US" w:eastAsia="zh-CN"/>
              </w:rPr>
              <w:t>设置有总审医生者，报告质量由总审医生负责。</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8.5密封性：体检报告完全密封，并在显著位置标明</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lang w:val="en-US" w:eastAsia="zh-CN"/>
              </w:rPr>
              <w:t>体检报告属于受检者隐私</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lang w:val="en-US" w:eastAsia="zh-CN"/>
              </w:rPr>
              <w:t>或</w:t>
            </w:r>
            <w:r>
              <w:rPr>
                <w:rFonts w:hint="eastAsia" w:ascii="宋体" w:hAnsi="宋体" w:eastAsia="宋体" w:cs="宋体"/>
                <w:b w:val="0"/>
                <w:bCs/>
                <w:sz w:val="18"/>
                <w:szCs w:val="18"/>
              </w:rPr>
              <w:t>“本报告仅限受检者本人拆阅”字样</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8.6体检报告发放：体检报告由受检者本人领取的，有受检者本人的签名，体检报告由受检者指定的人员领取的或单位团检统一领取的，有领取者的签名和联系方式。体检报告通过邮寄方式或通过网络方式送达者，应有相关登记记录备查，并严格执行隐私保护措施</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8.7各科室对于阳性体征的解释和建议必须符合诊疗常规。主检结论用词准确，不能仅使用英文缩写，原则上不能与检查结果或检后建议相矛盾，存在出入应有解释说明。</w:t>
            </w:r>
          </w:p>
          <w:p>
            <w:pPr>
              <w:spacing w:line="320" w:lineRule="exact"/>
              <w:ind w:left="0" w:leftChars="0" w:firstLine="0" w:firstLineChars="0"/>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8.8主检结论中阳性体征应将同类疾病合并，不能简单罗列，并按轻重缓急排序。</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抽查10份总检报告</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1.内容不完整（体检机构基本信息、个人基本信息、体格检查记录、实验室及影像检查报告、主检结论、健康建议等）</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每份扣1分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2.各科室阳性结果的解释和建议不合诊疗常规</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每份扣1分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3.体检报告中各项结果未记录检查医师或操作者姓名和实施时间</w:t>
            </w:r>
            <w:r>
              <w:rPr>
                <w:rFonts w:hint="eastAsia" w:ascii="宋体" w:hAnsi="宋体" w:eastAsia="宋体" w:cs="宋体"/>
                <w:b w:val="0"/>
                <w:bCs/>
                <w:sz w:val="18"/>
                <w:szCs w:val="18"/>
                <w:lang w:eastAsia="zh-CN"/>
              </w:rPr>
              <w:t>，每份</w:t>
            </w:r>
            <w:r>
              <w:rPr>
                <w:rFonts w:hint="eastAsia" w:ascii="宋体" w:hAnsi="宋体" w:eastAsia="宋体" w:cs="宋体"/>
                <w:b w:val="0"/>
                <w:bCs/>
                <w:sz w:val="18"/>
                <w:szCs w:val="18"/>
              </w:rPr>
              <w:t>扣1分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4.报告非主检</w:t>
            </w:r>
            <w:r>
              <w:rPr>
                <w:rFonts w:hint="eastAsia" w:ascii="宋体" w:hAnsi="宋体" w:eastAsia="宋体" w:cs="宋体"/>
                <w:b w:val="0"/>
                <w:bCs/>
                <w:sz w:val="18"/>
                <w:szCs w:val="18"/>
                <w:lang w:eastAsia="zh-CN"/>
              </w:rPr>
              <w:t>医师</w:t>
            </w:r>
            <w:r>
              <w:rPr>
                <w:rFonts w:hint="eastAsia" w:ascii="宋体" w:hAnsi="宋体" w:eastAsia="宋体" w:cs="宋体"/>
                <w:b w:val="0"/>
                <w:bCs/>
                <w:sz w:val="18"/>
                <w:szCs w:val="18"/>
              </w:rPr>
              <w:t>出具，或无签章，或签章者与实际</w:t>
            </w:r>
            <w:r>
              <w:rPr>
                <w:rFonts w:hint="eastAsia" w:ascii="宋体" w:hAnsi="宋体" w:eastAsia="宋体" w:cs="宋体"/>
                <w:b w:val="0"/>
                <w:bCs/>
                <w:sz w:val="18"/>
                <w:szCs w:val="18"/>
                <w:lang w:eastAsia="zh-CN"/>
              </w:rPr>
              <w:t>出具</w:t>
            </w:r>
            <w:r>
              <w:rPr>
                <w:rFonts w:hint="eastAsia" w:ascii="宋体" w:hAnsi="宋体" w:eastAsia="宋体" w:cs="宋体"/>
                <w:b w:val="0"/>
                <w:bCs/>
                <w:sz w:val="18"/>
                <w:szCs w:val="18"/>
              </w:rPr>
              <w:t>报告者不一致，每份扣1分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5.报告不密封或无“本报告仅限受检者本人拆阅”字样</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每份扣1分</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6.体检报告由受检者本人领取的，有受检者本人的签名，体检报告由受检者指定的人员领取的或单位团检统一领取的，有领取者的签名和联系方式</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不合格者每例扣1分</w:t>
            </w:r>
            <w:r>
              <w:rPr>
                <w:rFonts w:hint="eastAsia" w:ascii="宋体" w:hAnsi="宋体" w:eastAsia="宋体" w:cs="宋体"/>
                <w:b w:val="0"/>
                <w:bCs/>
                <w:sz w:val="18"/>
                <w:szCs w:val="18"/>
                <w:lang w:eastAsia="zh-CN"/>
              </w:rPr>
              <w:t>。</w:t>
            </w:r>
          </w:p>
          <w:p>
            <w:pPr>
              <w:spacing w:line="320" w:lineRule="exact"/>
              <w:ind w:left="14" w:leftChars="0" w:hanging="14" w:hangingChars="8"/>
              <w:jc w:val="both"/>
              <w:rPr>
                <w:rFonts w:hint="eastAsia" w:ascii="宋体" w:hAnsi="宋体" w:eastAsia="宋体" w:cs="宋体"/>
                <w:b w:val="0"/>
                <w:bCs/>
                <w:sz w:val="18"/>
                <w:szCs w:val="18"/>
              </w:rPr>
            </w:pPr>
            <w:r>
              <w:rPr>
                <w:rFonts w:hint="eastAsia" w:ascii="宋体" w:hAnsi="宋体" w:eastAsia="宋体" w:cs="宋体"/>
                <w:b w:val="0"/>
                <w:bCs/>
                <w:sz w:val="18"/>
                <w:szCs w:val="18"/>
              </w:rPr>
              <w:t>7.体检报告通过邮寄方式或通过网络方式送达者，无相关登记记录备查，未严格执行隐私保护措施扣1分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05" w:type="dxa"/>
            <w:gridSpan w:val="4"/>
            <w:tcBorders>
              <w:top w:val="single" w:color="auto" w:sz="4" w:space="0"/>
              <w:bottom w:val="single" w:color="auto" w:sz="4" w:space="0"/>
            </w:tcBorders>
            <w:noWrap w:val="0"/>
            <w:vAlign w:val="center"/>
          </w:tcPr>
          <w:p>
            <w:pPr>
              <w:spacing w:line="5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四、信息管理</w:t>
            </w:r>
            <w:r>
              <w:rPr>
                <w:rFonts w:hint="eastAsia" w:hAnsi="宋体" w:cs="宋体"/>
                <w:b w:val="0"/>
                <w:bCs/>
                <w:sz w:val="18"/>
                <w:szCs w:val="18"/>
                <w:lang w:eastAsia="zh-CN"/>
              </w:rPr>
              <w:t>（</w:t>
            </w:r>
            <w:r>
              <w:rPr>
                <w:rFonts w:hint="eastAsia" w:hAnsi="宋体" w:cs="宋体"/>
                <w:b w:val="0"/>
                <w:bCs/>
                <w:sz w:val="18"/>
                <w:szCs w:val="18"/>
                <w:lang w:val="en-US" w:eastAsia="zh-CN"/>
              </w:rPr>
              <w:t>25分</w:t>
            </w:r>
            <w:r>
              <w:rPr>
                <w:rFonts w:hint="eastAsia" w:hAnsi="宋体" w:cs="宋体"/>
                <w:b w:val="0"/>
                <w:bCs/>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1.</w:t>
            </w:r>
            <w:r>
              <w:rPr>
                <w:rFonts w:hint="eastAsia" w:hAnsi="宋体" w:cs="宋体"/>
                <w:b w:val="0"/>
                <w:bCs/>
                <w:sz w:val="18"/>
                <w:szCs w:val="18"/>
                <w:lang w:eastAsia="zh-CN"/>
              </w:rPr>
              <w:t>健康管理</w:t>
            </w:r>
            <w:r>
              <w:rPr>
                <w:rFonts w:hint="eastAsia" w:ascii="宋体" w:hAnsi="宋体" w:eastAsia="宋体" w:cs="宋体"/>
                <w:b w:val="0"/>
                <w:bCs/>
                <w:sz w:val="18"/>
                <w:szCs w:val="18"/>
              </w:rPr>
              <w:t>软件系统</w:t>
            </w:r>
          </w:p>
          <w:p>
            <w:pPr>
              <w:spacing w:line="34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（5分）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具有并应用信息化健康管理软件系统</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1.无信息化健康管理软件系统扣3分。</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2.</w:t>
            </w:r>
            <w:r>
              <w:rPr>
                <w:rFonts w:hint="eastAsia" w:ascii="宋体" w:hAnsi="宋体" w:eastAsia="宋体" w:cs="宋体"/>
                <w:b w:val="0"/>
                <w:bCs/>
                <w:sz w:val="18"/>
                <w:szCs w:val="18"/>
                <w:lang w:val="en-US" w:eastAsia="zh-CN"/>
              </w:rPr>
              <w:t>有</w:t>
            </w:r>
            <w:r>
              <w:rPr>
                <w:rFonts w:hint="eastAsia" w:ascii="宋体" w:hAnsi="宋体" w:eastAsia="宋体" w:cs="宋体"/>
                <w:b w:val="0"/>
                <w:bCs/>
                <w:sz w:val="18"/>
                <w:szCs w:val="18"/>
                <w:lang w:eastAsia="zh-CN"/>
              </w:rPr>
              <w:t>信息化健康管理软件系统</w:t>
            </w:r>
            <w:r>
              <w:rPr>
                <w:rFonts w:hint="eastAsia" w:ascii="宋体" w:hAnsi="宋体" w:eastAsia="宋体" w:cs="宋体"/>
                <w:b w:val="0"/>
                <w:bCs/>
                <w:sz w:val="18"/>
                <w:szCs w:val="18"/>
                <w:lang w:val="en-US" w:eastAsia="zh-CN"/>
              </w:rPr>
              <w:t>但是未全面使用</w:t>
            </w:r>
            <w:r>
              <w:rPr>
                <w:rFonts w:hint="eastAsia" w:ascii="宋体" w:hAnsi="宋体" w:eastAsia="宋体" w:cs="宋体"/>
                <w:b w:val="0"/>
                <w:bCs/>
                <w:sz w:val="18"/>
                <w:szCs w:val="18"/>
                <w:lang w:eastAsia="zh-CN"/>
              </w:rPr>
              <w:t>扣2分。</w:t>
            </w:r>
          </w:p>
        </w:tc>
        <w:tc>
          <w:tcPr>
            <w:tcW w:w="645" w:type="dxa"/>
            <w:tcBorders>
              <w:top w:val="single" w:color="auto" w:sz="4" w:space="0"/>
              <w:left w:val="single" w:color="auto" w:sz="4" w:space="0"/>
              <w:bottom w:val="single" w:color="auto" w:sz="4" w:space="0"/>
            </w:tcBorders>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2.电子健康档案（5分）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2.1资料录入电脑保存并有备份，建立电子健康档案信息库</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2.2信息保存至少15年（自2017年1月开始执行）</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1.无资料备份，未建立信息库扣4分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2.保存时间不合要求扣1分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3.管理制度及网络安全预案（5分）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3.1有信息化管理制度</w:t>
            </w:r>
            <w:r>
              <w:rPr>
                <w:rFonts w:hint="eastAsia" w:ascii="宋体" w:hAnsi="宋体" w:eastAsia="宋体" w:cs="宋体"/>
                <w:b w:val="0"/>
                <w:bCs/>
                <w:sz w:val="18"/>
                <w:szCs w:val="18"/>
                <w:lang w:eastAsia="zh-CN"/>
              </w:rPr>
              <w:t>。</w:t>
            </w:r>
          </w:p>
          <w:p>
            <w:pPr>
              <w:spacing w:line="320" w:lineRule="exact"/>
              <w:ind w:left="361" w:hanging="270" w:hangingChars="15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3.2有网络安全预案并切实可行</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1.无管理制度扣3分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2.无预案扣2分，预案不切实际扣1分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4.信息系统功能（10分）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4.1系统操作、查阅报告及输出信息时应设有保密权限，各操作ID设置密码。</w:t>
            </w:r>
          </w:p>
          <w:p>
            <w:pPr>
              <w:spacing w:line="32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4.2配有专（兼）职信息系统维护人员。</w:t>
            </w:r>
          </w:p>
          <w:p>
            <w:pPr>
              <w:spacing w:line="32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4.3系统与检验、影像、超声、心电图等系统信息互通。</w:t>
            </w:r>
          </w:p>
          <w:p>
            <w:pPr>
              <w:spacing w:line="320" w:lineRule="exact"/>
              <w:ind w:left="9" w:leftChars="0" w:hanging="9" w:hangingChars="5"/>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4.4配有体检者身份确认及照片采集功能，配有体检者唯一标识码，可追溯既往体检结果。</w:t>
            </w:r>
          </w:p>
          <w:p>
            <w:pPr>
              <w:spacing w:line="32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4.5检查软件系统或体检报告内对应医疗项目设置是否完整，弃检应记录。</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开启健康体检系统：输入操作者ID和密码；查阅既往体检报告，查询时使用体检者唯一标识码，确认报告内身份信息（身份证或其他证件号码）和头像照片；查阅检验、影像、超声、心电图检查项目结果或原始报告。功能缺失酌情扣分。</w:t>
            </w:r>
          </w:p>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2.检查工作制度或工作牌，核对信息系统维护人员。未配置扣2分。</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tcBorders>
              <w:top w:val="single" w:color="auto" w:sz="4" w:space="0"/>
              <w:bottom w:val="single" w:color="auto" w:sz="4" w:space="0"/>
            </w:tcBorders>
            <w:noWrap w:val="0"/>
            <w:vAlign w:val="center"/>
          </w:tcPr>
          <w:p>
            <w:pPr>
              <w:spacing w:line="5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五、院感管理</w:t>
            </w:r>
            <w:r>
              <w:rPr>
                <w:rFonts w:hint="eastAsia" w:hAnsi="宋体" w:cs="宋体"/>
                <w:b w:val="0"/>
                <w:bCs/>
                <w:sz w:val="18"/>
                <w:szCs w:val="18"/>
                <w:lang w:eastAsia="zh-CN"/>
              </w:rPr>
              <w:t>（</w:t>
            </w:r>
            <w:r>
              <w:rPr>
                <w:rFonts w:hint="eastAsia" w:hAnsi="宋体" w:cs="宋体"/>
                <w:b w:val="0"/>
                <w:bCs/>
                <w:sz w:val="18"/>
                <w:szCs w:val="18"/>
                <w:lang w:val="en-US" w:eastAsia="zh-CN"/>
              </w:rPr>
              <w:t>25分</w:t>
            </w:r>
            <w:r>
              <w:rPr>
                <w:rFonts w:hint="eastAsia" w:hAnsi="宋体" w:cs="宋体"/>
                <w:b w:val="0"/>
                <w:bCs/>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1.组织与管理制度</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（5分）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1.1建立健全本部门医院感染管理组织</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相关人员知晓本部门、本岗位职责并履行</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1.2建立完善的院感管理制度，具有院感管理、院感报告、清洁消毒隔离、无菌操作、安全注射、手卫生、医疗废物管理、污水管理、职业暴露防护、医务人员手卫生及一次性使用医疗用品等相关管理制度</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并按要求严格遵守执行</w:t>
            </w:r>
            <w:r>
              <w:rPr>
                <w:rFonts w:hint="eastAsia" w:ascii="宋体" w:hAnsi="宋体" w:eastAsia="宋体" w:cs="宋体"/>
                <w:b w:val="0"/>
                <w:bCs/>
                <w:sz w:val="18"/>
                <w:szCs w:val="18"/>
                <w:lang w:eastAsia="zh-CN"/>
              </w:rPr>
              <w:t>。</w:t>
            </w:r>
          </w:p>
          <w:p>
            <w:pPr>
              <w:spacing w:line="32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1.3设有专（兼）职人员负责医院感染管理工作，有全体医务人员的院内或院外培训并有记录，有相关工作记录及改进措施</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1.未建立医院感染</w:t>
            </w:r>
            <w:r>
              <w:rPr>
                <w:rFonts w:hint="eastAsia" w:ascii="宋体" w:hAnsi="宋体" w:eastAsia="宋体" w:cs="宋体"/>
                <w:b w:val="0"/>
                <w:bCs/>
                <w:sz w:val="18"/>
                <w:szCs w:val="18"/>
                <w:lang w:eastAsia="zh-CN"/>
              </w:rPr>
              <w:t>管理组织</w:t>
            </w:r>
            <w:r>
              <w:rPr>
                <w:rFonts w:hint="eastAsia" w:ascii="宋体" w:hAnsi="宋体" w:eastAsia="宋体" w:cs="宋体"/>
                <w:b w:val="0"/>
                <w:bCs/>
                <w:sz w:val="18"/>
                <w:szCs w:val="18"/>
              </w:rPr>
              <w:t>扣5分，人员组成不合理扣2分，不能履行职责，相关人员不熟知相关制度、流程及所辖部门医院感染特点扣2分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2.无院感管理制度扣5分，制度不全每项扣0.5分</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制度执行不严格扣1分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3.无专（兼）人员负责院感工作扣2分</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无培训记录扣0.5分，无</w:t>
            </w:r>
            <w:r>
              <w:rPr>
                <w:rFonts w:hint="eastAsia" w:ascii="宋体" w:hAnsi="宋体" w:eastAsia="宋体" w:cs="宋体"/>
                <w:b w:val="0"/>
                <w:bCs/>
                <w:sz w:val="18"/>
                <w:szCs w:val="18"/>
                <w:lang w:eastAsia="zh-CN"/>
              </w:rPr>
              <w:t>工作</w:t>
            </w:r>
            <w:r>
              <w:rPr>
                <w:rFonts w:hint="eastAsia" w:ascii="宋体" w:hAnsi="宋体" w:eastAsia="宋体" w:cs="宋体"/>
                <w:b w:val="0"/>
                <w:bCs/>
                <w:sz w:val="18"/>
                <w:szCs w:val="18"/>
              </w:rPr>
              <w:t>记录扣1分</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无改进措施扣0.5分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2.手卫生设施、手卫生依从性与正确性（4分）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2.1按照手卫生规范，正确配置有效</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便捷的手卫生设备和设施</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2.2医务人员在体检诊疗活动中应严格遵循手卫生相关要求（手清洁、手消毒）</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1.现场查看重点（检验科、妇科、外科、口腔科、耳鼻喉科、采血室）的手卫生设施，包括非接触式水龙头、流动水、洗手液、干手器或纸巾、速干手消剂</w:t>
            </w:r>
            <w:r>
              <w:rPr>
                <w:rFonts w:hint="eastAsia" w:ascii="宋体" w:hAnsi="宋体" w:eastAsia="宋体" w:cs="宋体"/>
                <w:b w:val="0"/>
                <w:bCs/>
                <w:sz w:val="18"/>
                <w:szCs w:val="18"/>
                <w:lang w:eastAsia="zh-CN"/>
              </w:rPr>
              <w:t>，每</w:t>
            </w:r>
            <w:r>
              <w:rPr>
                <w:rFonts w:hint="eastAsia" w:ascii="宋体" w:hAnsi="宋体" w:eastAsia="宋体" w:cs="宋体"/>
                <w:b w:val="0"/>
                <w:bCs/>
                <w:sz w:val="18"/>
                <w:szCs w:val="18"/>
              </w:rPr>
              <w:t>科室不达标扣1分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2.现场抽查5人，</w:t>
            </w:r>
            <w:r>
              <w:rPr>
                <w:rFonts w:hint="eastAsia" w:ascii="宋体" w:hAnsi="宋体" w:eastAsia="宋体" w:cs="宋体"/>
                <w:b w:val="0"/>
                <w:bCs/>
                <w:sz w:val="18"/>
                <w:szCs w:val="18"/>
                <w:lang w:eastAsia="zh-CN"/>
              </w:rPr>
              <w:t>每人次</w:t>
            </w:r>
            <w:r>
              <w:rPr>
                <w:rFonts w:hint="eastAsia" w:ascii="宋体" w:hAnsi="宋体" w:eastAsia="宋体" w:cs="宋体"/>
                <w:b w:val="0"/>
                <w:bCs/>
                <w:sz w:val="18"/>
                <w:szCs w:val="18"/>
              </w:rPr>
              <w:t>不达标扣1分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p>
            <w:pPr>
              <w:spacing w:line="320" w:lineRule="exact"/>
              <w:jc w:val="both"/>
              <w:rPr>
                <w:rFonts w:hint="eastAsia" w:ascii="宋体" w:hAnsi="宋体" w:eastAsia="宋体" w:cs="宋体"/>
                <w:b w:val="0"/>
                <w:bCs/>
                <w:sz w:val="18"/>
                <w:szCs w:val="18"/>
              </w:rPr>
            </w:pPr>
          </w:p>
          <w:p>
            <w:pPr>
              <w:spacing w:line="320" w:lineRule="exact"/>
              <w:jc w:val="both"/>
              <w:rPr>
                <w:rFonts w:hint="eastAsia" w:ascii="宋体" w:hAnsi="宋体" w:eastAsia="宋体" w:cs="宋体"/>
                <w:b w:val="0"/>
                <w:bCs/>
                <w:sz w:val="18"/>
                <w:szCs w:val="18"/>
              </w:rPr>
            </w:pPr>
          </w:p>
          <w:p>
            <w:pPr>
              <w:spacing w:line="320" w:lineRule="exact"/>
              <w:jc w:val="both"/>
              <w:rPr>
                <w:rFonts w:hint="eastAsia" w:ascii="宋体" w:hAnsi="宋体" w:eastAsia="宋体" w:cs="宋体"/>
                <w:b w:val="0"/>
                <w:bCs/>
                <w:sz w:val="18"/>
                <w:szCs w:val="18"/>
              </w:rPr>
            </w:pPr>
          </w:p>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3.安全注射与职业安全防护（4分）</w:t>
            </w:r>
          </w:p>
          <w:p>
            <w:pPr>
              <w:spacing w:line="320" w:lineRule="exact"/>
              <w:jc w:val="both"/>
              <w:rPr>
                <w:rFonts w:hint="eastAsia" w:ascii="宋体" w:hAnsi="宋体" w:eastAsia="宋体" w:cs="宋体"/>
                <w:b w:val="0"/>
                <w:bCs/>
                <w:sz w:val="18"/>
                <w:szCs w:val="18"/>
              </w:rPr>
            </w:pPr>
          </w:p>
          <w:p>
            <w:pPr>
              <w:spacing w:line="320" w:lineRule="exact"/>
              <w:jc w:val="both"/>
              <w:rPr>
                <w:rFonts w:hint="eastAsia" w:ascii="宋体" w:hAnsi="宋体" w:eastAsia="宋体" w:cs="宋体"/>
                <w:b w:val="0"/>
                <w:bCs/>
                <w:sz w:val="18"/>
                <w:szCs w:val="18"/>
              </w:rPr>
            </w:pP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3.1采血室环境清洁，操作前半小时停止清扫地面工作</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3.2严禁在非清洁区域进行采血注射等工作</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3.3严格执行采血器具“一人一针一巾一带”</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3.4盛放用于皮肤消毒的非一次性使用的碘酒、酒精的容器等应密闭保存，每周更换2次，同时更换灭菌容器</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一次性小包装的瓶装碘酒、酒精，启封使用时间不超过7天</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3.5一次性使用无菌医疗采购、使用、储存、发放、使用后处理等工作符合规范</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3.6相关人员</w:t>
            </w:r>
            <w:r>
              <w:rPr>
                <w:rFonts w:hint="eastAsia" w:ascii="宋体" w:hAnsi="宋体" w:eastAsia="宋体" w:cs="宋体"/>
                <w:b w:val="0"/>
                <w:bCs/>
                <w:sz w:val="18"/>
                <w:szCs w:val="18"/>
                <w:lang w:eastAsia="zh-CN"/>
              </w:rPr>
              <w:t>知晓</w:t>
            </w:r>
            <w:r>
              <w:rPr>
                <w:rFonts w:hint="eastAsia" w:ascii="宋体" w:hAnsi="宋体" w:eastAsia="宋体" w:cs="宋体"/>
                <w:b w:val="0"/>
                <w:bCs/>
                <w:sz w:val="18"/>
                <w:szCs w:val="18"/>
              </w:rPr>
              <w:t>职业暴露的应急措施与处置流程</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3.7熟知锐器伤防护知识</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1.采血室环境不清洁，操作前半小时清扫地面工作扣2分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2.在非清洁区域进行采血注射等工作扣1分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3.采血用品（一人一针一巾一带），不合格每人次扣1分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4.碘酒、酒精的容器未密闭保存，每周未更换2次，同时未更换灭菌容器，一次性小包装的瓶装碘酒、酒精，启封无开启时间，使用时间超过7天</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每项扣1分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5.一次性使用无菌医疗采购、使用、储存、发放、使用后处理等工作不符合规范</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每项扣1分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6.相关人员不知晓职业暴露的应急措施与处置流程扣1分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7.不知晓锐器伤防护知识扣1分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4.重点（超声、妇科、口腔科）科室院感管理</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（5分）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4.1超声科院感管理：超声检查时超声探头（经阴道进行超声检查）须做到一人一用</w:t>
            </w:r>
            <w:r>
              <w:rPr>
                <w:rFonts w:hint="eastAsia" w:ascii="宋体" w:hAnsi="宋体" w:eastAsia="宋体" w:cs="宋体"/>
                <w:b w:val="0"/>
                <w:bCs/>
                <w:sz w:val="18"/>
                <w:szCs w:val="18"/>
                <w:lang w:eastAsia="zh-CN"/>
              </w:rPr>
              <w:t>一</w:t>
            </w:r>
            <w:r>
              <w:rPr>
                <w:rFonts w:hint="eastAsia" w:ascii="宋体" w:hAnsi="宋体" w:eastAsia="宋体" w:cs="宋体"/>
                <w:b w:val="0"/>
                <w:bCs/>
                <w:sz w:val="18"/>
                <w:szCs w:val="18"/>
              </w:rPr>
              <w:t>消毒或用隔离膜、消毒耦合剂；每班次检查结束后，须对超声探头等进行彻底清洁和消毒处理，</w:t>
            </w:r>
            <w:r>
              <w:rPr>
                <w:rFonts w:hint="eastAsia" w:ascii="宋体" w:hAnsi="宋体" w:eastAsia="宋体" w:cs="宋体"/>
                <w:b w:val="0"/>
                <w:bCs/>
                <w:sz w:val="18"/>
                <w:szCs w:val="18"/>
                <w:lang w:eastAsia="zh-CN"/>
              </w:rPr>
              <w:t>并</w:t>
            </w:r>
            <w:r>
              <w:rPr>
                <w:rFonts w:hint="eastAsia" w:ascii="宋体" w:hAnsi="宋体" w:eastAsia="宋体" w:cs="宋体"/>
                <w:b w:val="0"/>
                <w:bCs/>
                <w:sz w:val="18"/>
                <w:szCs w:val="18"/>
              </w:rPr>
              <w:t>干燥保存</w:t>
            </w:r>
            <w:r>
              <w:rPr>
                <w:rFonts w:hint="eastAsia" w:ascii="宋体" w:hAnsi="宋体" w:eastAsia="宋体" w:cs="宋体"/>
                <w:b w:val="0"/>
                <w:bCs/>
                <w:sz w:val="18"/>
                <w:szCs w:val="18"/>
                <w:lang w:eastAsia="zh-CN"/>
              </w:rPr>
              <w:t>。</w:t>
            </w:r>
          </w:p>
          <w:p>
            <w:pPr>
              <w:pStyle w:val="121"/>
              <w:jc w:val="both"/>
              <w:rPr>
                <w:rFonts w:hint="eastAsia" w:ascii="宋体" w:hAnsi="宋体" w:eastAsia="宋体" w:cs="宋体"/>
                <w:b w:val="0"/>
                <w:bCs/>
                <w:color w:val="auto"/>
                <w:kern w:val="2"/>
                <w:sz w:val="18"/>
                <w:szCs w:val="18"/>
              </w:rPr>
            </w:pPr>
            <w:r>
              <w:rPr>
                <w:rFonts w:hint="eastAsia" w:ascii="宋体" w:hAnsi="宋体" w:eastAsia="宋体" w:cs="宋体"/>
                <w:b w:val="0"/>
                <w:bCs/>
                <w:color w:val="auto"/>
                <w:kern w:val="2"/>
                <w:sz w:val="18"/>
                <w:szCs w:val="18"/>
                <w:lang w:val="en-US" w:eastAsia="zh-CN"/>
              </w:rPr>
              <w:t>4.2</w:t>
            </w:r>
            <w:r>
              <w:rPr>
                <w:rFonts w:hint="eastAsia" w:ascii="宋体" w:hAnsi="宋体" w:eastAsia="宋体" w:cs="宋体"/>
                <w:b w:val="0"/>
                <w:bCs/>
                <w:color w:val="auto"/>
                <w:kern w:val="2"/>
                <w:sz w:val="18"/>
                <w:szCs w:val="18"/>
              </w:rPr>
              <w:t>妇科院感管理：</w:t>
            </w:r>
          </w:p>
          <w:p>
            <w:pPr>
              <w:pStyle w:val="121"/>
              <w:jc w:val="both"/>
              <w:rPr>
                <w:rFonts w:hint="eastAsia" w:ascii="宋体" w:hAnsi="宋体" w:eastAsia="宋体" w:cs="宋体"/>
                <w:b w:val="0"/>
                <w:bCs/>
                <w:color w:val="auto"/>
                <w:kern w:val="2"/>
                <w:sz w:val="18"/>
                <w:szCs w:val="18"/>
                <w:lang w:eastAsia="zh-CN"/>
              </w:rPr>
            </w:pPr>
            <w:r>
              <w:rPr>
                <w:rFonts w:hint="eastAsia" w:ascii="宋体" w:hAnsi="宋体" w:eastAsia="宋体" w:cs="宋体"/>
                <w:b w:val="0"/>
                <w:bCs/>
                <w:color w:val="auto"/>
                <w:kern w:val="2"/>
                <w:sz w:val="18"/>
                <w:szCs w:val="18"/>
                <w:lang w:eastAsia="zh-CN"/>
              </w:rPr>
              <w:t>①</w:t>
            </w:r>
            <w:r>
              <w:rPr>
                <w:rFonts w:hint="eastAsia" w:ascii="宋体" w:hAnsi="宋体" w:eastAsia="宋体" w:cs="宋体"/>
                <w:b w:val="0"/>
                <w:bCs/>
                <w:color w:val="auto"/>
                <w:kern w:val="2"/>
                <w:sz w:val="18"/>
                <w:szCs w:val="18"/>
              </w:rPr>
              <w:t>布局合理，清洁区、污染区分区明确，标志清楚，并设有流动水洗手设施或手消毒设备</w:t>
            </w:r>
            <w:r>
              <w:rPr>
                <w:rFonts w:hint="eastAsia" w:ascii="宋体" w:hAnsi="宋体" w:eastAsia="宋体" w:cs="宋体"/>
                <w:b w:val="0"/>
                <w:bCs/>
                <w:color w:val="auto"/>
                <w:kern w:val="2"/>
                <w:sz w:val="18"/>
                <w:szCs w:val="18"/>
                <w:lang w:eastAsia="zh-CN"/>
              </w:rPr>
              <w:t>；</w:t>
            </w:r>
          </w:p>
          <w:p>
            <w:pPr>
              <w:pStyle w:val="121"/>
              <w:jc w:val="both"/>
              <w:rPr>
                <w:rFonts w:hint="eastAsia" w:ascii="宋体" w:hAnsi="宋体" w:eastAsia="宋体" w:cs="宋体"/>
                <w:b w:val="0"/>
                <w:bCs/>
                <w:color w:val="auto"/>
                <w:sz w:val="18"/>
                <w:szCs w:val="18"/>
                <w:lang w:eastAsia="zh-CN"/>
              </w:rPr>
            </w:pPr>
            <w:r>
              <w:rPr>
                <w:rFonts w:hint="eastAsia" w:ascii="宋体" w:hAnsi="宋体" w:eastAsia="宋体" w:cs="宋体"/>
                <w:b w:val="0"/>
                <w:bCs/>
                <w:color w:val="auto"/>
                <w:kern w:val="2"/>
                <w:sz w:val="18"/>
                <w:szCs w:val="18"/>
                <w:lang w:eastAsia="zh-CN"/>
              </w:rPr>
              <w:t>②</w:t>
            </w:r>
            <w:r>
              <w:rPr>
                <w:rFonts w:hint="eastAsia" w:ascii="宋体" w:hAnsi="宋体" w:eastAsia="宋体" w:cs="宋体"/>
                <w:b w:val="0"/>
                <w:bCs/>
                <w:color w:val="auto"/>
                <w:kern w:val="2"/>
                <w:sz w:val="18"/>
                <w:szCs w:val="18"/>
              </w:rPr>
              <w:t>严格执行无菌技术操作规程，对每位</w:t>
            </w:r>
            <w:r>
              <w:rPr>
                <w:rFonts w:hint="eastAsia" w:ascii="宋体" w:hAnsi="宋体" w:eastAsia="宋体" w:cs="宋体"/>
                <w:b w:val="0"/>
                <w:bCs/>
                <w:color w:val="auto"/>
                <w:kern w:val="2"/>
                <w:sz w:val="18"/>
                <w:szCs w:val="18"/>
                <w:lang w:eastAsia="zh-CN"/>
              </w:rPr>
              <w:t>受检者</w:t>
            </w:r>
            <w:r>
              <w:rPr>
                <w:rFonts w:hint="eastAsia" w:ascii="宋体" w:hAnsi="宋体" w:eastAsia="宋体" w:cs="宋体"/>
                <w:b w:val="0"/>
                <w:bCs/>
                <w:color w:val="auto"/>
                <w:kern w:val="2"/>
                <w:sz w:val="18"/>
                <w:szCs w:val="18"/>
              </w:rPr>
              <w:t>检查操作前后应及时洗手或手消毒</w:t>
            </w:r>
            <w:r>
              <w:rPr>
                <w:rFonts w:hint="eastAsia" w:ascii="宋体" w:hAnsi="宋体" w:eastAsia="宋体" w:cs="宋体"/>
                <w:b w:val="0"/>
                <w:bCs/>
                <w:color w:val="auto"/>
                <w:kern w:val="2"/>
                <w:sz w:val="18"/>
                <w:szCs w:val="18"/>
                <w:lang w:eastAsia="zh-CN"/>
              </w:rPr>
              <w:t>，</w:t>
            </w:r>
            <w:r>
              <w:rPr>
                <w:rFonts w:hint="eastAsia" w:ascii="宋体" w:hAnsi="宋体" w:eastAsia="宋体" w:cs="宋体"/>
                <w:b w:val="0"/>
                <w:bCs/>
                <w:color w:val="auto"/>
                <w:kern w:val="2"/>
                <w:sz w:val="18"/>
                <w:szCs w:val="18"/>
              </w:rPr>
              <w:t>检查时须做到一人一垫（单）一窥器一刮板一手套</w:t>
            </w:r>
            <w:r>
              <w:rPr>
                <w:rFonts w:hint="eastAsia" w:ascii="宋体" w:hAnsi="宋体" w:eastAsia="宋体" w:cs="宋体"/>
                <w:b w:val="0"/>
                <w:bCs/>
                <w:color w:val="auto"/>
                <w:kern w:val="2"/>
                <w:sz w:val="18"/>
                <w:szCs w:val="18"/>
                <w:lang w:eastAsia="zh-CN"/>
              </w:rPr>
              <w:t>，</w:t>
            </w:r>
            <w:r>
              <w:rPr>
                <w:rFonts w:hint="eastAsia" w:ascii="宋体" w:hAnsi="宋体" w:eastAsia="宋体" w:cs="宋体"/>
                <w:b w:val="0"/>
                <w:bCs/>
                <w:color w:val="auto"/>
                <w:kern w:val="2"/>
                <w:sz w:val="18"/>
                <w:szCs w:val="18"/>
              </w:rPr>
              <w:t>采集标本必须一人一部位一棉签一玻片</w:t>
            </w:r>
            <w:r>
              <w:rPr>
                <w:rFonts w:hint="eastAsia" w:ascii="宋体" w:hAnsi="宋体" w:eastAsia="宋体" w:cs="宋体"/>
                <w:b w:val="0"/>
                <w:bCs/>
                <w:color w:val="auto"/>
                <w:sz w:val="18"/>
                <w:szCs w:val="18"/>
              </w:rPr>
              <w:t>（一次性检查单或臀垫标准面积为70cm×60cm）</w:t>
            </w:r>
            <w:r>
              <w:rPr>
                <w:rFonts w:hint="eastAsia" w:ascii="宋体" w:hAnsi="宋体" w:eastAsia="宋体" w:cs="宋体"/>
                <w:b w:val="0"/>
                <w:bCs/>
                <w:color w:val="auto"/>
                <w:sz w:val="18"/>
                <w:szCs w:val="18"/>
                <w:lang w:eastAsia="zh-CN"/>
              </w:rPr>
              <w:t>；</w:t>
            </w:r>
          </w:p>
          <w:p>
            <w:pPr>
              <w:pStyle w:val="121"/>
              <w:jc w:val="both"/>
              <w:rPr>
                <w:rFonts w:hint="eastAsia" w:ascii="宋体" w:hAnsi="宋体" w:eastAsia="宋体" w:cs="宋体"/>
                <w:b w:val="0"/>
                <w:bCs/>
                <w:color w:val="auto"/>
                <w:kern w:val="2"/>
                <w:sz w:val="18"/>
                <w:szCs w:val="18"/>
                <w:lang w:eastAsia="zh-CN"/>
              </w:rPr>
            </w:pPr>
            <w:r>
              <w:rPr>
                <w:rFonts w:hint="eastAsia" w:ascii="宋体" w:hAnsi="宋体" w:eastAsia="宋体" w:cs="宋体"/>
                <w:b w:val="0"/>
                <w:bCs/>
                <w:color w:val="auto"/>
                <w:sz w:val="18"/>
                <w:szCs w:val="18"/>
                <w:lang w:eastAsia="zh-CN"/>
              </w:rPr>
              <w:t>③</w:t>
            </w:r>
            <w:r>
              <w:rPr>
                <w:rFonts w:hint="eastAsia" w:ascii="宋体" w:hAnsi="宋体" w:eastAsia="宋体" w:cs="宋体"/>
                <w:b w:val="0"/>
                <w:bCs/>
                <w:color w:val="auto"/>
                <w:kern w:val="2"/>
                <w:sz w:val="18"/>
                <w:szCs w:val="18"/>
              </w:rPr>
              <w:t>配置医疗废物桶和生活垃圾桶，标识清晰</w:t>
            </w:r>
            <w:r>
              <w:rPr>
                <w:rFonts w:hint="eastAsia" w:ascii="宋体" w:hAnsi="宋体" w:eastAsia="宋体" w:cs="宋体"/>
                <w:b w:val="0"/>
                <w:bCs/>
                <w:color w:val="auto"/>
                <w:kern w:val="2"/>
                <w:sz w:val="18"/>
                <w:szCs w:val="18"/>
                <w:lang w:eastAsia="zh-CN"/>
              </w:rPr>
              <w:t>；</w:t>
            </w:r>
          </w:p>
          <w:p>
            <w:pPr>
              <w:pStyle w:val="121"/>
              <w:jc w:val="both"/>
              <w:rPr>
                <w:rFonts w:hint="eastAsia" w:ascii="宋体" w:hAnsi="宋体" w:eastAsia="宋体" w:cs="宋体"/>
                <w:b w:val="0"/>
                <w:bCs/>
                <w:color w:val="auto"/>
                <w:kern w:val="2"/>
                <w:sz w:val="18"/>
                <w:szCs w:val="18"/>
                <w:lang w:eastAsia="zh-CN"/>
              </w:rPr>
            </w:pPr>
            <w:r>
              <w:rPr>
                <w:rFonts w:hint="eastAsia" w:ascii="宋体" w:hAnsi="宋体" w:eastAsia="宋体" w:cs="宋体"/>
                <w:b w:val="0"/>
                <w:bCs/>
                <w:color w:val="auto"/>
                <w:kern w:val="2"/>
                <w:sz w:val="18"/>
                <w:szCs w:val="18"/>
                <w:lang w:eastAsia="zh-CN"/>
              </w:rPr>
              <w:t>④</w:t>
            </w:r>
            <w:r>
              <w:rPr>
                <w:rFonts w:hint="eastAsia" w:ascii="宋体" w:hAnsi="宋体" w:eastAsia="宋体" w:cs="宋体"/>
                <w:b w:val="0"/>
                <w:bCs/>
                <w:color w:val="auto"/>
                <w:kern w:val="2"/>
                <w:sz w:val="18"/>
                <w:szCs w:val="18"/>
              </w:rPr>
              <w:t>一次性医疗用品，使用后按医疗废物处理</w:t>
            </w:r>
            <w:r>
              <w:rPr>
                <w:rFonts w:hint="eastAsia" w:ascii="宋体" w:hAnsi="宋体" w:eastAsia="宋体" w:cs="宋体"/>
                <w:b w:val="0"/>
                <w:bCs/>
                <w:color w:val="auto"/>
                <w:kern w:val="2"/>
                <w:sz w:val="18"/>
                <w:szCs w:val="18"/>
                <w:lang w:eastAsia="zh-CN"/>
              </w:rPr>
              <w:t>。</w:t>
            </w:r>
          </w:p>
          <w:p>
            <w:pPr>
              <w:pStyle w:val="121"/>
              <w:jc w:val="both"/>
              <w:rPr>
                <w:rFonts w:hint="eastAsia" w:ascii="宋体" w:hAnsi="宋体" w:eastAsia="宋体" w:cs="宋体"/>
                <w:b w:val="0"/>
                <w:bCs/>
                <w:sz w:val="18"/>
                <w:szCs w:val="18"/>
              </w:rPr>
            </w:pPr>
            <w:r>
              <w:rPr>
                <w:rFonts w:hint="eastAsia" w:ascii="宋体" w:hAnsi="宋体" w:eastAsia="宋体" w:cs="宋体"/>
                <w:b w:val="0"/>
                <w:bCs/>
                <w:color w:val="auto"/>
                <w:sz w:val="18"/>
                <w:szCs w:val="18"/>
              </w:rPr>
              <w:t>4.3口腔科院感管理：</w:t>
            </w:r>
            <w:r>
              <w:rPr>
                <w:rFonts w:hint="eastAsia" w:ascii="宋体" w:hAnsi="宋体" w:eastAsia="宋体" w:cs="宋体"/>
                <w:b w:val="0"/>
                <w:bCs/>
                <w:color w:val="auto"/>
                <w:kern w:val="2"/>
                <w:sz w:val="18"/>
                <w:szCs w:val="18"/>
              </w:rPr>
              <w:t>医护人员进行检诊操作时，必须严格执行无菌操作规程，操作时应戴口罩、帽子；对</w:t>
            </w:r>
            <w:r>
              <w:rPr>
                <w:rFonts w:hint="eastAsia" w:ascii="宋体" w:hAnsi="宋体" w:eastAsia="宋体" w:cs="宋体"/>
                <w:b w:val="0"/>
                <w:bCs/>
                <w:color w:val="auto"/>
                <w:kern w:val="2"/>
                <w:sz w:val="18"/>
                <w:szCs w:val="18"/>
                <w:lang w:eastAsia="zh-CN"/>
              </w:rPr>
              <w:t>受检者检查</w:t>
            </w:r>
            <w:r>
              <w:rPr>
                <w:rFonts w:hint="eastAsia" w:ascii="宋体" w:hAnsi="宋体" w:eastAsia="宋体" w:cs="宋体"/>
                <w:b w:val="0"/>
                <w:bCs/>
                <w:color w:val="auto"/>
                <w:kern w:val="2"/>
                <w:sz w:val="18"/>
                <w:szCs w:val="18"/>
              </w:rPr>
              <w:t>操作前后应</w:t>
            </w:r>
            <w:r>
              <w:rPr>
                <w:rFonts w:hint="eastAsia" w:ascii="宋体" w:hAnsi="宋体" w:eastAsia="宋体" w:cs="宋体"/>
                <w:b w:val="0"/>
                <w:bCs/>
                <w:color w:val="auto"/>
                <w:kern w:val="2"/>
                <w:sz w:val="18"/>
                <w:szCs w:val="18"/>
                <w:lang w:eastAsia="zh-CN"/>
              </w:rPr>
              <w:t>及时</w:t>
            </w:r>
            <w:r>
              <w:rPr>
                <w:rFonts w:hint="eastAsia" w:ascii="宋体" w:hAnsi="宋体" w:eastAsia="宋体" w:cs="宋体"/>
                <w:b w:val="0"/>
                <w:bCs/>
                <w:color w:val="auto"/>
                <w:kern w:val="2"/>
                <w:sz w:val="18"/>
                <w:szCs w:val="18"/>
              </w:rPr>
              <w:t>洗手或进行卫生手消毒</w:t>
            </w:r>
            <w:r>
              <w:rPr>
                <w:rFonts w:hint="eastAsia" w:ascii="宋体" w:hAnsi="宋体" w:eastAsia="宋体" w:cs="宋体"/>
                <w:b w:val="0"/>
                <w:bCs/>
                <w:color w:val="auto"/>
                <w:sz w:val="18"/>
                <w:szCs w:val="18"/>
              </w:rPr>
              <w:t>；口镜、</w:t>
            </w:r>
            <w:r>
              <w:rPr>
                <w:rFonts w:hint="eastAsia" w:ascii="宋体" w:hAnsi="宋体" w:eastAsia="宋体" w:cs="宋体"/>
                <w:b w:val="0"/>
                <w:bCs/>
                <w:color w:val="auto"/>
                <w:kern w:val="2"/>
                <w:sz w:val="18"/>
                <w:szCs w:val="18"/>
              </w:rPr>
              <w:t>镊子、探针一人一用一消毒</w:t>
            </w:r>
            <w:r>
              <w:rPr>
                <w:rFonts w:hint="eastAsia" w:ascii="宋体" w:hAnsi="宋体" w:eastAsia="宋体" w:cs="宋体"/>
                <w:b w:val="0"/>
                <w:bCs/>
                <w:color w:val="auto"/>
                <w:kern w:val="2"/>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1.经阴道进行超声检查的超声探头未做到一人一用</w:t>
            </w:r>
            <w:r>
              <w:rPr>
                <w:rFonts w:hint="eastAsia" w:ascii="宋体" w:hAnsi="宋体" w:eastAsia="宋体" w:cs="宋体"/>
                <w:b w:val="0"/>
                <w:bCs/>
                <w:sz w:val="18"/>
                <w:szCs w:val="18"/>
                <w:lang w:eastAsia="zh-CN"/>
              </w:rPr>
              <w:t>一</w:t>
            </w:r>
            <w:r>
              <w:rPr>
                <w:rFonts w:hint="eastAsia" w:ascii="宋体" w:hAnsi="宋体" w:eastAsia="宋体" w:cs="宋体"/>
                <w:b w:val="0"/>
                <w:bCs/>
                <w:sz w:val="18"/>
                <w:szCs w:val="18"/>
              </w:rPr>
              <w:t>消毒或用隔离膜、消毒耦合剂扣5分，每班次检查结束后，未对超声探头等进行彻底清洁和消毒处理，</w:t>
            </w:r>
            <w:r>
              <w:rPr>
                <w:rFonts w:hint="eastAsia" w:ascii="宋体" w:hAnsi="宋体" w:eastAsia="宋体" w:cs="宋体"/>
                <w:b w:val="0"/>
                <w:bCs/>
                <w:sz w:val="18"/>
                <w:szCs w:val="18"/>
                <w:lang w:eastAsia="zh-CN"/>
              </w:rPr>
              <w:t>并</w:t>
            </w:r>
            <w:r>
              <w:rPr>
                <w:rFonts w:hint="eastAsia" w:ascii="宋体" w:hAnsi="宋体" w:eastAsia="宋体" w:cs="宋体"/>
                <w:b w:val="0"/>
                <w:bCs/>
                <w:sz w:val="18"/>
                <w:szCs w:val="18"/>
              </w:rPr>
              <w:t>干燥保存的扣2分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2.清洁区、污染区分区不明确扣2分，未设有流动水洗手设施或手消毒设备扣2分</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检查时未做到一人一垫（单）一窥器一刮板一手套，采集标本未做到一人一部位一棉签一玻片扣5分</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未配置医疗废物桶和生活垃圾桶，标识不清晰扣1分</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一次性医疗用品使用后未按医疗废物处理扣2分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3.进行检诊操作时未严格执行无菌操作规程，操作时</w:t>
            </w:r>
            <w:r>
              <w:rPr>
                <w:rFonts w:hint="eastAsia" w:ascii="宋体" w:hAnsi="宋体" w:eastAsia="宋体" w:cs="宋体"/>
                <w:b w:val="0"/>
                <w:bCs/>
                <w:sz w:val="18"/>
                <w:szCs w:val="18"/>
                <w:lang w:eastAsia="zh-CN"/>
              </w:rPr>
              <w:t>未</w:t>
            </w:r>
            <w:r>
              <w:rPr>
                <w:rFonts w:hint="eastAsia" w:ascii="宋体" w:hAnsi="宋体" w:eastAsia="宋体" w:cs="宋体"/>
                <w:b w:val="0"/>
                <w:bCs/>
                <w:sz w:val="18"/>
                <w:szCs w:val="18"/>
              </w:rPr>
              <w:t>戴口罩、帽子扣1分，对</w:t>
            </w:r>
            <w:r>
              <w:rPr>
                <w:rFonts w:hint="eastAsia" w:ascii="宋体" w:hAnsi="宋体" w:eastAsia="宋体" w:cs="宋体"/>
                <w:b w:val="0"/>
                <w:bCs/>
                <w:sz w:val="18"/>
                <w:szCs w:val="18"/>
                <w:lang w:eastAsia="zh-CN"/>
              </w:rPr>
              <w:t>受检者检查</w:t>
            </w:r>
            <w:r>
              <w:rPr>
                <w:rFonts w:hint="eastAsia" w:ascii="宋体" w:hAnsi="宋体" w:eastAsia="宋体" w:cs="宋体"/>
                <w:b w:val="0"/>
                <w:bCs/>
                <w:sz w:val="18"/>
                <w:szCs w:val="18"/>
              </w:rPr>
              <w:t>操作前后未洗手或进行卫生手消毒扣1分</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口镜、镊子、探针未做到一人一用一消毒扣5分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5.医疗废物和污水管理</w:t>
            </w:r>
          </w:p>
          <w:p>
            <w:pPr>
              <w:spacing w:line="320" w:lineRule="exact"/>
              <w:ind w:firstLine="90" w:firstLineChars="50"/>
              <w:jc w:val="both"/>
              <w:rPr>
                <w:rFonts w:hint="eastAsia" w:ascii="宋体" w:hAnsi="宋体" w:eastAsia="宋体" w:cs="宋体"/>
                <w:b w:val="0"/>
                <w:bCs/>
                <w:sz w:val="18"/>
                <w:szCs w:val="18"/>
              </w:rPr>
            </w:pPr>
            <w:r>
              <w:rPr>
                <w:rFonts w:hint="eastAsia" w:ascii="宋体" w:hAnsi="宋体" w:eastAsia="宋体" w:cs="宋体"/>
                <w:b w:val="0"/>
                <w:bCs/>
                <w:sz w:val="18"/>
                <w:szCs w:val="18"/>
              </w:rPr>
              <w:t>（4</w:t>
            </w:r>
            <w:r>
              <w:rPr>
                <w:rFonts w:hint="eastAsia" w:hAnsi="宋体" w:cs="宋体"/>
                <w:b w:val="0"/>
                <w:bCs/>
                <w:sz w:val="18"/>
                <w:szCs w:val="18"/>
                <w:lang w:eastAsia="zh-CN"/>
              </w:rPr>
              <w:t>分</w:t>
            </w:r>
            <w:r>
              <w:rPr>
                <w:rFonts w:hint="eastAsia" w:ascii="宋体" w:hAnsi="宋体" w:eastAsia="宋体" w:cs="宋体"/>
                <w:b w:val="0"/>
                <w:bCs/>
                <w:sz w:val="18"/>
                <w:szCs w:val="18"/>
              </w:rPr>
              <w:t>）</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5.1医疗废物的收集、转运、登记符合规范</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5.2正确使用锐器盒，锐器使用后立即放入锐器盒内</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5.3污水处理符合相关法律法规</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5.4医疗废弃物的存放和处理符合《医疗废物管理条例》规定，不依托医院的独立体检中心应有医疗废弃物管理制度和处理流程。</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1.医疗废物的收集、转运、登记不符合规范扣2分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2.未正确使用锐器盒扣2分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3.污水处理不符合相关法律法规扣2分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4.独立机构有委托第三方处理医疗垃圾，应检查第三方资质文件原件或复印件，设置有医疗垃圾转运流程及委托处理管理或交接规范，不符合者扣2分。</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6.工作人员院感知识知晓情况</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（3分）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包括医院感染的定义，医院感染的报告，标准预防，手卫生，手套、口罩的正确使用，锐器伤后的紧急处理方法等</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抽查当日在岗人员3名，根据其岗位特点</w:t>
            </w:r>
            <w:r>
              <w:rPr>
                <w:rFonts w:hint="eastAsia" w:ascii="宋体" w:hAnsi="宋体" w:eastAsia="宋体" w:cs="宋体"/>
                <w:b w:val="0"/>
                <w:bCs/>
                <w:sz w:val="18"/>
                <w:szCs w:val="18"/>
                <w:lang w:eastAsia="zh-CN"/>
              </w:rPr>
              <w:t>检查其</w:t>
            </w:r>
            <w:r>
              <w:rPr>
                <w:rFonts w:hint="eastAsia" w:ascii="宋体" w:hAnsi="宋体" w:eastAsia="宋体" w:cs="宋体"/>
                <w:b w:val="0"/>
                <w:bCs/>
                <w:sz w:val="18"/>
                <w:szCs w:val="18"/>
              </w:rPr>
              <w:t>院感知识的知晓情况，回答不准确或不完善，</w:t>
            </w:r>
            <w:r>
              <w:rPr>
                <w:rFonts w:hint="eastAsia" w:ascii="宋体" w:hAnsi="宋体" w:eastAsia="宋体" w:cs="宋体"/>
                <w:b w:val="0"/>
                <w:bCs/>
                <w:sz w:val="18"/>
                <w:szCs w:val="18"/>
                <w:lang w:eastAsia="zh-CN"/>
              </w:rPr>
              <w:t>每人次</w:t>
            </w:r>
            <w:r>
              <w:rPr>
                <w:rFonts w:hint="eastAsia" w:ascii="宋体" w:hAnsi="宋体" w:eastAsia="宋体" w:cs="宋体"/>
                <w:b w:val="0"/>
                <w:bCs/>
                <w:sz w:val="18"/>
                <w:szCs w:val="18"/>
              </w:rPr>
              <w:t>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tcBorders>
              <w:top w:val="single" w:color="auto" w:sz="4" w:space="0"/>
              <w:bottom w:val="single" w:color="auto" w:sz="4" w:space="0"/>
            </w:tcBorders>
            <w:noWrap w:val="0"/>
            <w:vAlign w:val="center"/>
          </w:tcPr>
          <w:p>
            <w:pPr>
              <w:spacing w:line="4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六、服务管理</w:t>
            </w:r>
            <w:r>
              <w:rPr>
                <w:rFonts w:hint="eastAsia" w:hAnsi="宋体" w:cs="宋体"/>
                <w:b w:val="0"/>
                <w:bCs/>
                <w:sz w:val="18"/>
                <w:szCs w:val="18"/>
                <w:lang w:eastAsia="zh-CN"/>
              </w:rPr>
              <w:t>（</w:t>
            </w:r>
            <w:r>
              <w:rPr>
                <w:rFonts w:hint="eastAsia" w:hAnsi="宋体" w:cs="宋体"/>
                <w:b w:val="0"/>
                <w:bCs/>
                <w:sz w:val="18"/>
                <w:szCs w:val="18"/>
                <w:lang w:val="en-US" w:eastAsia="zh-CN"/>
              </w:rPr>
              <w:t>25分</w:t>
            </w:r>
            <w:r>
              <w:rPr>
                <w:rFonts w:hint="eastAsia" w:hAnsi="宋体" w:cs="宋体"/>
                <w:b w:val="0"/>
                <w:bCs/>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1.便民措施</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w:t>
            </w:r>
            <w:r>
              <w:rPr>
                <w:rFonts w:hint="eastAsia" w:ascii="宋体" w:hAnsi="宋体" w:eastAsia="宋体" w:cs="宋体"/>
                <w:b w:val="0"/>
                <w:bCs/>
                <w:sz w:val="18"/>
                <w:szCs w:val="18"/>
                <w:lang w:val="en-US" w:eastAsia="zh-CN"/>
              </w:rPr>
              <w:t>6</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体检机构布置温馨</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设有体检机构布局图、体检流程图、用餐区域、</w:t>
            </w:r>
            <w:r>
              <w:rPr>
                <w:rFonts w:hint="eastAsia" w:ascii="宋体" w:hAnsi="宋体" w:eastAsia="宋体" w:cs="宋体"/>
                <w:b w:val="0"/>
                <w:bCs/>
                <w:sz w:val="18"/>
                <w:szCs w:val="18"/>
                <w:lang w:val="en-US" w:eastAsia="zh-CN"/>
              </w:rPr>
              <w:t>逃生通道标示、</w:t>
            </w:r>
            <w:r>
              <w:rPr>
                <w:rFonts w:hint="eastAsia" w:ascii="宋体" w:hAnsi="宋体" w:eastAsia="宋体" w:cs="宋体"/>
                <w:b w:val="0"/>
                <w:bCs/>
                <w:sz w:val="18"/>
                <w:szCs w:val="18"/>
              </w:rPr>
              <w:t>受检者“意见反馈箱”等</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1.检查机构布局图、体检流程图、逃生通道标示、用餐区域等，每缺</w:t>
            </w:r>
            <w:r>
              <w:rPr>
                <w:rFonts w:hint="eastAsia" w:ascii="宋体" w:hAnsi="宋体" w:eastAsia="宋体" w:cs="宋体"/>
                <w:b w:val="0"/>
                <w:bCs/>
                <w:sz w:val="18"/>
                <w:szCs w:val="18"/>
                <w:lang w:eastAsia="zh-CN"/>
              </w:rPr>
              <w:t>1项扣1分。</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2.注意逃生通道是否通畅，无杂物堆积，不锁门，每缺1项扣1分。</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2.知情同意制度及检查前告知制度</w:t>
            </w:r>
          </w:p>
          <w:p>
            <w:pPr>
              <w:spacing w:line="34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（4分）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2.1对于乙肝项目检测，按照“人社部发（2010）12号”、“卫办医政发（2010）38号”等文件要求，除军队、武警、公安特警及特殊职业需要外，在入学、就业体检中，无论受检者是否自愿一律不得提供乙肝项目检测（对于转氨酶≥2倍正常值者，可按规定进一步检查）；对于非就业体检、受检者本人主动要求进行乙肝检测的，体检机构必须与受检者签署知情同意书，并妥善保存</w:t>
            </w:r>
            <w:r>
              <w:rPr>
                <w:rFonts w:hint="eastAsia" w:ascii="宋体" w:hAnsi="宋体" w:eastAsia="宋体" w:cs="宋体"/>
                <w:b w:val="0"/>
                <w:bCs/>
                <w:sz w:val="18"/>
                <w:szCs w:val="18"/>
                <w:lang w:eastAsia="zh-CN"/>
              </w:rPr>
              <w:t>。</w:t>
            </w:r>
          </w:p>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2.2有抽血、妇科检查、放射检查、超声检查等项目的检查前告知制度</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0" w:leftChars="0" w:firstLine="0" w:firstLineChars="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1.除军队、武警、公安特警及特殊职业需要外，在入学、就业体检中，无论受检者是否同意，如提供乙肝项目检测，不合格，并扣2分（特殊情况除外）</w:t>
            </w:r>
            <w:r>
              <w:rPr>
                <w:rFonts w:hint="eastAsia" w:ascii="宋体" w:hAnsi="宋体" w:eastAsia="宋体" w:cs="宋体"/>
                <w:b w:val="0"/>
                <w:bCs/>
                <w:sz w:val="18"/>
                <w:szCs w:val="18"/>
                <w:lang w:eastAsia="zh-CN"/>
              </w:rPr>
              <w:t>。</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2.告知制度不全</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每项扣0.5分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numPr>
                <w:ilvl w:val="0"/>
                <w:numId w:val="0"/>
              </w:num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3.</w:t>
            </w:r>
            <w:r>
              <w:rPr>
                <w:rFonts w:hint="eastAsia" w:ascii="宋体" w:hAnsi="宋体" w:eastAsia="宋体" w:cs="宋体"/>
                <w:b w:val="0"/>
                <w:bCs/>
                <w:sz w:val="18"/>
                <w:szCs w:val="18"/>
              </w:rPr>
              <w:t>导检</w:t>
            </w:r>
          </w:p>
          <w:p>
            <w:pPr>
              <w:numPr>
                <w:ilvl w:val="0"/>
                <w:numId w:val="0"/>
              </w:num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w:t>
            </w:r>
            <w:r>
              <w:rPr>
                <w:rFonts w:hint="eastAsia" w:ascii="宋体" w:hAnsi="宋体" w:eastAsia="宋体" w:cs="宋体"/>
                <w:b w:val="0"/>
                <w:bCs/>
                <w:sz w:val="18"/>
                <w:szCs w:val="18"/>
                <w:lang w:val="en-US" w:eastAsia="zh-CN"/>
              </w:rPr>
              <w:t>4</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有专（兼）职导检人员，定点定岗，带牌上岗，</w:t>
            </w:r>
            <w:r>
              <w:rPr>
                <w:rFonts w:hint="eastAsia" w:ascii="宋体" w:hAnsi="宋体" w:eastAsia="宋体" w:cs="宋体"/>
                <w:b w:val="0"/>
                <w:bCs/>
                <w:sz w:val="18"/>
                <w:szCs w:val="18"/>
              </w:rPr>
              <w:t>导检人员的服务态度好、精神面貌佳，能对受检者进行</w:t>
            </w:r>
            <w:r>
              <w:rPr>
                <w:rFonts w:hint="eastAsia" w:ascii="宋体" w:hAnsi="宋体" w:eastAsia="宋体" w:cs="宋体"/>
                <w:b w:val="0"/>
                <w:bCs/>
                <w:sz w:val="18"/>
                <w:szCs w:val="18"/>
                <w:lang w:eastAsia="zh-CN"/>
              </w:rPr>
              <w:t>有</w:t>
            </w:r>
            <w:r>
              <w:rPr>
                <w:rFonts w:hint="eastAsia" w:ascii="宋体" w:hAnsi="宋体" w:eastAsia="宋体" w:cs="宋体"/>
                <w:b w:val="0"/>
                <w:bCs/>
                <w:sz w:val="18"/>
                <w:szCs w:val="18"/>
              </w:rPr>
              <w:t>效的分流</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检查导检人员仪容仪表，是否佩戴工作牌或工作证；抽查一位导检人员，是否熟悉机构检查项目及对应检查区域或诊室。酌情扣分。</w:t>
            </w:r>
          </w:p>
        </w:tc>
        <w:tc>
          <w:tcPr>
            <w:tcW w:w="645" w:type="dxa"/>
            <w:tcBorders>
              <w:top w:val="single" w:color="auto" w:sz="4" w:space="0"/>
              <w:left w:val="single" w:color="auto" w:sz="4" w:space="0"/>
              <w:bottom w:val="single" w:color="auto" w:sz="4" w:space="0"/>
            </w:tcBorders>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4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4.隐私保护</w:t>
            </w:r>
          </w:p>
          <w:p>
            <w:pPr>
              <w:spacing w:line="34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（3分）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40" w:lineRule="exact"/>
              <w:ind w:left="361" w:hanging="270" w:hangingChars="15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4.1应做到“一医一人一诊室”。</w:t>
            </w:r>
          </w:p>
          <w:p>
            <w:pPr>
              <w:spacing w:line="340" w:lineRule="exact"/>
              <w:ind w:left="9" w:leftChars="0" w:hanging="9" w:hangingChars="5"/>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4.2在各科检查过程中均能有效保护受检者隐私，异性检查者检查隐私部位应有同性第三者在场。</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1.未做到“一医一人一诊室”，每处扣1分。</w:t>
            </w:r>
          </w:p>
          <w:p>
            <w:pPr>
              <w:spacing w:line="34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2.隐私保护出现问题，每次扣1分。</w:t>
            </w:r>
          </w:p>
        </w:tc>
        <w:tc>
          <w:tcPr>
            <w:tcW w:w="645" w:type="dxa"/>
            <w:tcBorders>
              <w:top w:val="single" w:color="auto" w:sz="4" w:space="0"/>
              <w:left w:val="single" w:color="auto" w:sz="4" w:space="0"/>
              <w:bottom w:val="single" w:color="auto" w:sz="4" w:space="0"/>
            </w:tcBorders>
            <w:noWrap w:val="0"/>
            <w:vAlign w:val="center"/>
          </w:tcPr>
          <w:p>
            <w:pPr>
              <w:spacing w:line="34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5.后续健康服务（</w:t>
            </w:r>
            <w:r>
              <w:rPr>
                <w:rFonts w:hint="eastAsia" w:ascii="宋体" w:hAnsi="宋体" w:eastAsia="宋体" w:cs="宋体"/>
                <w:b w:val="0"/>
                <w:bCs/>
                <w:sz w:val="18"/>
                <w:szCs w:val="18"/>
                <w:lang w:val="en-US" w:eastAsia="zh-CN"/>
              </w:rPr>
              <w:t>5</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5.1由符合资质的医生或者护士开展检后咨询服务。</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5.2有固定客服电话。</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5.3开展检后随访服务，并有随访记录。</w:t>
            </w:r>
          </w:p>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5.4检后健康管理包括：慢病管理、戒烟管理、运动管理、减重及营养管理、心理健康管理、中医治未病等。</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1.无固定客服电话扣2分。</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2.无专业医务人员提供检后咨询解答服务扣1</w:t>
            </w:r>
            <w:r>
              <w:rPr>
                <w:rFonts w:hint="eastAsia" w:ascii="宋体" w:hAnsi="宋体" w:eastAsia="宋体" w:cs="宋体"/>
                <w:b w:val="0"/>
                <w:bCs/>
                <w:sz w:val="18"/>
                <w:szCs w:val="18"/>
                <w:lang w:val="en-US" w:eastAsia="zh-CN"/>
              </w:rPr>
              <w:t>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3.检查检后随访记录，包括时间、人员、随访内容等，尤其应注意重要异常结果及传染病随访，酌情扣分。</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4.检查检后健康管理项目设置、相应设施设备、管理人员资质。未设置不扣分，乱设置、无资质设置扣3分。</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6.上岗标牌</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（3分）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抽查在岗工作人员是否佩戴标牌</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工作人员上岗工作未佩戴标牌每人扣1分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7.投诉建议</w:t>
            </w:r>
          </w:p>
          <w:p>
            <w:pPr>
              <w:spacing w:line="320" w:lineRule="exact"/>
              <w:ind w:firstLine="180" w:firstLineChars="10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（3分）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7.1在显著位置公开投诉电话，或设有其他投诉反馈途径。</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7.2有投诉与建议记录本，能够简要叙述事件发生及处理过程。</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7.3有满意度调查记录及统计。</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7.4有处理改进及反馈记录。</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1.检查是否公示投诉电话、意见反馈箱或其他投诉方式，没有扣1分。</w:t>
            </w:r>
          </w:p>
          <w:p>
            <w:pPr>
              <w:spacing w:line="320" w:lineRule="exact"/>
              <w:jc w:val="both"/>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2.检查投诉与建议记录本原件，是否简要记录事件经过，没有扣1分。</w:t>
            </w:r>
          </w:p>
          <w:p>
            <w:pPr>
              <w:spacing w:line="320" w:lineRule="exact"/>
              <w:jc w:val="both"/>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3.检查满意度调查记录及统计报告原件，没有扣1分。</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4.检查处理改进及反馈记录原件，没有扣1分。</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top"/>
          </w:tcPr>
          <w:p>
            <w:pPr>
              <w:spacing w:line="320" w:lineRule="exact"/>
              <w:ind w:left="0" w:leftChars="0" w:firstLine="0" w:firstLineChars="0"/>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8.健康教育宣传（2分）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8.1现场配有健康教育宣传海报、视频，健康书籍、画册等。</w:t>
            </w:r>
          </w:p>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8.2定期开展各类宣传科普活动，并有照片、视频或活动记录等。</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检查机构内设健康宣教布置、科普活动记录等，每缺少一项扣1分。</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tcBorders>
              <w:top w:val="single" w:color="auto" w:sz="4" w:space="0"/>
              <w:bottom w:val="single" w:color="auto" w:sz="4" w:space="0"/>
            </w:tcBorders>
            <w:noWrap w:val="0"/>
            <w:vAlign w:val="center"/>
          </w:tcPr>
          <w:p>
            <w:pPr>
              <w:spacing w:line="44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七、安全管理</w:t>
            </w:r>
            <w:r>
              <w:rPr>
                <w:rFonts w:hint="eastAsia" w:hAnsi="宋体" w:cs="宋体"/>
                <w:b w:val="0"/>
                <w:bCs/>
                <w:sz w:val="18"/>
                <w:szCs w:val="18"/>
                <w:lang w:eastAsia="zh-CN"/>
              </w:rPr>
              <w:t>（</w:t>
            </w:r>
            <w:r>
              <w:rPr>
                <w:rFonts w:hint="eastAsia" w:hAnsi="宋体" w:cs="宋体"/>
                <w:b w:val="0"/>
                <w:bCs/>
                <w:sz w:val="18"/>
                <w:szCs w:val="18"/>
                <w:lang w:val="en-US" w:eastAsia="zh-CN"/>
              </w:rPr>
              <w:t>10分</w:t>
            </w:r>
            <w:r>
              <w:rPr>
                <w:rFonts w:hint="eastAsia" w:hAnsi="宋体" w:cs="宋体"/>
                <w:b w:val="0"/>
                <w:bCs/>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1.应急预案</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w:t>
            </w:r>
            <w:r>
              <w:rPr>
                <w:rFonts w:hint="eastAsia" w:ascii="宋体" w:hAnsi="宋体" w:eastAsia="宋体" w:cs="宋体"/>
                <w:b w:val="0"/>
                <w:bCs/>
                <w:sz w:val="18"/>
                <w:szCs w:val="18"/>
                <w:lang w:val="en-US" w:eastAsia="zh-CN"/>
              </w:rPr>
              <w:t>5</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具备完善的安全生产制度及各类应急预案（如晕针、针刺伤、低血糖、跌倒、心脏骤停、停水、停电、信息系统故障、火灾等）</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1.无制度或预案扣4分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2.制度或预案不全扣2分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2.应急培训、演练并有记录</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（3分）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定期开展应急知识学习</w:t>
            </w:r>
            <w:r>
              <w:rPr>
                <w:rFonts w:hint="eastAsia" w:ascii="宋体" w:hAnsi="宋体" w:eastAsia="宋体" w:cs="宋体"/>
                <w:b w:val="0"/>
                <w:bCs/>
                <w:sz w:val="18"/>
                <w:szCs w:val="18"/>
                <w:lang w:eastAsia="zh-CN"/>
              </w:rPr>
              <w:t>与应急</w:t>
            </w:r>
            <w:r>
              <w:rPr>
                <w:rFonts w:hint="eastAsia" w:ascii="宋体" w:hAnsi="宋体" w:eastAsia="宋体" w:cs="宋体"/>
                <w:b w:val="0"/>
                <w:bCs/>
                <w:sz w:val="18"/>
                <w:szCs w:val="18"/>
              </w:rPr>
              <w:t>演练</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并有记录或图片</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rPr>
              <w:t>无</w:t>
            </w:r>
            <w:r>
              <w:rPr>
                <w:rFonts w:hint="eastAsia" w:ascii="宋体" w:hAnsi="宋体" w:eastAsia="宋体" w:cs="宋体"/>
                <w:b w:val="0"/>
                <w:bCs/>
                <w:sz w:val="18"/>
                <w:szCs w:val="18"/>
                <w:lang w:eastAsia="zh-CN"/>
              </w:rPr>
              <w:t>应急知识</w:t>
            </w:r>
            <w:r>
              <w:rPr>
                <w:rFonts w:hint="eastAsia" w:ascii="宋体" w:hAnsi="宋体" w:eastAsia="宋体" w:cs="宋体"/>
                <w:b w:val="0"/>
                <w:bCs/>
                <w:sz w:val="18"/>
                <w:szCs w:val="18"/>
              </w:rPr>
              <w:t>学习</w:t>
            </w:r>
            <w:r>
              <w:rPr>
                <w:rFonts w:hint="eastAsia" w:ascii="宋体" w:hAnsi="宋体" w:eastAsia="宋体" w:cs="宋体"/>
                <w:b w:val="0"/>
                <w:bCs/>
                <w:sz w:val="18"/>
                <w:szCs w:val="18"/>
                <w:lang w:eastAsia="zh-CN"/>
              </w:rPr>
              <w:t>与</w:t>
            </w:r>
            <w:r>
              <w:rPr>
                <w:rFonts w:hint="eastAsia" w:ascii="宋体" w:hAnsi="宋体" w:eastAsia="宋体" w:cs="宋体"/>
                <w:b w:val="0"/>
                <w:bCs/>
                <w:sz w:val="18"/>
                <w:szCs w:val="18"/>
              </w:rPr>
              <w:t>演练记录扣3分，记录不全扣1分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3.</w:t>
            </w:r>
            <w:r>
              <w:rPr>
                <w:rFonts w:hint="eastAsia" w:ascii="宋体" w:hAnsi="宋体" w:eastAsia="宋体" w:cs="宋体"/>
                <w:b w:val="0"/>
                <w:bCs/>
                <w:sz w:val="18"/>
                <w:szCs w:val="18"/>
                <w:lang w:val="en-US" w:eastAsia="zh-CN"/>
              </w:rPr>
              <w:t>消防通道、</w:t>
            </w:r>
            <w:r>
              <w:rPr>
                <w:rFonts w:hint="eastAsia" w:ascii="宋体" w:hAnsi="宋体" w:eastAsia="宋体" w:cs="宋体"/>
                <w:b w:val="0"/>
                <w:bCs/>
                <w:sz w:val="18"/>
                <w:szCs w:val="18"/>
              </w:rPr>
              <w:t>安全器材及设施</w:t>
            </w:r>
          </w:p>
          <w:p>
            <w:pPr>
              <w:spacing w:line="320" w:lineRule="exact"/>
              <w:ind w:firstLine="180" w:firstLineChars="100"/>
              <w:jc w:val="both"/>
              <w:rPr>
                <w:rFonts w:hint="eastAsia" w:ascii="宋体" w:hAnsi="宋体" w:eastAsia="宋体" w:cs="宋体"/>
                <w:b w:val="0"/>
                <w:bCs/>
                <w:sz w:val="18"/>
                <w:szCs w:val="18"/>
              </w:rPr>
            </w:pPr>
            <w:r>
              <w:rPr>
                <w:rFonts w:hint="eastAsia" w:ascii="宋体" w:hAnsi="宋体" w:eastAsia="宋体" w:cs="宋体"/>
                <w:b w:val="0"/>
                <w:bCs/>
                <w:sz w:val="18"/>
                <w:szCs w:val="18"/>
              </w:rPr>
              <w:t>（</w:t>
            </w:r>
            <w:r>
              <w:rPr>
                <w:rFonts w:hint="eastAsia" w:hAnsi="宋体" w:cs="宋体"/>
                <w:b w:val="0"/>
                <w:bCs/>
                <w:sz w:val="18"/>
                <w:szCs w:val="18"/>
                <w:lang w:val="en-US" w:eastAsia="zh-CN"/>
              </w:rPr>
              <w:t>2</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3.1</w:t>
            </w:r>
            <w:r>
              <w:rPr>
                <w:rFonts w:hint="eastAsia" w:ascii="宋体" w:hAnsi="宋体" w:eastAsia="宋体" w:cs="宋体"/>
                <w:b w:val="0"/>
                <w:bCs/>
                <w:sz w:val="18"/>
                <w:szCs w:val="18"/>
                <w:lang w:eastAsia="zh-CN"/>
              </w:rPr>
              <w:t>有</w:t>
            </w:r>
            <w:r>
              <w:rPr>
                <w:rFonts w:hint="eastAsia" w:ascii="宋体" w:hAnsi="宋体" w:eastAsia="宋体" w:cs="宋体"/>
                <w:b w:val="0"/>
                <w:bCs/>
                <w:sz w:val="18"/>
                <w:szCs w:val="18"/>
              </w:rPr>
              <w:t>安全器材及设施（如应急灯、消防器材、无障碍通道等）</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安全类警示牌（小心碰头、当心滑倒、当心触电</w:t>
            </w:r>
            <w:r>
              <w:rPr>
                <w:rFonts w:hint="eastAsia" w:ascii="宋体" w:hAnsi="宋体" w:eastAsia="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3.2消防类警示牌（如安全逃生图、紧急出口、禁止吸烟、灭火器）齐全、完好，定期检查并有记录</w:t>
            </w:r>
            <w:r>
              <w:rPr>
                <w:rFonts w:hint="eastAsia" w:ascii="宋体" w:hAnsi="宋体" w:eastAsia="宋体" w:cs="宋体"/>
                <w:b w:val="0"/>
                <w:bCs/>
                <w:sz w:val="18"/>
                <w:szCs w:val="18"/>
                <w:lang w:eastAsia="zh-CN"/>
              </w:rPr>
              <w:t>。</w:t>
            </w:r>
          </w:p>
          <w:p>
            <w:pPr>
              <w:spacing w:line="320" w:lineRule="exact"/>
              <w:ind w:left="9" w:leftChars="0" w:hanging="9" w:hangingChars="5"/>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3.3设有消防通道，消防标识清楚，消防设施完好。</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1.安全器材及设施不全</w:t>
            </w:r>
            <w:r>
              <w:rPr>
                <w:rFonts w:hint="eastAsia" w:ascii="宋体" w:hAnsi="宋体" w:eastAsia="宋体" w:cs="宋体"/>
                <w:b w:val="0"/>
                <w:bCs/>
                <w:sz w:val="18"/>
                <w:szCs w:val="18"/>
                <w:lang w:eastAsia="zh-CN"/>
              </w:rPr>
              <w:t>，</w:t>
            </w:r>
            <w:r>
              <w:rPr>
                <w:rFonts w:hint="eastAsia" w:ascii="宋体" w:hAnsi="宋体" w:eastAsia="宋体" w:cs="宋体"/>
                <w:b w:val="0"/>
                <w:bCs/>
                <w:sz w:val="18"/>
                <w:szCs w:val="18"/>
              </w:rPr>
              <w:t>每项扣1分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2.</w:t>
            </w:r>
            <w:r>
              <w:rPr>
                <w:rFonts w:hint="eastAsia" w:ascii="宋体" w:hAnsi="宋体" w:eastAsia="宋体" w:cs="宋体"/>
                <w:b w:val="0"/>
                <w:bCs/>
                <w:sz w:val="18"/>
                <w:szCs w:val="18"/>
                <w:lang w:eastAsia="zh-CN"/>
              </w:rPr>
              <w:t>安全类警示牌与消防类警示牌不全，</w:t>
            </w:r>
            <w:r>
              <w:rPr>
                <w:rFonts w:hint="eastAsia" w:ascii="宋体" w:hAnsi="宋体" w:eastAsia="宋体" w:cs="宋体"/>
                <w:b w:val="0"/>
                <w:bCs/>
                <w:sz w:val="18"/>
                <w:szCs w:val="18"/>
              </w:rPr>
              <w:t>无定期检查并记录</w:t>
            </w:r>
            <w:r>
              <w:rPr>
                <w:rFonts w:hint="eastAsia" w:ascii="宋体" w:hAnsi="宋体" w:eastAsia="宋体" w:cs="宋体"/>
                <w:b w:val="0"/>
                <w:bCs/>
                <w:sz w:val="18"/>
                <w:szCs w:val="18"/>
                <w:lang w:eastAsia="zh-CN"/>
              </w:rPr>
              <w:t>，每项</w:t>
            </w:r>
            <w:r>
              <w:rPr>
                <w:rFonts w:hint="eastAsia" w:ascii="宋体" w:hAnsi="宋体" w:eastAsia="宋体" w:cs="宋体"/>
                <w:b w:val="0"/>
                <w:bCs/>
                <w:sz w:val="18"/>
                <w:szCs w:val="18"/>
              </w:rPr>
              <w:t>扣1分</w:t>
            </w:r>
            <w:r>
              <w:rPr>
                <w:rFonts w:hint="eastAsia" w:ascii="宋体" w:hAnsi="宋体" w:eastAsia="宋体" w:cs="宋体"/>
                <w:b w:val="0"/>
                <w:bCs/>
                <w:sz w:val="18"/>
                <w:szCs w:val="18"/>
                <w:lang w:eastAsia="zh-CN"/>
              </w:rPr>
              <w:t>。</w:t>
            </w:r>
          </w:p>
          <w:p>
            <w:pPr>
              <w:spacing w:line="320" w:lineRule="exact"/>
              <w:jc w:val="both"/>
              <w:rPr>
                <w:rFonts w:hint="default"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3.检查消防通道是否通畅、无杂物、不锁门，有问题扣</w:t>
            </w:r>
            <w:r>
              <w:rPr>
                <w:rFonts w:hint="eastAsia" w:hAnsi="宋体" w:cs="宋体"/>
                <w:b w:val="0"/>
                <w:bCs/>
                <w:sz w:val="18"/>
                <w:szCs w:val="18"/>
                <w:lang w:val="en-US" w:eastAsia="zh-CN"/>
              </w:rPr>
              <w:t>2</w:t>
            </w:r>
            <w:r>
              <w:rPr>
                <w:rFonts w:hint="eastAsia" w:ascii="宋体" w:hAnsi="宋体" w:eastAsia="宋体" w:cs="宋体"/>
                <w:b w:val="0"/>
                <w:bCs/>
                <w:sz w:val="18"/>
                <w:szCs w:val="18"/>
                <w:lang w:val="en-US" w:eastAsia="zh-CN"/>
              </w:rPr>
              <w:t>分。</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305" w:type="dxa"/>
            <w:gridSpan w:val="4"/>
            <w:tcBorders>
              <w:top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八、继教、培训和科研</w:t>
            </w:r>
            <w:r>
              <w:rPr>
                <w:rFonts w:hint="eastAsia" w:hAnsi="宋体" w:cs="宋体"/>
                <w:b w:val="0"/>
                <w:bCs/>
                <w:sz w:val="18"/>
                <w:szCs w:val="18"/>
                <w:lang w:eastAsia="zh-CN"/>
              </w:rPr>
              <w:t>（</w:t>
            </w:r>
            <w:r>
              <w:rPr>
                <w:rFonts w:hint="eastAsia" w:hAnsi="宋体" w:cs="宋体"/>
                <w:b w:val="0"/>
                <w:bCs/>
                <w:sz w:val="18"/>
                <w:szCs w:val="18"/>
                <w:lang w:val="en-US" w:eastAsia="zh-CN"/>
              </w:rPr>
              <w:t>10分</w:t>
            </w:r>
            <w:r>
              <w:rPr>
                <w:rFonts w:hint="eastAsia" w:hAnsi="宋体" w:cs="宋体"/>
                <w:b w:val="0"/>
                <w:bCs/>
                <w:sz w:val="18"/>
                <w:szCs w:val="1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1</w:t>
            </w:r>
            <w:r>
              <w:rPr>
                <w:rFonts w:hint="eastAsia" w:ascii="宋体" w:hAnsi="宋体" w:eastAsia="宋体" w:cs="宋体"/>
                <w:b w:val="0"/>
                <w:bCs/>
                <w:sz w:val="18"/>
                <w:szCs w:val="18"/>
                <w:lang w:val="en-US" w:eastAsia="zh-CN"/>
              </w:rPr>
              <w:t>.</w:t>
            </w:r>
            <w:r>
              <w:rPr>
                <w:rFonts w:hint="eastAsia" w:ascii="宋体" w:hAnsi="宋体" w:eastAsia="宋体" w:cs="宋体"/>
                <w:b w:val="0"/>
                <w:bCs/>
                <w:sz w:val="18"/>
                <w:szCs w:val="18"/>
              </w:rPr>
              <w:t>质控培训学习（</w:t>
            </w:r>
            <w:r>
              <w:rPr>
                <w:rFonts w:hint="eastAsia" w:ascii="宋体" w:hAnsi="宋体" w:eastAsia="宋体" w:cs="宋体"/>
                <w:b w:val="0"/>
                <w:bCs/>
                <w:sz w:val="18"/>
                <w:szCs w:val="18"/>
                <w:lang w:val="en-US" w:eastAsia="zh-CN"/>
              </w:rPr>
              <w:t>4</w:t>
            </w:r>
            <w:r>
              <w:rPr>
                <w:rFonts w:hint="eastAsia" w:ascii="宋体" w:hAnsi="宋体" w:eastAsia="宋体" w:cs="宋体"/>
                <w:b w:val="0"/>
                <w:bCs/>
                <w:sz w:val="18"/>
                <w:szCs w:val="18"/>
              </w:rPr>
              <w:t>分</w:t>
            </w:r>
            <w:r>
              <w:rPr>
                <w:rFonts w:hint="eastAsia" w:ascii="宋体" w:hAnsi="宋体" w:eastAsia="宋体" w:cs="宋体"/>
                <w:b w:val="0"/>
                <w:bCs/>
                <w:sz w:val="18"/>
                <w:szCs w:val="18"/>
                <w:lang w:eastAsia="zh-CN"/>
              </w:rPr>
              <w:t>）</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至少具有两名工作人员参加该年度的</w:t>
            </w:r>
            <w:r>
              <w:rPr>
                <w:rFonts w:hint="eastAsia" w:ascii="宋体" w:hAnsi="宋体" w:eastAsia="宋体" w:cs="宋体"/>
                <w:b w:val="0"/>
                <w:bCs/>
                <w:sz w:val="18"/>
                <w:szCs w:val="18"/>
                <w:lang w:eastAsia="zh-CN"/>
              </w:rPr>
              <w:t>省级</w:t>
            </w:r>
            <w:r>
              <w:rPr>
                <w:rFonts w:hint="eastAsia" w:ascii="宋体" w:hAnsi="宋体" w:eastAsia="宋体" w:cs="宋体"/>
                <w:b w:val="0"/>
                <w:bCs/>
                <w:sz w:val="18"/>
                <w:szCs w:val="18"/>
              </w:rPr>
              <w:t>质控培训学习</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每少一名扣</w:t>
            </w:r>
            <w:r>
              <w:rPr>
                <w:rFonts w:hint="eastAsia" w:ascii="宋体" w:hAnsi="宋体" w:eastAsia="宋体" w:cs="宋体"/>
                <w:b w:val="0"/>
                <w:bCs/>
                <w:sz w:val="18"/>
                <w:szCs w:val="18"/>
                <w:lang w:val="en-US" w:eastAsia="zh-CN"/>
              </w:rPr>
              <w:t>2</w:t>
            </w:r>
            <w:r>
              <w:rPr>
                <w:rFonts w:hint="eastAsia" w:ascii="宋体" w:hAnsi="宋体" w:eastAsia="宋体" w:cs="宋体"/>
                <w:b w:val="0"/>
                <w:bCs/>
                <w:sz w:val="18"/>
                <w:szCs w:val="18"/>
              </w:rPr>
              <w:t>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2.继续教育</w:t>
            </w:r>
          </w:p>
          <w:p>
            <w:pPr>
              <w:spacing w:line="320" w:lineRule="exact"/>
              <w:ind w:firstLine="180" w:firstLineChars="100"/>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rPr>
              <w:t>（</w:t>
            </w:r>
            <w:r>
              <w:rPr>
                <w:rFonts w:hint="eastAsia" w:hAnsi="宋体" w:cs="宋体"/>
                <w:b w:val="0"/>
                <w:bCs/>
                <w:sz w:val="18"/>
                <w:szCs w:val="18"/>
                <w:lang w:val="en-US" w:eastAsia="zh-CN"/>
              </w:rPr>
              <w:t>4</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医护人员继教符合相关规定</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eastAsia="zh-CN"/>
              </w:rPr>
              <w:t>每</w:t>
            </w:r>
            <w:r>
              <w:rPr>
                <w:rFonts w:hint="eastAsia" w:ascii="宋体" w:hAnsi="宋体" w:eastAsia="宋体" w:cs="宋体"/>
                <w:b w:val="0"/>
                <w:bCs/>
                <w:sz w:val="18"/>
                <w:szCs w:val="18"/>
              </w:rPr>
              <w:t>人次不合格扣1分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81" w:type="dxa"/>
            <w:tcBorders>
              <w:top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rPr>
              <w:t>3.课题及论文（</w:t>
            </w:r>
            <w:r>
              <w:rPr>
                <w:rFonts w:hint="eastAsia" w:hAnsi="宋体" w:cs="宋体"/>
                <w:b w:val="0"/>
                <w:bCs/>
                <w:sz w:val="18"/>
                <w:szCs w:val="18"/>
                <w:lang w:val="en-US" w:eastAsia="zh-CN"/>
              </w:rPr>
              <w:t>2</w:t>
            </w:r>
            <w:r>
              <w:rPr>
                <w:rFonts w:hint="eastAsia" w:ascii="宋体" w:hAnsi="宋体" w:eastAsia="宋体" w:cs="宋体"/>
                <w:b w:val="0"/>
                <w:bCs/>
                <w:sz w:val="18"/>
                <w:szCs w:val="18"/>
              </w:rPr>
              <w:t>分）</w:t>
            </w:r>
          </w:p>
        </w:tc>
        <w:tc>
          <w:tcPr>
            <w:tcW w:w="4551"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3.1三年内</w:t>
            </w:r>
            <w:r>
              <w:rPr>
                <w:rFonts w:hint="eastAsia" w:ascii="宋体" w:hAnsi="宋体" w:eastAsia="宋体" w:cs="宋体"/>
                <w:b w:val="0"/>
                <w:bCs/>
                <w:sz w:val="18"/>
                <w:szCs w:val="18"/>
              </w:rPr>
              <w:t>承担科研课题</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3.2三年内</w:t>
            </w:r>
            <w:r>
              <w:rPr>
                <w:rFonts w:hint="eastAsia" w:ascii="宋体" w:hAnsi="宋体" w:eastAsia="宋体" w:cs="宋体"/>
                <w:b w:val="0"/>
                <w:bCs/>
                <w:sz w:val="18"/>
                <w:szCs w:val="18"/>
              </w:rPr>
              <w:t>发表学术论文</w:t>
            </w:r>
            <w:r>
              <w:rPr>
                <w:rFonts w:hint="eastAsia" w:ascii="宋体" w:hAnsi="宋体" w:eastAsia="宋体" w:cs="宋体"/>
                <w:b w:val="0"/>
                <w:bCs/>
                <w:sz w:val="18"/>
                <w:szCs w:val="18"/>
                <w:lang w:eastAsia="zh-CN"/>
              </w:rPr>
              <w:t>。</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both"/>
              <w:rPr>
                <w:rFonts w:hint="eastAsia" w:ascii="宋体" w:hAnsi="宋体" w:eastAsia="宋体" w:cs="宋体"/>
                <w:b w:val="0"/>
                <w:bCs/>
                <w:sz w:val="18"/>
                <w:szCs w:val="18"/>
                <w:lang w:val="en-US" w:eastAsia="zh-CN"/>
              </w:rPr>
            </w:pPr>
            <w:r>
              <w:rPr>
                <w:rFonts w:hint="eastAsia" w:ascii="宋体" w:hAnsi="宋体" w:eastAsia="宋体" w:cs="宋体"/>
                <w:b w:val="0"/>
                <w:bCs/>
                <w:sz w:val="18"/>
                <w:szCs w:val="18"/>
                <w:lang w:val="en-US" w:eastAsia="zh-CN"/>
              </w:rPr>
              <w:t>1.三年内没有</w:t>
            </w:r>
            <w:r>
              <w:rPr>
                <w:rFonts w:hint="eastAsia" w:ascii="宋体" w:hAnsi="宋体" w:eastAsia="宋体" w:cs="宋体"/>
                <w:b w:val="0"/>
                <w:bCs/>
                <w:sz w:val="18"/>
                <w:szCs w:val="18"/>
                <w:lang w:eastAsia="zh-CN"/>
              </w:rPr>
              <w:t>承担科研课题，</w:t>
            </w:r>
            <w:r>
              <w:rPr>
                <w:rFonts w:hint="eastAsia" w:ascii="宋体" w:hAnsi="宋体" w:eastAsia="宋体" w:cs="宋体"/>
                <w:b w:val="0"/>
                <w:bCs/>
                <w:sz w:val="18"/>
                <w:szCs w:val="18"/>
                <w:lang w:val="en-US" w:eastAsia="zh-CN"/>
              </w:rPr>
              <w:t>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2.三年内</w:t>
            </w:r>
            <w:r>
              <w:rPr>
                <w:rFonts w:hint="eastAsia" w:hAnsi="宋体" w:cs="宋体"/>
                <w:b w:val="0"/>
                <w:bCs/>
                <w:sz w:val="18"/>
                <w:szCs w:val="18"/>
                <w:lang w:val="en-US" w:eastAsia="zh-CN"/>
              </w:rPr>
              <w:t>没有</w:t>
            </w:r>
            <w:r>
              <w:rPr>
                <w:rFonts w:hint="eastAsia" w:ascii="宋体" w:hAnsi="宋体" w:eastAsia="宋体" w:cs="宋体"/>
                <w:b w:val="0"/>
                <w:bCs/>
                <w:sz w:val="18"/>
                <w:szCs w:val="18"/>
                <w:lang w:eastAsia="zh-CN"/>
              </w:rPr>
              <w:t>发表学术论文，</w:t>
            </w:r>
            <w:r>
              <w:rPr>
                <w:rFonts w:hint="eastAsia" w:ascii="宋体" w:hAnsi="宋体" w:eastAsia="宋体" w:cs="宋体"/>
                <w:b w:val="0"/>
                <w:bCs/>
                <w:sz w:val="18"/>
                <w:szCs w:val="18"/>
                <w:lang w:val="en-US" w:eastAsia="zh-CN"/>
              </w:rPr>
              <w:t>扣1分</w:t>
            </w:r>
            <w:r>
              <w:rPr>
                <w:rFonts w:hint="eastAsia" w:ascii="宋体" w:hAnsi="宋体" w:eastAsia="宋体" w:cs="宋体"/>
                <w:b w:val="0"/>
                <w:bCs/>
                <w:sz w:val="18"/>
                <w:szCs w:val="18"/>
                <w:lang w:eastAsia="zh-CN"/>
              </w:rPr>
              <w:t>。</w:t>
            </w:r>
          </w:p>
          <w:p>
            <w:pPr>
              <w:spacing w:line="320" w:lineRule="exact"/>
              <w:jc w:val="both"/>
              <w:rPr>
                <w:rFonts w:hint="eastAsia" w:ascii="宋体" w:hAnsi="宋体" w:eastAsia="宋体" w:cs="宋体"/>
                <w:b w:val="0"/>
                <w:bCs/>
                <w:sz w:val="18"/>
                <w:szCs w:val="18"/>
                <w:lang w:eastAsia="zh-CN"/>
              </w:rPr>
            </w:pPr>
            <w:r>
              <w:rPr>
                <w:rFonts w:hint="eastAsia" w:ascii="宋体" w:hAnsi="宋体" w:eastAsia="宋体" w:cs="宋体"/>
                <w:b w:val="0"/>
                <w:bCs/>
                <w:sz w:val="18"/>
                <w:szCs w:val="18"/>
                <w:lang w:val="en-US" w:eastAsia="zh-CN"/>
              </w:rPr>
              <w:t>3.三年内</w:t>
            </w:r>
            <w:r>
              <w:rPr>
                <w:rFonts w:hint="eastAsia" w:ascii="宋体" w:hAnsi="宋体" w:eastAsia="宋体" w:cs="宋体"/>
                <w:b w:val="0"/>
                <w:bCs/>
                <w:sz w:val="18"/>
                <w:szCs w:val="18"/>
                <w:lang w:eastAsia="zh-CN"/>
              </w:rPr>
              <w:t>承担了科研课题</w:t>
            </w:r>
            <w:r>
              <w:rPr>
                <w:rFonts w:hint="eastAsia" w:ascii="宋体" w:hAnsi="宋体" w:eastAsia="宋体" w:cs="宋体"/>
                <w:b w:val="0"/>
                <w:bCs/>
                <w:sz w:val="18"/>
                <w:szCs w:val="18"/>
                <w:lang w:val="en-US" w:eastAsia="zh-CN"/>
              </w:rPr>
              <w:t>和/或</w:t>
            </w:r>
            <w:r>
              <w:rPr>
                <w:rFonts w:hint="eastAsia" w:ascii="宋体" w:hAnsi="宋体" w:eastAsia="宋体" w:cs="宋体"/>
                <w:b w:val="0"/>
                <w:bCs/>
                <w:sz w:val="18"/>
                <w:szCs w:val="18"/>
                <w:lang w:eastAsia="zh-CN"/>
              </w:rPr>
              <w:t>发表学术论文，</w:t>
            </w:r>
            <w:r>
              <w:rPr>
                <w:rFonts w:hint="eastAsia" w:ascii="宋体" w:hAnsi="宋体" w:eastAsia="宋体" w:cs="宋体"/>
                <w:b w:val="0"/>
                <w:bCs/>
                <w:sz w:val="18"/>
                <w:szCs w:val="18"/>
                <w:lang w:val="en-US" w:eastAsia="zh-CN"/>
              </w:rPr>
              <w:t>每1项加3分，最多计算4项（最多加分12分）</w:t>
            </w:r>
            <w:r>
              <w:rPr>
                <w:rFonts w:hint="eastAsia" w:ascii="宋体" w:hAnsi="宋体" w:eastAsia="宋体" w:cs="宋体"/>
                <w:b w:val="0"/>
                <w:bCs/>
                <w:sz w:val="18"/>
                <w:szCs w:val="18"/>
                <w:lang w:eastAsia="zh-CN"/>
              </w:rPr>
              <w:t>。</w:t>
            </w:r>
          </w:p>
        </w:tc>
        <w:tc>
          <w:tcPr>
            <w:tcW w:w="645" w:type="dxa"/>
            <w:tcBorders>
              <w:top w:val="single" w:color="auto" w:sz="4" w:space="0"/>
              <w:left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tcBorders>
              <w:top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九、专科医院设置的专科体检部门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tcBorders>
              <w:top w:val="single" w:color="auto" w:sz="4" w:space="0"/>
              <w:bottom w:val="single" w:color="auto" w:sz="4" w:space="0"/>
            </w:tcBorders>
            <w:noWrap w:val="0"/>
            <w:vAlign w:val="center"/>
          </w:tcPr>
          <w:p>
            <w:pPr>
              <w:spacing w:line="320" w:lineRule="exact"/>
              <w:ind w:firstLine="360" w:firstLineChars="200"/>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专科医院设置的专科体检部门科室设置、场地面积、人员配备、设施配备等必须能顺利完成专科体检工作。其他临床科室不做硬性要求。但是，在资质、执业许可、应急、质量、安全、信息、院感、服务及其他方面的要求和评分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tcBorders>
              <w:top w:val="single" w:color="auto" w:sz="4" w:space="0"/>
              <w:bottom w:val="single" w:color="auto" w:sz="4" w:space="0"/>
            </w:tcBorders>
            <w:noWrap w:val="0"/>
            <w:vAlign w:val="center"/>
          </w:tcPr>
          <w:p>
            <w:pPr>
              <w:spacing w:line="320" w:lineRule="exact"/>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十、二级医院设置的独立体检科室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tcBorders>
              <w:top w:val="single" w:color="auto" w:sz="4" w:space="0"/>
              <w:bottom w:val="single" w:color="auto" w:sz="4" w:space="0"/>
            </w:tcBorders>
            <w:noWrap w:val="0"/>
            <w:vAlign w:val="center"/>
          </w:tcPr>
          <w:p>
            <w:pPr>
              <w:spacing w:line="320" w:lineRule="exact"/>
              <w:ind w:firstLine="360" w:firstLineChars="200"/>
              <w:jc w:val="both"/>
              <w:rPr>
                <w:rFonts w:hint="eastAsia" w:ascii="宋体" w:hAnsi="宋体" w:eastAsia="宋体" w:cs="宋体"/>
                <w:b w:val="0"/>
                <w:bCs/>
                <w:sz w:val="18"/>
                <w:szCs w:val="18"/>
              </w:rPr>
            </w:pPr>
            <w:r>
              <w:rPr>
                <w:rFonts w:hint="eastAsia" w:ascii="宋体" w:hAnsi="宋体" w:eastAsia="宋体" w:cs="宋体"/>
                <w:b w:val="0"/>
                <w:bCs/>
                <w:sz w:val="18"/>
                <w:szCs w:val="18"/>
                <w:lang w:val="en-US" w:eastAsia="zh-CN"/>
              </w:rPr>
              <w:t>二级医院新设置的独立体检科室，其场地面积、人员配备、设施配备等必须能保证顺利完成所有《健康体检基本项目目录（试行）》中规定的必选项目。暂时无法达到医检分离的可以给予3年的缓冲期，成立3年后，应该达到质控合格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305" w:type="dxa"/>
            <w:gridSpan w:val="4"/>
            <w:tcBorders>
              <w:top w:val="single" w:color="auto" w:sz="4" w:space="0"/>
            </w:tcBorders>
            <w:noWrap w:val="0"/>
            <w:vAlign w:val="center"/>
          </w:tcPr>
          <w:p>
            <w:pPr>
              <w:pStyle w:val="109"/>
              <w:bidi w:val="0"/>
              <w:ind w:left="539" w:leftChars="0" w:hanging="119" w:firstLineChars="0"/>
              <w:rPr>
                <w:rFonts w:hint="eastAsia"/>
                <w:lang w:val="en-US" w:eastAsia="zh-CN"/>
              </w:rPr>
            </w:pPr>
            <w:r>
              <w:rPr>
                <w:rFonts w:hint="eastAsia"/>
                <w:lang w:val="en-US" w:eastAsia="zh-CN"/>
              </w:rPr>
              <w:t>健康体检21项基本制度：1.健康体检操作查对制度；2.健康体检科室间会诊制度；3.疑难健康体检报告讨论制度；4.健康体检医疗纠纷（投诉与意见征求）处理制度；5.健康体检重要异常结果(含危急值)管理制度；6.健康体检资料管理制度；7.健康体检医学影像质量保障、定期评估制度（含设备定期检测、胶片质量评估、诊断质量评估等制度）；8.放射卫生防护管理制度（含医用射线装置使用、检修与维护制度、放射设备安全操作规程等）；9.实验室管理制度；10.实验室生物安全管理制度；11.健康体检医院感染管理制度；12.健康体检传染病报告制度；13.医疗废物、污水管理制度；14.医疗设备维修保养制度；15.医疗机构安全管理制度（含应急预案、突发事件处置制度）；16.健康体检信息统计管理制度；17.医学继续教育制度；18.医疗安全责任追究制度；19.知情同意制度；20.不良事件上报制度；21.受检者隐私保护制度。</w:t>
            </w:r>
          </w:p>
        </w:tc>
      </w:tr>
      <w:bookmarkEnd w:id="47"/>
    </w:tbl>
    <w:p>
      <w:pPr>
        <w:rPr>
          <w:rFonts w:hint="eastAsia"/>
          <w:lang w:val="en-US" w:eastAsia="zh-CN"/>
        </w:rPr>
      </w:pPr>
    </w:p>
    <w:p>
      <w:pPr>
        <w:rPr>
          <w:rFonts w:hint="eastAsia"/>
          <w:lang w:val="en-US" w:eastAsia="zh-CN"/>
        </w:rPr>
      </w:pPr>
      <w:r>
        <w:rPr>
          <w:rFonts w:hint="eastAsia"/>
          <w:lang w:val="en-US" w:eastAsia="zh-CN"/>
        </w:rPr>
        <w:br w:type="page"/>
      </w:r>
    </w:p>
    <w:p>
      <w:pPr>
        <w:pStyle w:val="34"/>
        <w:bidi w:val="0"/>
        <w:rPr>
          <w:rFonts w:hint="eastAsia"/>
          <w:lang w:val="en-US" w:eastAsia="zh-CN"/>
        </w:rPr>
      </w:pPr>
      <w:bookmarkStart w:id="51" w:name="_Toc4780"/>
      <w:bookmarkStart w:id="52" w:name="_Toc15370"/>
      <w:bookmarkStart w:id="53" w:name="_Toc4045"/>
      <w:r>
        <w:rPr>
          <w:rFonts w:hint="eastAsia"/>
          <w:lang w:val="en-US" w:eastAsia="zh-CN"/>
        </w:rPr>
        <w:t>参</w:t>
      </w:r>
      <w:bookmarkStart w:id="54" w:name="BKCKWX"/>
      <w:r>
        <w:rPr>
          <w:rFonts w:hint="eastAsia"/>
          <w:lang w:val="en-US" w:eastAsia="zh-CN"/>
        </w:rPr>
        <w:t>考文献</w:t>
      </w:r>
      <w:bookmarkEnd w:id="51"/>
      <w:bookmarkEnd w:id="52"/>
      <w:bookmarkEnd w:id="53"/>
    </w:p>
    <w:p>
      <w:pPr>
        <w:pStyle w:val="25"/>
        <w:numPr>
          <w:ilvl w:val="0"/>
          <w:numId w:val="19"/>
        </w:numPr>
        <w:bidi w:val="0"/>
        <w:rPr>
          <w:rFonts w:hint="default"/>
          <w:lang w:val="en-US" w:eastAsia="zh-CN"/>
        </w:rPr>
      </w:pPr>
      <w:r>
        <w:rPr>
          <w:rFonts w:hint="eastAsia"/>
          <w:lang w:val="en-US" w:eastAsia="zh-CN"/>
        </w:rPr>
        <w:t>《健康体检管理暂行规定》（卫医政发〔2009〕77号）</w:t>
      </w:r>
    </w:p>
    <w:p>
      <w:pPr>
        <w:pStyle w:val="25"/>
        <w:numPr>
          <w:ilvl w:val="0"/>
          <w:numId w:val="19"/>
        </w:numPr>
        <w:bidi w:val="0"/>
        <w:rPr>
          <w:rFonts w:hint="eastAsia"/>
          <w:lang w:val="en-US" w:eastAsia="zh-CN"/>
        </w:rPr>
      </w:pPr>
      <w:r>
        <w:rPr>
          <w:rFonts w:hint="eastAsia"/>
          <w:lang w:val="en-US" w:eastAsia="zh-CN"/>
        </w:rPr>
        <w:t>《中华健康管理学杂志》编辑委员会,中华医学会健康管理学分会. 健康体检质量控制指南[J]. 中华健康管理学杂志,2016,10(4):258-264.</w:t>
      </w:r>
    </w:p>
    <w:bookmarkEnd w:id="54"/>
    <w:p>
      <w:pPr>
        <w:pStyle w:val="25"/>
        <w:bidi w:val="0"/>
        <w:rPr>
          <w:rFonts w:hint="eastAsia"/>
          <w:lang w:val="en-US" w:eastAsia="zh-CN"/>
        </w:rPr>
      </w:pPr>
    </w:p>
    <w:p>
      <w:pPr>
        <w:pStyle w:val="25"/>
        <w:bidi w:val="0"/>
        <w:rPr>
          <w:rFonts w:hint="eastAsia"/>
          <w:lang w:val="en-US" w:eastAsia="zh-CN"/>
        </w:rPr>
      </w:pPr>
    </w:p>
    <w:p>
      <w:pPr>
        <w:pStyle w:val="113"/>
        <w:bidi w:val="0"/>
        <w:rPr>
          <w:rFonts w:hint="eastAsia"/>
          <w:lang w:val="en-US" w:eastAsia="zh-CN"/>
        </w:rPr>
      </w:pPr>
      <w:bookmarkStart w:id="55" w:name="EndLine"/>
      <w:r>
        <w:rPr>
          <w:rFonts w:hint="eastAsia"/>
          <w:lang w:val="en-US" w:eastAsia="zh-CN"/>
        </w:rPr>
        <w:drawing>
          <wp:inline distT="0" distB="0" distL="114300" distR="114300">
            <wp:extent cx="1485900" cy="317500"/>
            <wp:effectExtent l="0" t="0" r="0" b="635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9"/>
                    <a:stretch>
                      <a:fillRect/>
                    </a:stretch>
                  </pic:blipFill>
                  <pic:spPr>
                    <a:xfrm>
                      <a:off x="0" y="0"/>
                      <a:ext cx="1485900" cy="317500"/>
                    </a:xfrm>
                    <a:prstGeom prst="rect">
                      <a:avLst/>
                    </a:prstGeom>
                  </pic:spPr>
                </pic:pic>
              </a:graphicData>
            </a:graphic>
          </wp:inline>
        </w:drawing>
      </w:r>
      <w:bookmarkEnd w:id="55"/>
    </w:p>
    <w:sectPr>
      <w:pgSz w:w="11906" w:h="16838"/>
      <w:pgMar w:top="1871" w:right="1134" w:bottom="1134" w:left="1134" w:header="1418" w:footer="1134" w:gutter="284"/>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隶书">
    <w:panose1 w:val="0201050906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bidi w:val="0"/>
      <w:rPr>
        <w:rFonts w:hint="eastAsia"/>
        <w:lang w:eastAsia="zh-CN"/>
      </w:rPr>
    </w:pPr>
    <w:r>
      <w:rPr>
        <w:rFonts w:hint="eastAsia"/>
        <w:lang w:eastAsia="zh-CN"/>
      </w:rPr>
      <w:fldChar w:fldCharType="begin"/>
    </w:r>
    <w:r>
      <w:rPr>
        <w:rFonts w:hint="eastAsia"/>
        <w:lang w:eastAsia="zh-CN"/>
      </w:rPr>
      <w:instrText xml:space="preserve">  \* MERGEFORMAT </w:instrText>
    </w:r>
    <w:r>
      <w:rPr>
        <w:rFonts w:hint="eastAsia"/>
        <w:lang w:eastAsia="zh-C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bidi w:val="0"/>
      <w:rPr>
        <w:rFonts w:hint="eastAsia" w:eastAsia="黑体"/>
        <w:lang w:eastAsia="zh-CN"/>
      </w:rPr>
    </w:pPr>
    <w:r>
      <w:rPr>
        <w:rFonts w:hint="eastAsia"/>
        <w:lang w:eastAsia="zh-CN"/>
      </w:rPr>
      <w:t>DB 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8405C"/>
    <w:multiLevelType w:val="multilevel"/>
    <w:tmpl w:val="83D8405C"/>
    <w:lvl w:ilvl="0" w:tentative="0">
      <w:start w:val="1"/>
      <w:numFmt w:val="decimal"/>
      <w:pStyle w:val="122"/>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9384ABCB"/>
    <w:multiLevelType w:val="multilevel"/>
    <w:tmpl w:val="9384ABCB"/>
    <w:lvl w:ilvl="0" w:tentative="0">
      <w:start w:val="1"/>
      <w:numFmt w:val="decimal"/>
      <w:pStyle w:val="108"/>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9636592A"/>
    <w:multiLevelType w:val="multilevel"/>
    <w:tmpl w:val="9636592A"/>
    <w:lvl w:ilvl="0" w:tentative="0">
      <w:start w:val="1"/>
      <w:numFmt w:val="decimal"/>
      <w:pStyle w:val="16"/>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A3290A18"/>
    <w:multiLevelType w:val="multilevel"/>
    <w:tmpl w:val="A3290A18"/>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A35F58D6"/>
    <w:multiLevelType w:val="multilevel"/>
    <w:tmpl w:val="A35F58D6"/>
    <w:lvl w:ilvl="0" w:tentative="0">
      <w:start w:val="1"/>
      <w:numFmt w:val="none"/>
      <w:pStyle w:val="55"/>
      <w:suff w:val="nothing"/>
      <w:lvlText w:val="%1"/>
      <w:lvlJc w:val="left"/>
      <w:pPr>
        <w:ind w:left="425" w:leftChars="0" w:hanging="425" w:firstLineChars="0"/>
      </w:pPr>
      <w:rPr>
        <w:rFonts w:hint="default"/>
      </w:rPr>
    </w:lvl>
    <w:lvl w:ilvl="1" w:tentative="0">
      <w:start w:val="1"/>
      <w:numFmt w:val="decimal"/>
      <w:pStyle w:val="62"/>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63"/>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64"/>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65"/>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6"/>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B21A7B2E"/>
    <w:multiLevelType w:val="multilevel"/>
    <w:tmpl w:val="B21A7B2E"/>
    <w:lvl w:ilvl="0" w:tentative="0">
      <w:start w:val="1"/>
      <w:numFmt w:val="decimal"/>
      <w:pStyle w:val="114"/>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C4B68E87"/>
    <w:multiLevelType w:val="multilevel"/>
    <w:tmpl w:val="C4B68E87"/>
    <w:lvl w:ilvl="0" w:tentative="0">
      <w:start w:val="1"/>
      <w:numFmt w:val="upperLetter"/>
      <w:pStyle w:val="103"/>
      <w:lvlText w:val="%1"/>
      <w:lvlJc w:val="left"/>
      <w:pPr>
        <w:tabs>
          <w:tab w:val="left" w:pos="0"/>
        </w:tabs>
        <w:ind w:left="0" w:leftChars="0" w:firstLine="0" w:firstLineChars="0"/>
      </w:pPr>
      <w:rPr>
        <w:rFonts w:hint="default"/>
      </w:rPr>
    </w:lvl>
    <w:lvl w:ilvl="1" w:tentative="0">
      <w:start w:val="1"/>
      <w:numFmt w:val="decimal"/>
      <w:suff w:val="nothing"/>
      <w:lvlText w:val="图%1.%2　"/>
      <w:lvlJc w:val="left"/>
      <w:pPr>
        <w:ind w:left="0" w:leftChars="0" w:firstLine="0" w:firstLineChars="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7">
    <w:nsid w:val="CD2B73AC"/>
    <w:multiLevelType w:val="multilevel"/>
    <w:tmpl w:val="CD2B73AC"/>
    <w:lvl w:ilvl="0" w:tentative="0">
      <w:start w:val="1"/>
      <w:numFmt w:val="upperLetter"/>
      <w:pStyle w:val="99"/>
      <w:lvlText w:val="%1"/>
      <w:lvlJc w:val="left"/>
      <w:pPr>
        <w:tabs>
          <w:tab w:val="left" w:pos="0"/>
        </w:tabs>
        <w:ind w:left="0" w:leftChars="0" w:firstLine="0" w:firstLineChars="0"/>
      </w:pPr>
      <w:rPr>
        <w:rFonts w:hint="default"/>
      </w:rPr>
    </w:lvl>
    <w:lvl w:ilvl="1" w:tentative="0">
      <w:start w:val="1"/>
      <w:numFmt w:val="decimal"/>
      <w:pStyle w:val="100"/>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8">
    <w:nsid w:val="CFFF2F90"/>
    <w:multiLevelType w:val="multilevel"/>
    <w:tmpl w:val="CFFF2F90"/>
    <w:lvl w:ilvl="0" w:tentative="0">
      <w:start w:val="1"/>
      <w:numFmt w:val="upperLetter"/>
      <w:pStyle w:val="101"/>
      <w:lvlText w:val="%1"/>
      <w:lvlJc w:val="left"/>
      <w:pPr>
        <w:tabs>
          <w:tab w:val="left" w:pos="0"/>
        </w:tabs>
        <w:ind w:left="0" w:leftChars="0" w:firstLine="0" w:firstLineChars="0"/>
      </w:pPr>
      <w:rPr>
        <w:rFonts w:hint="default"/>
      </w:rPr>
    </w:lvl>
    <w:lvl w:ilvl="1" w:tentative="0">
      <w:start w:val="1"/>
      <w:numFmt w:val="decimal"/>
      <w:pStyle w:val="102"/>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9">
    <w:nsid w:val="D109DDA3"/>
    <w:multiLevelType w:val="multilevel"/>
    <w:tmpl w:val="D109DDA3"/>
    <w:lvl w:ilvl="0" w:tentative="0">
      <w:start w:val="1"/>
      <w:numFmt w:val="lowerLetter"/>
      <w:pStyle w:val="109"/>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E2E8A26E"/>
    <w:multiLevelType w:val="singleLevel"/>
    <w:tmpl w:val="E2E8A26E"/>
    <w:lvl w:ilvl="0" w:tentative="0">
      <w:start w:val="1"/>
      <w:numFmt w:val="decimal"/>
      <w:suff w:val="space"/>
      <w:lvlText w:val="[%1]"/>
      <w:lvlJc w:val="left"/>
    </w:lvl>
  </w:abstractNum>
  <w:abstractNum w:abstractNumId="11">
    <w:nsid w:val="14457127"/>
    <w:multiLevelType w:val="multilevel"/>
    <w:tmpl w:val="14457127"/>
    <w:lvl w:ilvl="0" w:tentative="0">
      <w:start w:val="1"/>
      <w:numFmt w:val="lowerLetter"/>
      <w:pStyle w:val="60"/>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1"/>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59"/>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2">
    <w:nsid w:val="2D743978"/>
    <w:multiLevelType w:val="multilevel"/>
    <w:tmpl w:val="2D743978"/>
    <w:lvl w:ilvl="0" w:tentative="0">
      <w:start w:val="1"/>
      <w:numFmt w:val="none"/>
      <w:pStyle w:val="57"/>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58"/>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3">
    <w:nsid w:val="2DE1F490"/>
    <w:multiLevelType w:val="multilevel"/>
    <w:tmpl w:val="2DE1F490"/>
    <w:lvl w:ilvl="0" w:tentative="0">
      <w:start w:val="1"/>
      <w:numFmt w:val="upperLetter"/>
      <w:pStyle w:val="88"/>
      <w:suff w:val="nothing"/>
      <w:lvlText w:val="附录%1"/>
      <w:lvlJc w:val="left"/>
      <w:pPr>
        <w:ind w:left="0" w:leftChars="0" w:firstLine="0" w:firstLineChars="0"/>
      </w:pPr>
      <w:rPr>
        <w:rFonts w:hint="default"/>
        <w:spacing w:val="102"/>
      </w:rPr>
    </w:lvl>
    <w:lvl w:ilvl="1" w:tentative="0">
      <w:start w:val="1"/>
      <w:numFmt w:val="decimal"/>
      <w:pStyle w:val="89"/>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0"/>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1"/>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2"/>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3"/>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4">
    <w:nsid w:val="32911689"/>
    <w:multiLevelType w:val="multilevel"/>
    <w:tmpl w:val="32911689"/>
    <w:lvl w:ilvl="0" w:tentative="0">
      <w:start w:val="1"/>
      <w:numFmt w:val="none"/>
      <w:pStyle w:val="105"/>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5C96261E"/>
    <w:multiLevelType w:val="multilevel"/>
    <w:tmpl w:val="5C96261E"/>
    <w:lvl w:ilvl="0" w:tentative="0">
      <w:start w:val="1"/>
      <w:numFmt w:val="decimal"/>
      <w:pStyle w:val="115"/>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6">
    <w:nsid w:val="5DE225F2"/>
    <w:multiLevelType w:val="multilevel"/>
    <w:tmpl w:val="5DE225F2"/>
    <w:lvl w:ilvl="0" w:tentative="0">
      <w:start w:val="1"/>
      <w:numFmt w:val="decimal"/>
      <w:pStyle w:val="106"/>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7">
    <w:nsid w:val="6C005E9A"/>
    <w:multiLevelType w:val="multilevel"/>
    <w:tmpl w:val="6C005E9A"/>
    <w:lvl w:ilvl="0" w:tentative="0">
      <w:start w:val="1"/>
      <w:numFmt w:val="decimal"/>
      <w:pStyle w:val="72"/>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3"/>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4"/>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5"/>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6"/>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7"/>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8">
    <w:nsid w:val="73D3C973"/>
    <w:multiLevelType w:val="multilevel"/>
    <w:tmpl w:val="73D3C973"/>
    <w:lvl w:ilvl="0" w:tentative="0">
      <w:start w:val="1"/>
      <w:numFmt w:val="none"/>
      <w:pStyle w:val="107"/>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3"/>
  </w:num>
  <w:num w:numId="2">
    <w:abstractNumId w:val="7"/>
  </w:num>
  <w:num w:numId="3">
    <w:abstractNumId w:val="2"/>
  </w:num>
  <w:num w:numId="4">
    <w:abstractNumId w:val="4"/>
  </w:num>
  <w:num w:numId="5">
    <w:abstractNumId w:val="12"/>
  </w:num>
  <w:num w:numId="6">
    <w:abstractNumId w:val="11"/>
  </w:num>
  <w:num w:numId="7">
    <w:abstractNumId w:val="17"/>
  </w:num>
  <w:num w:numId="8">
    <w:abstractNumId w:val="13"/>
  </w:num>
  <w:num w:numId="9">
    <w:abstractNumId w:val="8"/>
  </w:num>
  <w:num w:numId="10">
    <w:abstractNumId w:val="6"/>
  </w:num>
  <w:num w:numId="11">
    <w:abstractNumId w:val="14"/>
  </w:num>
  <w:num w:numId="12">
    <w:abstractNumId w:val="16"/>
  </w:num>
  <w:num w:numId="13">
    <w:abstractNumId w:val="18"/>
  </w:num>
  <w:num w:numId="14">
    <w:abstractNumId w:val="1"/>
  </w:num>
  <w:num w:numId="15">
    <w:abstractNumId w:val="9"/>
  </w:num>
  <w:num w:numId="16">
    <w:abstractNumId w:val="5"/>
  </w:num>
  <w:num w:numId="17">
    <w:abstractNumId w:val="15"/>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zJkNTRlMzEwY2NmYWZkYjJlYTgzNWViMjI5YjMifQ=="/>
  </w:docVars>
  <w:rsids>
    <w:rsidRoot w:val="325B2F17"/>
    <w:rsid w:val="001C3162"/>
    <w:rsid w:val="00237D3D"/>
    <w:rsid w:val="002D7EE2"/>
    <w:rsid w:val="002E7ED5"/>
    <w:rsid w:val="003E15FA"/>
    <w:rsid w:val="00494668"/>
    <w:rsid w:val="00514004"/>
    <w:rsid w:val="005A091D"/>
    <w:rsid w:val="00700662"/>
    <w:rsid w:val="007B3C26"/>
    <w:rsid w:val="00824F62"/>
    <w:rsid w:val="00845AB6"/>
    <w:rsid w:val="008C586A"/>
    <w:rsid w:val="009219DF"/>
    <w:rsid w:val="00A364B9"/>
    <w:rsid w:val="00B17359"/>
    <w:rsid w:val="00BB7C09"/>
    <w:rsid w:val="00C05C0E"/>
    <w:rsid w:val="00C61EF4"/>
    <w:rsid w:val="00D000E4"/>
    <w:rsid w:val="00D51014"/>
    <w:rsid w:val="00E34E50"/>
    <w:rsid w:val="00EA61BB"/>
    <w:rsid w:val="00F479C6"/>
    <w:rsid w:val="00FF1EB7"/>
    <w:rsid w:val="010C300F"/>
    <w:rsid w:val="01226EF8"/>
    <w:rsid w:val="0127533C"/>
    <w:rsid w:val="013A6A35"/>
    <w:rsid w:val="014C7F6A"/>
    <w:rsid w:val="01542239"/>
    <w:rsid w:val="016C4BFA"/>
    <w:rsid w:val="01887FDB"/>
    <w:rsid w:val="019E5D18"/>
    <w:rsid w:val="01AA3877"/>
    <w:rsid w:val="01AC1704"/>
    <w:rsid w:val="01B53EE7"/>
    <w:rsid w:val="01B86F17"/>
    <w:rsid w:val="01BD1725"/>
    <w:rsid w:val="01BF6026"/>
    <w:rsid w:val="01C12CC8"/>
    <w:rsid w:val="01D626D8"/>
    <w:rsid w:val="01DF1451"/>
    <w:rsid w:val="01E3502E"/>
    <w:rsid w:val="01F76411"/>
    <w:rsid w:val="021148A8"/>
    <w:rsid w:val="021A27AE"/>
    <w:rsid w:val="02203171"/>
    <w:rsid w:val="023F1D30"/>
    <w:rsid w:val="02420F78"/>
    <w:rsid w:val="024275DF"/>
    <w:rsid w:val="024359A3"/>
    <w:rsid w:val="024606C3"/>
    <w:rsid w:val="025A4BB8"/>
    <w:rsid w:val="026D01BF"/>
    <w:rsid w:val="028F4F89"/>
    <w:rsid w:val="02DE7C7D"/>
    <w:rsid w:val="02EB1366"/>
    <w:rsid w:val="030F67B9"/>
    <w:rsid w:val="03265180"/>
    <w:rsid w:val="032F700C"/>
    <w:rsid w:val="034875CA"/>
    <w:rsid w:val="0356264E"/>
    <w:rsid w:val="03642AE4"/>
    <w:rsid w:val="03897EAA"/>
    <w:rsid w:val="03964592"/>
    <w:rsid w:val="039A00F8"/>
    <w:rsid w:val="03AF24BD"/>
    <w:rsid w:val="03E35391"/>
    <w:rsid w:val="03E905A9"/>
    <w:rsid w:val="03F17422"/>
    <w:rsid w:val="03FA360A"/>
    <w:rsid w:val="04076C1A"/>
    <w:rsid w:val="04371966"/>
    <w:rsid w:val="04476EB1"/>
    <w:rsid w:val="04657E65"/>
    <w:rsid w:val="04726559"/>
    <w:rsid w:val="047602D5"/>
    <w:rsid w:val="04952D86"/>
    <w:rsid w:val="049F799C"/>
    <w:rsid w:val="04B058A6"/>
    <w:rsid w:val="04B54BFB"/>
    <w:rsid w:val="04C20766"/>
    <w:rsid w:val="04C64E6C"/>
    <w:rsid w:val="04C964BB"/>
    <w:rsid w:val="04CD2454"/>
    <w:rsid w:val="04CD7FA9"/>
    <w:rsid w:val="04DB3CFB"/>
    <w:rsid w:val="04E66971"/>
    <w:rsid w:val="04F866B2"/>
    <w:rsid w:val="050301A2"/>
    <w:rsid w:val="051353D0"/>
    <w:rsid w:val="0520689E"/>
    <w:rsid w:val="05254B3D"/>
    <w:rsid w:val="05265C7A"/>
    <w:rsid w:val="052B3C81"/>
    <w:rsid w:val="05354F82"/>
    <w:rsid w:val="05402A63"/>
    <w:rsid w:val="054A2501"/>
    <w:rsid w:val="0575304C"/>
    <w:rsid w:val="058148EC"/>
    <w:rsid w:val="058F4CAC"/>
    <w:rsid w:val="05D07073"/>
    <w:rsid w:val="05D30B40"/>
    <w:rsid w:val="060446D7"/>
    <w:rsid w:val="06052F7B"/>
    <w:rsid w:val="06190C1A"/>
    <w:rsid w:val="062260D2"/>
    <w:rsid w:val="062736E9"/>
    <w:rsid w:val="06296F45"/>
    <w:rsid w:val="063A0BBC"/>
    <w:rsid w:val="063E77DD"/>
    <w:rsid w:val="064244E5"/>
    <w:rsid w:val="06473986"/>
    <w:rsid w:val="066A6124"/>
    <w:rsid w:val="0681614C"/>
    <w:rsid w:val="06875FA5"/>
    <w:rsid w:val="06981BAF"/>
    <w:rsid w:val="06B60BCF"/>
    <w:rsid w:val="06C70162"/>
    <w:rsid w:val="06CA1955"/>
    <w:rsid w:val="06D6598B"/>
    <w:rsid w:val="06DA207E"/>
    <w:rsid w:val="06E3686A"/>
    <w:rsid w:val="06FF0935"/>
    <w:rsid w:val="070A6603"/>
    <w:rsid w:val="071536E3"/>
    <w:rsid w:val="071B4EFF"/>
    <w:rsid w:val="071D3C31"/>
    <w:rsid w:val="071F11B5"/>
    <w:rsid w:val="07224DBF"/>
    <w:rsid w:val="07286702"/>
    <w:rsid w:val="072A6E67"/>
    <w:rsid w:val="073361F3"/>
    <w:rsid w:val="074E2078"/>
    <w:rsid w:val="075E13FF"/>
    <w:rsid w:val="077C0455"/>
    <w:rsid w:val="07801A1E"/>
    <w:rsid w:val="07847C87"/>
    <w:rsid w:val="07883AB9"/>
    <w:rsid w:val="078A341D"/>
    <w:rsid w:val="078C139B"/>
    <w:rsid w:val="0795305D"/>
    <w:rsid w:val="07A62CF3"/>
    <w:rsid w:val="07AC7E2E"/>
    <w:rsid w:val="07B022F6"/>
    <w:rsid w:val="07B87023"/>
    <w:rsid w:val="07BA7B92"/>
    <w:rsid w:val="07CE43C9"/>
    <w:rsid w:val="07D53A3B"/>
    <w:rsid w:val="07D56D32"/>
    <w:rsid w:val="07D66B0D"/>
    <w:rsid w:val="07E9373C"/>
    <w:rsid w:val="08064677"/>
    <w:rsid w:val="081B54CF"/>
    <w:rsid w:val="0830322D"/>
    <w:rsid w:val="0850268A"/>
    <w:rsid w:val="08590B9E"/>
    <w:rsid w:val="088B484C"/>
    <w:rsid w:val="089C3075"/>
    <w:rsid w:val="089D614C"/>
    <w:rsid w:val="08A14CD7"/>
    <w:rsid w:val="08AC5498"/>
    <w:rsid w:val="08B3524C"/>
    <w:rsid w:val="08B706E7"/>
    <w:rsid w:val="08EA1E96"/>
    <w:rsid w:val="08EF118D"/>
    <w:rsid w:val="08EF7DF3"/>
    <w:rsid w:val="08F56527"/>
    <w:rsid w:val="08F757A7"/>
    <w:rsid w:val="0905374B"/>
    <w:rsid w:val="09140A28"/>
    <w:rsid w:val="091E0153"/>
    <w:rsid w:val="094D1B17"/>
    <w:rsid w:val="09527367"/>
    <w:rsid w:val="09824CF4"/>
    <w:rsid w:val="09A510B0"/>
    <w:rsid w:val="09A86CCE"/>
    <w:rsid w:val="09A926B0"/>
    <w:rsid w:val="09D44A5C"/>
    <w:rsid w:val="0A1C108A"/>
    <w:rsid w:val="0A317743"/>
    <w:rsid w:val="0A325400"/>
    <w:rsid w:val="0A33072F"/>
    <w:rsid w:val="0A355831"/>
    <w:rsid w:val="0A5219E5"/>
    <w:rsid w:val="0A540824"/>
    <w:rsid w:val="0A8D6389"/>
    <w:rsid w:val="0AC32EC6"/>
    <w:rsid w:val="0AD623D3"/>
    <w:rsid w:val="0AE86F3A"/>
    <w:rsid w:val="0AF2597A"/>
    <w:rsid w:val="0AFF2E86"/>
    <w:rsid w:val="0B012170"/>
    <w:rsid w:val="0B1B2354"/>
    <w:rsid w:val="0B222480"/>
    <w:rsid w:val="0B225E2F"/>
    <w:rsid w:val="0B554854"/>
    <w:rsid w:val="0B7A0A8A"/>
    <w:rsid w:val="0B7D7885"/>
    <w:rsid w:val="0B9E0752"/>
    <w:rsid w:val="0BAD667E"/>
    <w:rsid w:val="0BB0460F"/>
    <w:rsid w:val="0BB97C75"/>
    <w:rsid w:val="0BD87233"/>
    <w:rsid w:val="0BFC7143"/>
    <w:rsid w:val="0C1D33A1"/>
    <w:rsid w:val="0C252370"/>
    <w:rsid w:val="0C30271D"/>
    <w:rsid w:val="0C3C4113"/>
    <w:rsid w:val="0C762CD4"/>
    <w:rsid w:val="0C9D146C"/>
    <w:rsid w:val="0CCF38AA"/>
    <w:rsid w:val="0CD84978"/>
    <w:rsid w:val="0CF71254"/>
    <w:rsid w:val="0D022FF1"/>
    <w:rsid w:val="0D09104B"/>
    <w:rsid w:val="0D164C38"/>
    <w:rsid w:val="0D2564A8"/>
    <w:rsid w:val="0D341413"/>
    <w:rsid w:val="0D4D418A"/>
    <w:rsid w:val="0D682933"/>
    <w:rsid w:val="0D7E24C7"/>
    <w:rsid w:val="0DD10B3C"/>
    <w:rsid w:val="0DD203D4"/>
    <w:rsid w:val="0DE12E79"/>
    <w:rsid w:val="0DE31477"/>
    <w:rsid w:val="0DF538E6"/>
    <w:rsid w:val="0DFD5F0D"/>
    <w:rsid w:val="0E31320A"/>
    <w:rsid w:val="0E336377"/>
    <w:rsid w:val="0E4A3E23"/>
    <w:rsid w:val="0E57234B"/>
    <w:rsid w:val="0E5E3237"/>
    <w:rsid w:val="0E5F013D"/>
    <w:rsid w:val="0E6B2178"/>
    <w:rsid w:val="0E7C3C91"/>
    <w:rsid w:val="0E8004E8"/>
    <w:rsid w:val="0E86353F"/>
    <w:rsid w:val="0E9364CA"/>
    <w:rsid w:val="0E9F3FAD"/>
    <w:rsid w:val="0EAA4EB7"/>
    <w:rsid w:val="0ED469BA"/>
    <w:rsid w:val="0F15784D"/>
    <w:rsid w:val="0F1972F3"/>
    <w:rsid w:val="0F201BE9"/>
    <w:rsid w:val="0F65742C"/>
    <w:rsid w:val="0F744B1C"/>
    <w:rsid w:val="0F851480"/>
    <w:rsid w:val="0FA60C04"/>
    <w:rsid w:val="0FB31E5E"/>
    <w:rsid w:val="0FB876FD"/>
    <w:rsid w:val="0FBA09D3"/>
    <w:rsid w:val="0FC53530"/>
    <w:rsid w:val="0FD019D4"/>
    <w:rsid w:val="0FD67D11"/>
    <w:rsid w:val="0FDB1C75"/>
    <w:rsid w:val="0FFB18A0"/>
    <w:rsid w:val="10070F29"/>
    <w:rsid w:val="100C6B4B"/>
    <w:rsid w:val="102652F0"/>
    <w:rsid w:val="102E6C5A"/>
    <w:rsid w:val="103711C8"/>
    <w:rsid w:val="103C207F"/>
    <w:rsid w:val="10445B8E"/>
    <w:rsid w:val="107237DD"/>
    <w:rsid w:val="109215C0"/>
    <w:rsid w:val="10A342B4"/>
    <w:rsid w:val="10A44047"/>
    <w:rsid w:val="10AA6ADE"/>
    <w:rsid w:val="10AD453C"/>
    <w:rsid w:val="10C33F56"/>
    <w:rsid w:val="10D17073"/>
    <w:rsid w:val="10D2287F"/>
    <w:rsid w:val="10D311D6"/>
    <w:rsid w:val="10D43D2C"/>
    <w:rsid w:val="10DD34CA"/>
    <w:rsid w:val="10FA51CF"/>
    <w:rsid w:val="11002D04"/>
    <w:rsid w:val="111A4DD7"/>
    <w:rsid w:val="11240ACA"/>
    <w:rsid w:val="11345E44"/>
    <w:rsid w:val="11672D01"/>
    <w:rsid w:val="116D00EA"/>
    <w:rsid w:val="119E059C"/>
    <w:rsid w:val="11A62AAF"/>
    <w:rsid w:val="11A7392F"/>
    <w:rsid w:val="11A95131"/>
    <w:rsid w:val="11CA23EA"/>
    <w:rsid w:val="11CE1CFA"/>
    <w:rsid w:val="11F81F60"/>
    <w:rsid w:val="120101D3"/>
    <w:rsid w:val="121B343B"/>
    <w:rsid w:val="12296A3A"/>
    <w:rsid w:val="122E0892"/>
    <w:rsid w:val="12505070"/>
    <w:rsid w:val="125B2945"/>
    <w:rsid w:val="125D5665"/>
    <w:rsid w:val="128214EF"/>
    <w:rsid w:val="12A31F37"/>
    <w:rsid w:val="12B02627"/>
    <w:rsid w:val="12B543C1"/>
    <w:rsid w:val="12C42F09"/>
    <w:rsid w:val="12C57651"/>
    <w:rsid w:val="12CF1BD4"/>
    <w:rsid w:val="12E306DF"/>
    <w:rsid w:val="12FE631D"/>
    <w:rsid w:val="13054FB7"/>
    <w:rsid w:val="13141FA2"/>
    <w:rsid w:val="13176731"/>
    <w:rsid w:val="13190DB2"/>
    <w:rsid w:val="13252298"/>
    <w:rsid w:val="132650F8"/>
    <w:rsid w:val="13337515"/>
    <w:rsid w:val="134E6759"/>
    <w:rsid w:val="136A5ED7"/>
    <w:rsid w:val="13722AC5"/>
    <w:rsid w:val="13793814"/>
    <w:rsid w:val="137A7CB8"/>
    <w:rsid w:val="138F061F"/>
    <w:rsid w:val="13916645"/>
    <w:rsid w:val="13A84E05"/>
    <w:rsid w:val="13A86095"/>
    <w:rsid w:val="13C31B29"/>
    <w:rsid w:val="13C927E6"/>
    <w:rsid w:val="13DD57D6"/>
    <w:rsid w:val="13E424CF"/>
    <w:rsid w:val="140034BA"/>
    <w:rsid w:val="143B1E4C"/>
    <w:rsid w:val="14407EAF"/>
    <w:rsid w:val="144247CE"/>
    <w:rsid w:val="14427801"/>
    <w:rsid w:val="14606A24"/>
    <w:rsid w:val="147D32A9"/>
    <w:rsid w:val="14954785"/>
    <w:rsid w:val="149E66AD"/>
    <w:rsid w:val="14B4180B"/>
    <w:rsid w:val="14E1653B"/>
    <w:rsid w:val="14EA645F"/>
    <w:rsid w:val="150036B0"/>
    <w:rsid w:val="150F57B7"/>
    <w:rsid w:val="15234A1B"/>
    <w:rsid w:val="1545303B"/>
    <w:rsid w:val="155E35CA"/>
    <w:rsid w:val="155F102F"/>
    <w:rsid w:val="156D2F3D"/>
    <w:rsid w:val="15792472"/>
    <w:rsid w:val="15993D2E"/>
    <w:rsid w:val="15AE1965"/>
    <w:rsid w:val="15B663FA"/>
    <w:rsid w:val="15C03212"/>
    <w:rsid w:val="15D17B61"/>
    <w:rsid w:val="15DC479F"/>
    <w:rsid w:val="163E5980"/>
    <w:rsid w:val="16666D97"/>
    <w:rsid w:val="167245FB"/>
    <w:rsid w:val="16BA7F24"/>
    <w:rsid w:val="16D8458B"/>
    <w:rsid w:val="16DE4EE2"/>
    <w:rsid w:val="16F24CB0"/>
    <w:rsid w:val="16FC68BB"/>
    <w:rsid w:val="16FF7D6A"/>
    <w:rsid w:val="171609F2"/>
    <w:rsid w:val="175A3222"/>
    <w:rsid w:val="175E4068"/>
    <w:rsid w:val="17626D90"/>
    <w:rsid w:val="176412FE"/>
    <w:rsid w:val="17804FC2"/>
    <w:rsid w:val="17931403"/>
    <w:rsid w:val="17970B68"/>
    <w:rsid w:val="179775A2"/>
    <w:rsid w:val="17A824B1"/>
    <w:rsid w:val="17AC1A7A"/>
    <w:rsid w:val="17AE11F1"/>
    <w:rsid w:val="17C36FE9"/>
    <w:rsid w:val="17D424A9"/>
    <w:rsid w:val="17D83887"/>
    <w:rsid w:val="17E47C39"/>
    <w:rsid w:val="17E72401"/>
    <w:rsid w:val="17F55172"/>
    <w:rsid w:val="180C2D95"/>
    <w:rsid w:val="180F4581"/>
    <w:rsid w:val="182A350C"/>
    <w:rsid w:val="182D186D"/>
    <w:rsid w:val="183A7499"/>
    <w:rsid w:val="185363F4"/>
    <w:rsid w:val="187111EB"/>
    <w:rsid w:val="18AC2047"/>
    <w:rsid w:val="18B77C16"/>
    <w:rsid w:val="18BF509A"/>
    <w:rsid w:val="18D23750"/>
    <w:rsid w:val="18D35678"/>
    <w:rsid w:val="18E315AE"/>
    <w:rsid w:val="18E56D45"/>
    <w:rsid w:val="18E74FB2"/>
    <w:rsid w:val="18F72B51"/>
    <w:rsid w:val="192F074B"/>
    <w:rsid w:val="19336C12"/>
    <w:rsid w:val="1985208D"/>
    <w:rsid w:val="199E1A24"/>
    <w:rsid w:val="19A52FC2"/>
    <w:rsid w:val="19B202D3"/>
    <w:rsid w:val="19B63354"/>
    <w:rsid w:val="19CA1788"/>
    <w:rsid w:val="19DC58C0"/>
    <w:rsid w:val="19E01F95"/>
    <w:rsid w:val="19EE17C2"/>
    <w:rsid w:val="1A044CAE"/>
    <w:rsid w:val="1A221966"/>
    <w:rsid w:val="1A24252A"/>
    <w:rsid w:val="1A391B12"/>
    <w:rsid w:val="1A4030AE"/>
    <w:rsid w:val="1A44370D"/>
    <w:rsid w:val="1A6E3163"/>
    <w:rsid w:val="1A8B50A3"/>
    <w:rsid w:val="1A8B5B44"/>
    <w:rsid w:val="1AA82AB2"/>
    <w:rsid w:val="1AB27952"/>
    <w:rsid w:val="1ABA6AC4"/>
    <w:rsid w:val="1AD144B2"/>
    <w:rsid w:val="1AD3112C"/>
    <w:rsid w:val="1AD742D0"/>
    <w:rsid w:val="1AD87250"/>
    <w:rsid w:val="1AE26980"/>
    <w:rsid w:val="1B0530F7"/>
    <w:rsid w:val="1B1669F1"/>
    <w:rsid w:val="1B1D5FE3"/>
    <w:rsid w:val="1B2604E0"/>
    <w:rsid w:val="1B2A6362"/>
    <w:rsid w:val="1B33648D"/>
    <w:rsid w:val="1B3D2CBF"/>
    <w:rsid w:val="1B673D60"/>
    <w:rsid w:val="1B6A61A2"/>
    <w:rsid w:val="1B702014"/>
    <w:rsid w:val="1B864188"/>
    <w:rsid w:val="1BBB4BA7"/>
    <w:rsid w:val="1BC36DB3"/>
    <w:rsid w:val="1BD03C82"/>
    <w:rsid w:val="1BDC2476"/>
    <w:rsid w:val="1BE046DF"/>
    <w:rsid w:val="1BE31633"/>
    <w:rsid w:val="1BEE70B9"/>
    <w:rsid w:val="1BF95931"/>
    <w:rsid w:val="1C000618"/>
    <w:rsid w:val="1C0337AA"/>
    <w:rsid w:val="1C1D47F4"/>
    <w:rsid w:val="1C330BCB"/>
    <w:rsid w:val="1C3F7586"/>
    <w:rsid w:val="1C702DE1"/>
    <w:rsid w:val="1C7E2BEC"/>
    <w:rsid w:val="1CD12CBD"/>
    <w:rsid w:val="1CDC5AB2"/>
    <w:rsid w:val="1CED5DD3"/>
    <w:rsid w:val="1D3E3065"/>
    <w:rsid w:val="1D717EDF"/>
    <w:rsid w:val="1D792B19"/>
    <w:rsid w:val="1D7F614E"/>
    <w:rsid w:val="1D80153B"/>
    <w:rsid w:val="1D844BB6"/>
    <w:rsid w:val="1D951428"/>
    <w:rsid w:val="1DAE4F6B"/>
    <w:rsid w:val="1DDC5058"/>
    <w:rsid w:val="1DE01D24"/>
    <w:rsid w:val="1DE14E0B"/>
    <w:rsid w:val="1DE316A5"/>
    <w:rsid w:val="1DE8203A"/>
    <w:rsid w:val="1DF9468A"/>
    <w:rsid w:val="1E097C80"/>
    <w:rsid w:val="1E244B2C"/>
    <w:rsid w:val="1E295655"/>
    <w:rsid w:val="1E3C02C8"/>
    <w:rsid w:val="1E4C3E88"/>
    <w:rsid w:val="1E63488C"/>
    <w:rsid w:val="1E641526"/>
    <w:rsid w:val="1E7260F0"/>
    <w:rsid w:val="1E8C090D"/>
    <w:rsid w:val="1E9B17C2"/>
    <w:rsid w:val="1EB61EB3"/>
    <w:rsid w:val="1ED625A2"/>
    <w:rsid w:val="1EDA17E8"/>
    <w:rsid w:val="1EDE4BE3"/>
    <w:rsid w:val="1EE6133B"/>
    <w:rsid w:val="1EEA0096"/>
    <w:rsid w:val="1F073C5F"/>
    <w:rsid w:val="1F1F0A11"/>
    <w:rsid w:val="1F2F5597"/>
    <w:rsid w:val="1F2F7EFD"/>
    <w:rsid w:val="1F43769D"/>
    <w:rsid w:val="1F4F1360"/>
    <w:rsid w:val="1F517F08"/>
    <w:rsid w:val="1F5317E5"/>
    <w:rsid w:val="1F5644EA"/>
    <w:rsid w:val="1F5A795D"/>
    <w:rsid w:val="1F615A66"/>
    <w:rsid w:val="1F861CE5"/>
    <w:rsid w:val="1F93201C"/>
    <w:rsid w:val="1FA83EAF"/>
    <w:rsid w:val="1FAA6F91"/>
    <w:rsid w:val="1FB3047B"/>
    <w:rsid w:val="1FDD0724"/>
    <w:rsid w:val="2000527E"/>
    <w:rsid w:val="202D4585"/>
    <w:rsid w:val="203D05B8"/>
    <w:rsid w:val="20485E60"/>
    <w:rsid w:val="2049341D"/>
    <w:rsid w:val="204C04C4"/>
    <w:rsid w:val="20507DEF"/>
    <w:rsid w:val="20517ECD"/>
    <w:rsid w:val="206B3E88"/>
    <w:rsid w:val="206E7D57"/>
    <w:rsid w:val="20793CAD"/>
    <w:rsid w:val="208F746F"/>
    <w:rsid w:val="20B00359"/>
    <w:rsid w:val="20B54EE2"/>
    <w:rsid w:val="20D32CE6"/>
    <w:rsid w:val="20D64501"/>
    <w:rsid w:val="20DC0526"/>
    <w:rsid w:val="20E242A9"/>
    <w:rsid w:val="20E50256"/>
    <w:rsid w:val="20EF0E4F"/>
    <w:rsid w:val="20F41EFA"/>
    <w:rsid w:val="21015A43"/>
    <w:rsid w:val="2138155D"/>
    <w:rsid w:val="2149153A"/>
    <w:rsid w:val="21605D3C"/>
    <w:rsid w:val="217068C1"/>
    <w:rsid w:val="21854EDE"/>
    <w:rsid w:val="21CA2F84"/>
    <w:rsid w:val="21FC0ABD"/>
    <w:rsid w:val="22155488"/>
    <w:rsid w:val="224D068A"/>
    <w:rsid w:val="22614515"/>
    <w:rsid w:val="226C6349"/>
    <w:rsid w:val="22721109"/>
    <w:rsid w:val="22795AB6"/>
    <w:rsid w:val="22BA28C3"/>
    <w:rsid w:val="22BD7B2C"/>
    <w:rsid w:val="22BE2F1D"/>
    <w:rsid w:val="22C24ADC"/>
    <w:rsid w:val="22CA0A22"/>
    <w:rsid w:val="230019EE"/>
    <w:rsid w:val="23062EF2"/>
    <w:rsid w:val="2333511E"/>
    <w:rsid w:val="233C67CB"/>
    <w:rsid w:val="23572065"/>
    <w:rsid w:val="23761DFE"/>
    <w:rsid w:val="23773268"/>
    <w:rsid w:val="238B23D8"/>
    <w:rsid w:val="238F04A0"/>
    <w:rsid w:val="23B57597"/>
    <w:rsid w:val="23C70FEE"/>
    <w:rsid w:val="23EE5B2F"/>
    <w:rsid w:val="23F735C3"/>
    <w:rsid w:val="24107A5A"/>
    <w:rsid w:val="24183410"/>
    <w:rsid w:val="24264B88"/>
    <w:rsid w:val="242F40A5"/>
    <w:rsid w:val="24463952"/>
    <w:rsid w:val="24496CA2"/>
    <w:rsid w:val="24860C2C"/>
    <w:rsid w:val="24A41392"/>
    <w:rsid w:val="24B93CC5"/>
    <w:rsid w:val="24BB79C6"/>
    <w:rsid w:val="24CC3D8E"/>
    <w:rsid w:val="24D22A13"/>
    <w:rsid w:val="24FC518E"/>
    <w:rsid w:val="24FD3D01"/>
    <w:rsid w:val="25127598"/>
    <w:rsid w:val="25196EF7"/>
    <w:rsid w:val="252613FB"/>
    <w:rsid w:val="252F49B6"/>
    <w:rsid w:val="253A30EE"/>
    <w:rsid w:val="25550573"/>
    <w:rsid w:val="255C24B7"/>
    <w:rsid w:val="256C3AFF"/>
    <w:rsid w:val="25876B33"/>
    <w:rsid w:val="258B0A69"/>
    <w:rsid w:val="258B7BFF"/>
    <w:rsid w:val="25986B4C"/>
    <w:rsid w:val="25A96237"/>
    <w:rsid w:val="25AF62B4"/>
    <w:rsid w:val="25BA2A22"/>
    <w:rsid w:val="25C64500"/>
    <w:rsid w:val="25E177C8"/>
    <w:rsid w:val="25E973F4"/>
    <w:rsid w:val="25FA5EE8"/>
    <w:rsid w:val="261D01D7"/>
    <w:rsid w:val="261E3C42"/>
    <w:rsid w:val="26257FAD"/>
    <w:rsid w:val="26335EDC"/>
    <w:rsid w:val="263D369E"/>
    <w:rsid w:val="263F5A3D"/>
    <w:rsid w:val="26422263"/>
    <w:rsid w:val="265B34B9"/>
    <w:rsid w:val="2661735B"/>
    <w:rsid w:val="268B16AA"/>
    <w:rsid w:val="2693573F"/>
    <w:rsid w:val="269D05DB"/>
    <w:rsid w:val="26AD526F"/>
    <w:rsid w:val="26B34C1F"/>
    <w:rsid w:val="26B4725E"/>
    <w:rsid w:val="26B72EEB"/>
    <w:rsid w:val="26BA22F3"/>
    <w:rsid w:val="26D61302"/>
    <w:rsid w:val="27197383"/>
    <w:rsid w:val="27211BFC"/>
    <w:rsid w:val="272A2982"/>
    <w:rsid w:val="273267A6"/>
    <w:rsid w:val="27484E85"/>
    <w:rsid w:val="274A56F8"/>
    <w:rsid w:val="27596AA2"/>
    <w:rsid w:val="275F6E29"/>
    <w:rsid w:val="27676CF1"/>
    <w:rsid w:val="27684B56"/>
    <w:rsid w:val="276B558F"/>
    <w:rsid w:val="27711D45"/>
    <w:rsid w:val="278539E8"/>
    <w:rsid w:val="279613B8"/>
    <w:rsid w:val="279B5C46"/>
    <w:rsid w:val="27BF2D32"/>
    <w:rsid w:val="27CF220C"/>
    <w:rsid w:val="27D70D0D"/>
    <w:rsid w:val="27DA0D95"/>
    <w:rsid w:val="280A5E10"/>
    <w:rsid w:val="2812650F"/>
    <w:rsid w:val="281E396C"/>
    <w:rsid w:val="28383A8A"/>
    <w:rsid w:val="28945B0F"/>
    <w:rsid w:val="28951478"/>
    <w:rsid w:val="28A507E6"/>
    <w:rsid w:val="28AA4EE7"/>
    <w:rsid w:val="28F44905"/>
    <w:rsid w:val="290F3491"/>
    <w:rsid w:val="29102AC9"/>
    <w:rsid w:val="291962A4"/>
    <w:rsid w:val="291A315C"/>
    <w:rsid w:val="29212588"/>
    <w:rsid w:val="292F769E"/>
    <w:rsid w:val="293908CC"/>
    <w:rsid w:val="29442A0A"/>
    <w:rsid w:val="295757E3"/>
    <w:rsid w:val="29750325"/>
    <w:rsid w:val="297E130E"/>
    <w:rsid w:val="298170EE"/>
    <w:rsid w:val="298964AF"/>
    <w:rsid w:val="299462B8"/>
    <w:rsid w:val="29A021F1"/>
    <w:rsid w:val="29A51982"/>
    <w:rsid w:val="29CA2739"/>
    <w:rsid w:val="29D56EB8"/>
    <w:rsid w:val="29FA5DF5"/>
    <w:rsid w:val="29FF6ABF"/>
    <w:rsid w:val="2A037944"/>
    <w:rsid w:val="2A0A604E"/>
    <w:rsid w:val="2A417651"/>
    <w:rsid w:val="2A501D1E"/>
    <w:rsid w:val="2A5D00D4"/>
    <w:rsid w:val="2A693F76"/>
    <w:rsid w:val="2A6D37FD"/>
    <w:rsid w:val="2A851CAF"/>
    <w:rsid w:val="2A8F792B"/>
    <w:rsid w:val="2A9C3C03"/>
    <w:rsid w:val="2AAE5085"/>
    <w:rsid w:val="2ABC7734"/>
    <w:rsid w:val="2AC172AD"/>
    <w:rsid w:val="2ACA249B"/>
    <w:rsid w:val="2AD74F48"/>
    <w:rsid w:val="2AE12C19"/>
    <w:rsid w:val="2AF2781B"/>
    <w:rsid w:val="2AF32289"/>
    <w:rsid w:val="2AF547EC"/>
    <w:rsid w:val="2B092416"/>
    <w:rsid w:val="2B0C2313"/>
    <w:rsid w:val="2B196C0C"/>
    <w:rsid w:val="2B251BFE"/>
    <w:rsid w:val="2B2D50C8"/>
    <w:rsid w:val="2B4351F5"/>
    <w:rsid w:val="2B5A3B86"/>
    <w:rsid w:val="2B753823"/>
    <w:rsid w:val="2B7C0995"/>
    <w:rsid w:val="2B846844"/>
    <w:rsid w:val="2B872672"/>
    <w:rsid w:val="2B8B0C91"/>
    <w:rsid w:val="2BB020B0"/>
    <w:rsid w:val="2BC44923"/>
    <w:rsid w:val="2BC74B27"/>
    <w:rsid w:val="2C0C6351"/>
    <w:rsid w:val="2C0E20E3"/>
    <w:rsid w:val="2C0E4745"/>
    <w:rsid w:val="2C134616"/>
    <w:rsid w:val="2C174BDE"/>
    <w:rsid w:val="2C233E3A"/>
    <w:rsid w:val="2C360E1D"/>
    <w:rsid w:val="2C4440CC"/>
    <w:rsid w:val="2C4445CF"/>
    <w:rsid w:val="2C4E1120"/>
    <w:rsid w:val="2C6426F1"/>
    <w:rsid w:val="2C7E5CB7"/>
    <w:rsid w:val="2C811E3D"/>
    <w:rsid w:val="2C952F88"/>
    <w:rsid w:val="2C9F1BF2"/>
    <w:rsid w:val="2CB503FE"/>
    <w:rsid w:val="2CCA11EE"/>
    <w:rsid w:val="2CCA6571"/>
    <w:rsid w:val="2CE343A3"/>
    <w:rsid w:val="2CEA25A4"/>
    <w:rsid w:val="2CFA7B7A"/>
    <w:rsid w:val="2CFF479A"/>
    <w:rsid w:val="2D13637E"/>
    <w:rsid w:val="2D1D649A"/>
    <w:rsid w:val="2D203D21"/>
    <w:rsid w:val="2D2C0BFB"/>
    <w:rsid w:val="2D311975"/>
    <w:rsid w:val="2D4029CB"/>
    <w:rsid w:val="2D4304C2"/>
    <w:rsid w:val="2D453AB2"/>
    <w:rsid w:val="2D533587"/>
    <w:rsid w:val="2D5D7FAB"/>
    <w:rsid w:val="2D931C55"/>
    <w:rsid w:val="2D99241B"/>
    <w:rsid w:val="2D9F0B79"/>
    <w:rsid w:val="2DA27AC1"/>
    <w:rsid w:val="2DE86066"/>
    <w:rsid w:val="2DF056E7"/>
    <w:rsid w:val="2DF9330D"/>
    <w:rsid w:val="2E251C13"/>
    <w:rsid w:val="2E3944F4"/>
    <w:rsid w:val="2E4A2DE2"/>
    <w:rsid w:val="2E8E7791"/>
    <w:rsid w:val="2EA6709C"/>
    <w:rsid w:val="2EC41413"/>
    <w:rsid w:val="2EC507E6"/>
    <w:rsid w:val="2ED12722"/>
    <w:rsid w:val="2EDD2724"/>
    <w:rsid w:val="2EE72D23"/>
    <w:rsid w:val="2F191EB9"/>
    <w:rsid w:val="2F1C27E4"/>
    <w:rsid w:val="2F2F435A"/>
    <w:rsid w:val="2F3774FD"/>
    <w:rsid w:val="2F454D87"/>
    <w:rsid w:val="2F8A203A"/>
    <w:rsid w:val="2F9F5295"/>
    <w:rsid w:val="2FB273E0"/>
    <w:rsid w:val="2FBC6F7D"/>
    <w:rsid w:val="2FCE2CA3"/>
    <w:rsid w:val="2FF11413"/>
    <w:rsid w:val="30025C39"/>
    <w:rsid w:val="300512D8"/>
    <w:rsid w:val="301042D6"/>
    <w:rsid w:val="30324C9B"/>
    <w:rsid w:val="30431341"/>
    <w:rsid w:val="30856BEE"/>
    <w:rsid w:val="30A74C5B"/>
    <w:rsid w:val="30C10E55"/>
    <w:rsid w:val="30CD6E71"/>
    <w:rsid w:val="30D23B66"/>
    <w:rsid w:val="30E94183"/>
    <w:rsid w:val="31300B2E"/>
    <w:rsid w:val="31405EB6"/>
    <w:rsid w:val="31490245"/>
    <w:rsid w:val="314F3670"/>
    <w:rsid w:val="315A0EB3"/>
    <w:rsid w:val="316748A9"/>
    <w:rsid w:val="318C3DE0"/>
    <w:rsid w:val="319175EC"/>
    <w:rsid w:val="319F0DB0"/>
    <w:rsid w:val="31BA431D"/>
    <w:rsid w:val="31BB54DC"/>
    <w:rsid w:val="31E63BA8"/>
    <w:rsid w:val="31E97577"/>
    <w:rsid w:val="31EC2FDD"/>
    <w:rsid w:val="32045187"/>
    <w:rsid w:val="324B7353"/>
    <w:rsid w:val="32500DC3"/>
    <w:rsid w:val="325B2F17"/>
    <w:rsid w:val="325D3B0C"/>
    <w:rsid w:val="3281724D"/>
    <w:rsid w:val="328E7439"/>
    <w:rsid w:val="32A73338"/>
    <w:rsid w:val="32AA7101"/>
    <w:rsid w:val="32AC094E"/>
    <w:rsid w:val="32E30B1E"/>
    <w:rsid w:val="33047156"/>
    <w:rsid w:val="330A6700"/>
    <w:rsid w:val="332F0F2C"/>
    <w:rsid w:val="333F120B"/>
    <w:rsid w:val="334B5FAF"/>
    <w:rsid w:val="3355548A"/>
    <w:rsid w:val="33643B54"/>
    <w:rsid w:val="336A4D33"/>
    <w:rsid w:val="339D6348"/>
    <w:rsid w:val="33CE2331"/>
    <w:rsid w:val="33E218AF"/>
    <w:rsid w:val="33F00DA2"/>
    <w:rsid w:val="33FF4AE0"/>
    <w:rsid w:val="34015FD7"/>
    <w:rsid w:val="34042523"/>
    <w:rsid w:val="34174CE1"/>
    <w:rsid w:val="341B26AF"/>
    <w:rsid w:val="341B317A"/>
    <w:rsid w:val="342909EC"/>
    <w:rsid w:val="342E1618"/>
    <w:rsid w:val="34663B20"/>
    <w:rsid w:val="34741EBA"/>
    <w:rsid w:val="34AC20DE"/>
    <w:rsid w:val="34AC7010"/>
    <w:rsid w:val="34AE3A93"/>
    <w:rsid w:val="34B97571"/>
    <w:rsid w:val="34C86313"/>
    <w:rsid w:val="34D85E8E"/>
    <w:rsid w:val="34DB001A"/>
    <w:rsid w:val="34DE4B17"/>
    <w:rsid w:val="3518301F"/>
    <w:rsid w:val="351E5EE9"/>
    <w:rsid w:val="35414528"/>
    <w:rsid w:val="35532CA0"/>
    <w:rsid w:val="355849AA"/>
    <w:rsid w:val="35702DFD"/>
    <w:rsid w:val="35A328F5"/>
    <w:rsid w:val="35A44ADE"/>
    <w:rsid w:val="35A6402B"/>
    <w:rsid w:val="35C70F7D"/>
    <w:rsid w:val="35D27D5A"/>
    <w:rsid w:val="35FB1837"/>
    <w:rsid w:val="3608233F"/>
    <w:rsid w:val="36095B84"/>
    <w:rsid w:val="3661697F"/>
    <w:rsid w:val="366D65E0"/>
    <w:rsid w:val="367A740F"/>
    <w:rsid w:val="36813FAE"/>
    <w:rsid w:val="36816FCE"/>
    <w:rsid w:val="368538E4"/>
    <w:rsid w:val="3688536F"/>
    <w:rsid w:val="36954E07"/>
    <w:rsid w:val="369C2F9B"/>
    <w:rsid w:val="36B46B32"/>
    <w:rsid w:val="36BA348E"/>
    <w:rsid w:val="36CF7301"/>
    <w:rsid w:val="36D56957"/>
    <w:rsid w:val="370512E5"/>
    <w:rsid w:val="3712434D"/>
    <w:rsid w:val="37193E90"/>
    <w:rsid w:val="372B5CCE"/>
    <w:rsid w:val="37390E43"/>
    <w:rsid w:val="373C37FC"/>
    <w:rsid w:val="37462FA1"/>
    <w:rsid w:val="3761640E"/>
    <w:rsid w:val="37622ECA"/>
    <w:rsid w:val="37686C4C"/>
    <w:rsid w:val="376F4361"/>
    <w:rsid w:val="377601F4"/>
    <w:rsid w:val="37764687"/>
    <w:rsid w:val="378C4D7F"/>
    <w:rsid w:val="37A21A21"/>
    <w:rsid w:val="37C07904"/>
    <w:rsid w:val="37C81124"/>
    <w:rsid w:val="37C87EE3"/>
    <w:rsid w:val="37CA427B"/>
    <w:rsid w:val="37D0159F"/>
    <w:rsid w:val="37D43799"/>
    <w:rsid w:val="37D81982"/>
    <w:rsid w:val="37EC0866"/>
    <w:rsid w:val="37FF59C4"/>
    <w:rsid w:val="38060395"/>
    <w:rsid w:val="38392C84"/>
    <w:rsid w:val="38421670"/>
    <w:rsid w:val="38476834"/>
    <w:rsid w:val="38491AF3"/>
    <w:rsid w:val="384A4E91"/>
    <w:rsid w:val="384D03F4"/>
    <w:rsid w:val="386D47D1"/>
    <w:rsid w:val="38744421"/>
    <w:rsid w:val="388410CA"/>
    <w:rsid w:val="389D64EB"/>
    <w:rsid w:val="38A362D8"/>
    <w:rsid w:val="38B20832"/>
    <w:rsid w:val="38BD211E"/>
    <w:rsid w:val="38BE7072"/>
    <w:rsid w:val="38C70468"/>
    <w:rsid w:val="38C86444"/>
    <w:rsid w:val="38CD7870"/>
    <w:rsid w:val="38DF0A2C"/>
    <w:rsid w:val="38E62AC4"/>
    <w:rsid w:val="38E956EF"/>
    <w:rsid w:val="39141CBB"/>
    <w:rsid w:val="39184453"/>
    <w:rsid w:val="391B536C"/>
    <w:rsid w:val="39257D8F"/>
    <w:rsid w:val="3926502D"/>
    <w:rsid w:val="392751D2"/>
    <w:rsid w:val="393774B8"/>
    <w:rsid w:val="398523F5"/>
    <w:rsid w:val="39A61CC0"/>
    <w:rsid w:val="39BC143F"/>
    <w:rsid w:val="39CD0724"/>
    <w:rsid w:val="39D2500F"/>
    <w:rsid w:val="39E23180"/>
    <w:rsid w:val="39E50B72"/>
    <w:rsid w:val="3A017F6D"/>
    <w:rsid w:val="3A111AF0"/>
    <w:rsid w:val="3A3879EA"/>
    <w:rsid w:val="3A3B264D"/>
    <w:rsid w:val="3A4F795A"/>
    <w:rsid w:val="3A584004"/>
    <w:rsid w:val="3A777A93"/>
    <w:rsid w:val="3A791B70"/>
    <w:rsid w:val="3A7D4304"/>
    <w:rsid w:val="3A7F4C75"/>
    <w:rsid w:val="3A8151F0"/>
    <w:rsid w:val="3A8566CC"/>
    <w:rsid w:val="3A9C48DE"/>
    <w:rsid w:val="3A9F5F78"/>
    <w:rsid w:val="3AAB09ED"/>
    <w:rsid w:val="3AAC528D"/>
    <w:rsid w:val="3AB14ED1"/>
    <w:rsid w:val="3ABF787A"/>
    <w:rsid w:val="3AC32CD9"/>
    <w:rsid w:val="3ACD2966"/>
    <w:rsid w:val="3AE1037D"/>
    <w:rsid w:val="3AE31646"/>
    <w:rsid w:val="3AE44164"/>
    <w:rsid w:val="3AED508E"/>
    <w:rsid w:val="3AF33712"/>
    <w:rsid w:val="3B0A4342"/>
    <w:rsid w:val="3B1415FD"/>
    <w:rsid w:val="3B2D34B7"/>
    <w:rsid w:val="3B45528E"/>
    <w:rsid w:val="3B4C5DB2"/>
    <w:rsid w:val="3B626621"/>
    <w:rsid w:val="3B8E077C"/>
    <w:rsid w:val="3B974891"/>
    <w:rsid w:val="3B976570"/>
    <w:rsid w:val="3BA07B3C"/>
    <w:rsid w:val="3BA66882"/>
    <w:rsid w:val="3BB54D17"/>
    <w:rsid w:val="3BB77D0B"/>
    <w:rsid w:val="3BE12B3C"/>
    <w:rsid w:val="3C017D8C"/>
    <w:rsid w:val="3C1A7270"/>
    <w:rsid w:val="3C424B81"/>
    <w:rsid w:val="3C63541C"/>
    <w:rsid w:val="3C8A6321"/>
    <w:rsid w:val="3C914A84"/>
    <w:rsid w:val="3CE3770C"/>
    <w:rsid w:val="3D033860"/>
    <w:rsid w:val="3D046932"/>
    <w:rsid w:val="3D297F88"/>
    <w:rsid w:val="3D353E50"/>
    <w:rsid w:val="3D422603"/>
    <w:rsid w:val="3D455BE7"/>
    <w:rsid w:val="3D4A4BC5"/>
    <w:rsid w:val="3D4C2F87"/>
    <w:rsid w:val="3D510BE1"/>
    <w:rsid w:val="3D54230E"/>
    <w:rsid w:val="3D6448D2"/>
    <w:rsid w:val="3D701187"/>
    <w:rsid w:val="3D791CAB"/>
    <w:rsid w:val="3D8001CE"/>
    <w:rsid w:val="3D8E5E95"/>
    <w:rsid w:val="3DB9315D"/>
    <w:rsid w:val="3DCB241A"/>
    <w:rsid w:val="3DCC1F7B"/>
    <w:rsid w:val="3DF80EEB"/>
    <w:rsid w:val="3DF83A63"/>
    <w:rsid w:val="3DFD60CF"/>
    <w:rsid w:val="3E0232F1"/>
    <w:rsid w:val="3E10092B"/>
    <w:rsid w:val="3E13700B"/>
    <w:rsid w:val="3E3068D7"/>
    <w:rsid w:val="3E3755A1"/>
    <w:rsid w:val="3E3A14BB"/>
    <w:rsid w:val="3E42598D"/>
    <w:rsid w:val="3E4E39D3"/>
    <w:rsid w:val="3E5908D7"/>
    <w:rsid w:val="3E632C76"/>
    <w:rsid w:val="3E681C74"/>
    <w:rsid w:val="3E74647B"/>
    <w:rsid w:val="3EA24576"/>
    <w:rsid w:val="3EC02BEB"/>
    <w:rsid w:val="3EC750AA"/>
    <w:rsid w:val="3ED454B4"/>
    <w:rsid w:val="3EE5668E"/>
    <w:rsid w:val="3EF648A4"/>
    <w:rsid w:val="3F073155"/>
    <w:rsid w:val="3F244EFE"/>
    <w:rsid w:val="3F340649"/>
    <w:rsid w:val="3F3E4200"/>
    <w:rsid w:val="3F5854AD"/>
    <w:rsid w:val="3F652779"/>
    <w:rsid w:val="3F8C565D"/>
    <w:rsid w:val="3F9C3E05"/>
    <w:rsid w:val="3FD22705"/>
    <w:rsid w:val="3FD7593D"/>
    <w:rsid w:val="3FD9313B"/>
    <w:rsid w:val="3FE12948"/>
    <w:rsid w:val="3FF70591"/>
    <w:rsid w:val="40101C96"/>
    <w:rsid w:val="40106830"/>
    <w:rsid w:val="40583EC3"/>
    <w:rsid w:val="407A79A7"/>
    <w:rsid w:val="40827D5B"/>
    <w:rsid w:val="408454F9"/>
    <w:rsid w:val="4090295E"/>
    <w:rsid w:val="409A568E"/>
    <w:rsid w:val="40A03EDB"/>
    <w:rsid w:val="40BC08F6"/>
    <w:rsid w:val="40CE6ADC"/>
    <w:rsid w:val="40E75F6F"/>
    <w:rsid w:val="40EE48AD"/>
    <w:rsid w:val="40EE6842"/>
    <w:rsid w:val="40F51E0C"/>
    <w:rsid w:val="40F57964"/>
    <w:rsid w:val="410630BF"/>
    <w:rsid w:val="41176306"/>
    <w:rsid w:val="41246750"/>
    <w:rsid w:val="412602C9"/>
    <w:rsid w:val="412F3FB1"/>
    <w:rsid w:val="4143484F"/>
    <w:rsid w:val="41632578"/>
    <w:rsid w:val="416F7716"/>
    <w:rsid w:val="41896051"/>
    <w:rsid w:val="418B62FF"/>
    <w:rsid w:val="41921EA4"/>
    <w:rsid w:val="41A0730C"/>
    <w:rsid w:val="41B831C1"/>
    <w:rsid w:val="41C02203"/>
    <w:rsid w:val="41C51E2F"/>
    <w:rsid w:val="41C62D39"/>
    <w:rsid w:val="41CD5D37"/>
    <w:rsid w:val="41DA63E5"/>
    <w:rsid w:val="41DD59B3"/>
    <w:rsid w:val="41DE44D4"/>
    <w:rsid w:val="41E24447"/>
    <w:rsid w:val="41E365D3"/>
    <w:rsid w:val="420C3427"/>
    <w:rsid w:val="422D55ED"/>
    <w:rsid w:val="42331D31"/>
    <w:rsid w:val="423E0679"/>
    <w:rsid w:val="42415557"/>
    <w:rsid w:val="42446DF5"/>
    <w:rsid w:val="42516491"/>
    <w:rsid w:val="42610D7D"/>
    <w:rsid w:val="42810E18"/>
    <w:rsid w:val="42924966"/>
    <w:rsid w:val="42AC16D8"/>
    <w:rsid w:val="42AC39D4"/>
    <w:rsid w:val="42B47523"/>
    <w:rsid w:val="42C61B54"/>
    <w:rsid w:val="42E35771"/>
    <w:rsid w:val="42EF37E7"/>
    <w:rsid w:val="42EF5A67"/>
    <w:rsid w:val="42FD6471"/>
    <w:rsid w:val="431351EB"/>
    <w:rsid w:val="431C5A47"/>
    <w:rsid w:val="431D0243"/>
    <w:rsid w:val="431E0543"/>
    <w:rsid w:val="432476D1"/>
    <w:rsid w:val="43291B47"/>
    <w:rsid w:val="43366709"/>
    <w:rsid w:val="434A7D4F"/>
    <w:rsid w:val="435713BE"/>
    <w:rsid w:val="436F7792"/>
    <w:rsid w:val="43765547"/>
    <w:rsid w:val="439C2748"/>
    <w:rsid w:val="43A178FE"/>
    <w:rsid w:val="43C26B40"/>
    <w:rsid w:val="44097C4D"/>
    <w:rsid w:val="44301A12"/>
    <w:rsid w:val="444F045B"/>
    <w:rsid w:val="44713FAD"/>
    <w:rsid w:val="447C033C"/>
    <w:rsid w:val="447D0B1A"/>
    <w:rsid w:val="44A267C5"/>
    <w:rsid w:val="44BB380A"/>
    <w:rsid w:val="44C60245"/>
    <w:rsid w:val="44DF4D69"/>
    <w:rsid w:val="44F66354"/>
    <w:rsid w:val="45136EA8"/>
    <w:rsid w:val="451B521A"/>
    <w:rsid w:val="452A1AEE"/>
    <w:rsid w:val="45417FF9"/>
    <w:rsid w:val="45452ACB"/>
    <w:rsid w:val="454A6277"/>
    <w:rsid w:val="455B06D9"/>
    <w:rsid w:val="45640B1F"/>
    <w:rsid w:val="456B0007"/>
    <w:rsid w:val="458701D1"/>
    <w:rsid w:val="459B2EDF"/>
    <w:rsid w:val="45B651CC"/>
    <w:rsid w:val="45C50B81"/>
    <w:rsid w:val="45C62F04"/>
    <w:rsid w:val="45CA5863"/>
    <w:rsid w:val="45CE3B44"/>
    <w:rsid w:val="45E2467A"/>
    <w:rsid w:val="46151219"/>
    <w:rsid w:val="46172BC3"/>
    <w:rsid w:val="4617371B"/>
    <w:rsid w:val="461766B5"/>
    <w:rsid w:val="462B17D0"/>
    <w:rsid w:val="46326072"/>
    <w:rsid w:val="46334979"/>
    <w:rsid w:val="46352586"/>
    <w:rsid w:val="46454EAD"/>
    <w:rsid w:val="46620DD9"/>
    <w:rsid w:val="4662762C"/>
    <w:rsid w:val="46703A2F"/>
    <w:rsid w:val="46721C71"/>
    <w:rsid w:val="4686008E"/>
    <w:rsid w:val="469C1FDE"/>
    <w:rsid w:val="46A24FBA"/>
    <w:rsid w:val="46AA1CFA"/>
    <w:rsid w:val="46AD197E"/>
    <w:rsid w:val="46FC72C7"/>
    <w:rsid w:val="47103C6F"/>
    <w:rsid w:val="47141065"/>
    <w:rsid w:val="4718311A"/>
    <w:rsid w:val="47246763"/>
    <w:rsid w:val="4734169E"/>
    <w:rsid w:val="47443D3F"/>
    <w:rsid w:val="47460A90"/>
    <w:rsid w:val="478F28C0"/>
    <w:rsid w:val="47950E70"/>
    <w:rsid w:val="47B0504B"/>
    <w:rsid w:val="47B17C13"/>
    <w:rsid w:val="47B6610C"/>
    <w:rsid w:val="47B92145"/>
    <w:rsid w:val="47C21858"/>
    <w:rsid w:val="47D752E9"/>
    <w:rsid w:val="47DF240C"/>
    <w:rsid w:val="47E9724A"/>
    <w:rsid w:val="481C65CB"/>
    <w:rsid w:val="48247685"/>
    <w:rsid w:val="482C115A"/>
    <w:rsid w:val="482C1B4D"/>
    <w:rsid w:val="483D4840"/>
    <w:rsid w:val="48483612"/>
    <w:rsid w:val="48566DAF"/>
    <w:rsid w:val="48873598"/>
    <w:rsid w:val="4899226D"/>
    <w:rsid w:val="48AD3EA2"/>
    <w:rsid w:val="48BA1C22"/>
    <w:rsid w:val="48D01466"/>
    <w:rsid w:val="48E340AE"/>
    <w:rsid w:val="48EC28A3"/>
    <w:rsid w:val="48FB42EF"/>
    <w:rsid w:val="49485F1B"/>
    <w:rsid w:val="4973500F"/>
    <w:rsid w:val="49834DF3"/>
    <w:rsid w:val="498505AF"/>
    <w:rsid w:val="49921A9D"/>
    <w:rsid w:val="49AB685C"/>
    <w:rsid w:val="49D5288C"/>
    <w:rsid w:val="49D91DE5"/>
    <w:rsid w:val="49EE2A00"/>
    <w:rsid w:val="49FB423D"/>
    <w:rsid w:val="4A1C2F41"/>
    <w:rsid w:val="4A6D0765"/>
    <w:rsid w:val="4A956340"/>
    <w:rsid w:val="4A9F43D9"/>
    <w:rsid w:val="4AB05398"/>
    <w:rsid w:val="4AB7313D"/>
    <w:rsid w:val="4AFB2C5A"/>
    <w:rsid w:val="4B0D42CB"/>
    <w:rsid w:val="4B441CB2"/>
    <w:rsid w:val="4B461068"/>
    <w:rsid w:val="4B9D0613"/>
    <w:rsid w:val="4B9E375C"/>
    <w:rsid w:val="4BD602F2"/>
    <w:rsid w:val="4BE34975"/>
    <w:rsid w:val="4C1E7BA8"/>
    <w:rsid w:val="4C2A666F"/>
    <w:rsid w:val="4C2D5BE2"/>
    <w:rsid w:val="4C3E4D3A"/>
    <w:rsid w:val="4C4A5321"/>
    <w:rsid w:val="4C59553D"/>
    <w:rsid w:val="4C6300AA"/>
    <w:rsid w:val="4CB216D9"/>
    <w:rsid w:val="4CC54F5D"/>
    <w:rsid w:val="4CD178D6"/>
    <w:rsid w:val="4CE15AA5"/>
    <w:rsid w:val="4CEB096E"/>
    <w:rsid w:val="4CF61714"/>
    <w:rsid w:val="4D0C6B88"/>
    <w:rsid w:val="4D0C78CF"/>
    <w:rsid w:val="4D2C0E58"/>
    <w:rsid w:val="4D403B71"/>
    <w:rsid w:val="4D6363BA"/>
    <w:rsid w:val="4D79264A"/>
    <w:rsid w:val="4D947109"/>
    <w:rsid w:val="4D9A4A04"/>
    <w:rsid w:val="4DA04208"/>
    <w:rsid w:val="4DB91345"/>
    <w:rsid w:val="4DBE246C"/>
    <w:rsid w:val="4DD86643"/>
    <w:rsid w:val="4DE770E6"/>
    <w:rsid w:val="4DFC06B3"/>
    <w:rsid w:val="4E091B04"/>
    <w:rsid w:val="4E0C317F"/>
    <w:rsid w:val="4E116425"/>
    <w:rsid w:val="4E2857C5"/>
    <w:rsid w:val="4E4C6E11"/>
    <w:rsid w:val="4E6071AA"/>
    <w:rsid w:val="4E6D787C"/>
    <w:rsid w:val="4E8700BE"/>
    <w:rsid w:val="4EB113FB"/>
    <w:rsid w:val="4EB4216F"/>
    <w:rsid w:val="4ED86C35"/>
    <w:rsid w:val="4EEB482D"/>
    <w:rsid w:val="4F111E0D"/>
    <w:rsid w:val="4F293C72"/>
    <w:rsid w:val="4F2A371B"/>
    <w:rsid w:val="4F333858"/>
    <w:rsid w:val="4F460DE2"/>
    <w:rsid w:val="4F945908"/>
    <w:rsid w:val="4FB62BF3"/>
    <w:rsid w:val="4FC21359"/>
    <w:rsid w:val="4FC40882"/>
    <w:rsid w:val="4FD86DCF"/>
    <w:rsid w:val="50586EC8"/>
    <w:rsid w:val="505A77E4"/>
    <w:rsid w:val="505D1176"/>
    <w:rsid w:val="50692377"/>
    <w:rsid w:val="506D259F"/>
    <w:rsid w:val="507508D7"/>
    <w:rsid w:val="50883AA1"/>
    <w:rsid w:val="50934066"/>
    <w:rsid w:val="509E0B10"/>
    <w:rsid w:val="50B46C20"/>
    <w:rsid w:val="50BB1A95"/>
    <w:rsid w:val="50C64592"/>
    <w:rsid w:val="50E004E6"/>
    <w:rsid w:val="50E22CF5"/>
    <w:rsid w:val="50F92150"/>
    <w:rsid w:val="51083839"/>
    <w:rsid w:val="512137C3"/>
    <w:rsid w:val="51286640"/>
    <w:rsid w:val="51452E25"/>
    <w:rsid w:val="51604A17"/>
    <w:rsid w:val="51685BC2"/>
    <w:rsid w:val="516C757B"/>
    <w:rsid w:val="51786173"/>
    <w:rsid w:val="518209A6"/>
    <w:rsid w:val="518915FA"/>
    <w:rsid w:val="51A83287"/>
    <w:rsid w:val="51A87CDC"/>
    <w:rsid w:val="51BF6A20"/>
    <w:rsid w:val="51C51FAF"/>
    <w:rsid w:val="51C95CAC"/>
    <w:rsid w:val="51CD5921"/>
    <w:rsid w:val="51D43869"/>
    <w:rsid w:val="51EC77FE"/>
    <w:rsid w:val="51F31E45"/>
    <w:rsid w:val="52133030"/>
    <w:rsid w:val="523E4ECE"/>
    <w:rsid w:val="52493F4B"/>
    <w:rsid w:val="52531D34"/>
    <w:rsid w:val="52605D46"/>
    <w:rsid w:val="5284428B"/>
    <w:rsid w:val="529043C2"/>
    <w:rsid w:val="52B92A6A"/>
    <w:rsid w:val="52B9564E"/>
    <w:rsid w:val="52B9655D"/>
    <w:rsid w:val="52C67406"/>
    <w:rsid w:val="5311687F"/>
    <w:rsid w:val="533027EE"/>
    <w:rsid w:val="5360108F"/>
    <w:rsid w:val="536A5F90"/>
    <w:rsid w:val="53820475"/>
    <w:rsid w:val="538D34EE"/>
    <w:rsid w:val="53903F62"/>
    <w:rsid w:val="53934CA5"/>
    <w:rsid w:val="539379ED"/>
    <w:rsid w:val="53B97C49"/>
    <w:rsid w:val="53F43305"/>
    <w:rsid w:val="540768B3"/>
    <w:rsid w:val="546B5A56"/>
    <w:rsid w:val="54802550"/>
    <w:rsid w:val="54813E9E"/>
    <w:rsid w:val="54914A10"/>
    <w:rsid w:val="54923ACF"/>
    <w:rsid w:val="549A1E61"/>
    <w:rsid w:val="54C167D9"/>
    <w:rsid w:val="54C50697"/>
    <w:rsid w:val="54C53BD7"/>
    <w:rsid w:val="54E278C9"/>
    <w:rsid w:val="55033BBA"/>
    <w:rsid w:val="55131342"/>
    <w:rsid w:val="5516106C"/>
    <w:rsid w:val="55254968"/>
    <w:rsid w:val="554300D4"/>
    <w:rsid w:val="554653F3"/>
    <w:rsid w:val="5551200A"/>
    <w:rsid w:val="55632765"/>
    <w:rsid w:val="55727683"/>
    <w:rsid w:val="55741EC8"/>
    <w:rsid w:val="557630E5"/>
    <w:rsid w:val="55841D62"/>
    <w:rsid w:val="558879FE"/>
    <w:rsid w:val="558A2919"/>
    <w:rsid w:val="55A53F16"/>
    <w:rsid w:val="55A55570"/>
    <w:rsid w:val="55A81288"/>
    <w:rsid w:val="55BC6F3F"/>
    <w:rsid w:val="55C0663E"/>
    <w:rsid w:val="55C8213D"/>
    <w:rsid w:val="55C847AC"/>
    <w:rsid w:val="55EE6CD0"/>
    <w:rsid w:val="56036739"/>
    <w:rsid w:val="56093B05"/>
    <w:rsid w:val="561E4C80"/>
    <w:rsid w:val="56383BE0"/>
    <w:rsid w:val="563873C4"/>
    <w:rsid w:val="56625AA7"/>
    <w:rsid w:val="566A2DF5"/>
    <w:rsid w:val="56791E93"/>
    <w:rsid w:val="56820265"/>
    <w:rsid w:val="568B589B"/>
    <w:rsid w:val="568F01E4"/>
    <w:rsid w:val="56A10EED"/>
    <w:rsid w:val="56A619D5"/>
    <w:rsid w:val="56B90A7A"/>
    <w:rsid w:val="56C17998"/>
    <w:rsid w:val="56CC41F3"/>
    <w:rsid w:val="56D00511"/>
    <w:rsid w:val="56DA079C"/>
    <w:rsid w:val="56DB436E"/>
    <w:rsid w:val="571430F7"/>
    <w:rsid w:val="57254E2A"/>
    <w:rsid w:val="57297767"/>
    <w:rsid w:val="572B1EDA"/>
    <w:rsid w:val="572F197E"/>
    <w:rsid w:val="5738605F"/>
    <w:rsid w:val="574C33A8"/>
    <w:rsid w:val="57807C63"/>
    <w:rsid w:val="57904C44"/>
    <w:rsid w:val="57AB0CF2"/>
    <w:rsid w:val="57D43D37"/>
    <w:rsid w:val="57D90904"/>
    <w:rsid w:val="57E13F6F"/>
    <w:rsid w:val="57E236FE"/>
    <w:rsid w:val="57EE1782"/>
    <w:rsid w:val="57FC2A85"/>
    <w:rsid w:val="5808692D"/>
    <w:rsid w:val="58280839"/>
    <w:rsid w:val="582A5B56"/>
    <w:rsid w:val="582C08A7"/>
    <w:rsid w:val="58355F4E"/>
    <w:rsid w:val="58564F28"/>
    <w:rsid w:val="58581618"/>
    <w:rsid w:val="58706A3A"/>
    <w:rsid w:val="588E0913"/>
    <w:rsid w:val="58A61818"/>
    <w:rsid w:val="58C06643"/>
    <w:rsid w:val="58E32E4C"/>
    <w:rsid w:val="58E579C4"/>
    <w:rsid w:val="58EB7059"/>
    <w:rsid w:val="58F67745"/>
    <w:rsid w:val="59011053"/>
    <w:rsid w:val="59417637"/>
    <w:rsid w:val="595C45CC"/>
    <w:rsid w:val="596F5B31"/>
    <w:rsid w:val="59761A09"/>
    <w:rsid w:val="59786222"/>
    <w:rsid w:val="597A75AC"/>
    <w:rsid w:val="5980561C"/>
    <w:rsid w:val="59817B8C"/>
    <w:rsid w:val="598E72B8"/>
    <w:rsid w:val="59A26483"/>
    <w:rsid w:val="59A44B71"/>
    <w:rsid w:val="59AB2ED1"/>
    <w:rsid w:val="59BD77F2"/>
    <w:rsid w:val="59C867CF"/>
    <w:rsid w:val="59C96693"/>
    <w:rsid w:val="59D6767F"/>
    <w:rsid w:val="59EB1B33"/>
    <w:rsid w:val="59EB1E80"/>
    <w:rsid w:val="59EF5441"/>
    <w:rsid w:val="59F00FC3"/>
    <w:rsid w:val="5A074722"/>
    <w:rsid w:val="5A265428"/>
    <w:rsid w:val="5A291702"/>
    <w:rsid w:val="5A4735F8"/>
    <w:rsid w:val="5A69433E"/>
    <w:rsid w:val="5A6A3D5E"/>
    <w:rsid w:val="5A7A0648"/>
    <w:rsid w:val="5A7B187F"/>
    <w:rsid w:val="5A855007"/>
    <w:rsid w:val="5A8804EC"/>
    <w:rsid w:val="5A90746E"/>
    <w:rsid w:val="5ABC724F"/>
    <w:rsid w:val="5AC340A8"/>
    <w:rsid w:val="5AC64ADE"/>
    <w:rsid w:val="5ADE5CF8"/>
    <w:rsid w:val="5B02062A"/>
    <w:rsid w:val="5B2D6A7E"/>
    <w:rsid w:val="5B37122B"/>
    <w:rsid w:val="5B6F1663"/>
    <w:rsid w:val="5B8D10D0"/>
    <w:rsid w:val="5B966903"/>
    <w:rsid w:val="5B9F3EBB"/>
    <w:rsid w:val="5BA13454"/>
    <w:rsid w:val="5BE82D7C"/>
    <w:rsid w:val="5C353E18"/>
    <w:rsid w:val="5C5B76A4"/>
    <w:rsid w:val="5C6C4B26"/>
    <w:rsid w:val="5C703DEE"/>
    <w:rsid w:val="5C7C537A"/>
    <w:rsid w:val="5C822327"/>
    <w:rsid w:val="5CB07109"/>
    <w:rsid w:val="5CC2690B"/>
    <w:rsid w:val="5CFC1D8B"/>
    <w:rsid w:val="5D071531"/>
    <w:rsid w:val="5D131109"/>
    <w:rsid w:val="5D4F3589"/>
    <w:rsid w:val="5D653CA8"/>
    <w:rsid w:val="5D656DD2"/>
    <w:rsid w:val="5D67152B"/>
    <w:rsid w:val="5D93172E"/>
    <w:rsid w:val="5DA03CE0"/>
    <w:rsid w:val="5DA87473"/>
    <w:rsid w:val="5DAE1FD1"/>
    <w:rsid w:val="5DB05371"/>
    <w:rsid w:val="5DC100A8"/>
    <w:rsid w:val="5DD8499B"/>
    <w:rsid w:val="5DE410CC"/>
    <w:rsid w:val="5E0C0145"/>
    <w:rsid w:val="5E3C4805"/>
    <w:rsid w:val="5E4E12A8"/>
    <w:rsid w:val="5E7038FB"/>
    <w:rsid w:val="5E912909"/>
    <w:rsid w:val="5E980F6A"/>
    <w:rsid w:val="5E9B16F3"/>
    <w:rsid w:val="5E9D56D8"/>
    <w:rsid w:val="5EA04F83"/>
    <w:rsid w:val="5EA72458"/>
    <w:rsid w:val="5EB11B27"/>
    <w:rsid w:val="5ECA3EF9"/>
    <w:rsid w:val="5EDE4020"/>
    <w:rsid w:val="5EFB402B"/>
    <w:rsid w:val="5F2660BA"/>
    <w:rsid w:val="5F3E7176"/>
    <w:rsid w:val="5F531AF6"/>
    <w:rsid w:val="5F715EE0"/>
    <w:rsid w:val="5F7F6584"/>
    <w:rsid w:val="5FBE1B3D"/>
    <w:rsid w:val="5FC87DCF"/>
    <w:rsid w:val="5FD22F6B"/>
    <w:rsid w:val="5FD40973"/>
    <w:rsid w:val="5FD650D9"/>
    <w:rsid w:val="5FFF54B1"/>
    <w:rsid w:val="60316F22"/>
    <w:rsid w:val="60337515"/>
    <w:rsid w:val="6038116F"/>
    <w:rsid w:val="605D1CEB"/>
    <w:rsid w:val="605F0CD2"/>
    <w:rsid w:val="606409D8"/>
    <w:rsid w:val="607D37A6"/>
    <w:rsid w:val="60841071"/>
    <w:rsid w:val="608E4ECF"/>
    <w:rsid w:val="60925D93"/>
    <w:rsid w:val="609B528E"/>
    <w:rsid w:val="60A31F0E"/>
    <w:rsid w:val="60AA6E4A"/>
    <w:rsid w:val="60B85DC8"/>
    <w:rsid w:val="60B90F34"/>
    <w:rsid w:val="60BC1136"/>
    <w:rsid w:val="60D55339"/>
    <w:rsid w:val="60D859F5"/>
    <w:rsid w:val="611D1AAB"/>
    <w:rsid w:val="61565FDE"/>
    <w:rsid w:val="616144B4"/>
    <w:rsid w:val="6164322E"/>
    <w:rsid w:val="616866FA"/>
    <w:rsid w:val="617840F1"/>
    <w:rsid w:val="61923659"/>
    <w:rsid w:val="61BA7516"/>
    <w:rsid w:val="61C400B6"/>
    <w:rsid w:val="61CA17DA"/>
    <w:rsid w:val="61D62847"/>
    <w:rsid w:val="61F65DFB"/>
    <w:rsid w:val="61FF793D"/>
    <w:rsid w:val="62015EDA"/>
    <w:rsid w:val="62027CDE"/>
    <w:rsid w:val="62050162"/>
    <w:rsid w:val="620B742D"/>
    <w:rsid w:val="621C379C"/>
    <w:rsid w:val="62235D80"/>
    <w:rsid w:val="62357A1E"/>
    <w:rsid w:val="62377155"/>
    <w:rsid w:val="62461CCA"/>
    <w:rsid w:val="624B1238"/>
    <w:rsid w:val="624E3817"/>
    <w:rsid w:val="625651AE"/>
    <w:rsid w:val="62622F11"/>
    <w:rsid w:val="62691C35"/>
    <w:rsid w:val="62876324"/>
    <w:rsid w:val="62966D01"/>
    <w:rsid w:val="62983092"/>
    <w:rsid w:val="62B92C4B"/>
    <w:rsid w:val="63100684"/>
    <w:rsid w:val="63265AC9"/>
    <w:rsid w:val="6336110A"/>
    <w:rsid w:val="63486F0A"/>
    <w:rsid w:val="63611F45"/>
    <w:rsid w:val="6364702A"/>
    <w:rsid w:val="63706972"/>
    <w:rsid w:val="639335F5"/>
    <w:rsid w:val="639D1538"/>
    <w:rsid w:val="63A15192"/>
    <w:rsid w:val="63A84D21"/>
    <w:rsid w:val="63A86EC9"/>
    <w:rsid w:val="63DF02D4"/>
    <w:rsid w:val="63E833C8"/>
    <w:rsid w:val="63EF791E"/>
    <w:rsid w:val="63F21CAC"/>
    <w:rsid w:val="64055990"/>
    <w:rsid w:val="640D5E71"/>
    <w:rsid w:val="64263560"/>
    <w:rsid w:val="6427160C"/>
    <w:rsid w:val="64395958"/>
    <w:rsid w:val="64485BB7"/>
    <w:rsid w:val="644B5B60"/>
    <w:rsid w:val="645425F2"/>
    <w:rsid w:val="647F5C78"/>
    <w:rsid w:val="648927D5"/>
    <w:rsid w:val="649119FC"/>
    <w:rsid w:val="649C0A7F"/>
    <w:rsid w:val="64C175B3"/>
    <w:rsid w:val="64C54D8A"/>
    <w:rsid w:val="64F465AE"/>
    <w:rsid w:val="65121BE6"/>
    <w:rsid w:val="65134704"/>
    <w:rsid w:val="65174361"/>
    <w:rsid w:val="65245E25"/>
    <w:rsid w:val="652A2AA4"/>
    <w:rsid w:val="65353BA7"/>
    <w:rsid w:val="6571530C"/>
    <w:rsid w:val="657D0D19"/>
    <w:rsid w:val="658048EB"/>
    <w:rsid w:val="65853178"/>
    <w:rsid w:val="65902389"/>
    <w:rsid w:val="65910F3C"/>
    <w:rsid w:val="65B54AD5"/>
    <w:rsid w:val="65BB098D"/>
    <w:rsid w:val="65BC6B1F"/>
    <w:rsid w:val="65D23602"/>
    <w:rsid w:val="65D848FA"/>
    <w:rsid w:val="65E27C62"/>
    <w:rsid w:val="66063247"/>
    <w:rsid w:val="66115AE7"/>
    <w:rsid w:val="661527AF"/>
    <w:rsid w:val="66256754"/>
    <w:rsid w:val="6626543D"/>
    <w:rsid w:val="6627716B"/>
    <w:rsid w:val="6639538D"/>
    <w:rsid w:val="663E0072"/>
    <w:rsid w:val="665E468F"/>
    <w:rsid w:val="66731A97"/>
    <w:rsid w:val="66C52354"/>
    <w:rsid w:val="66C565F3"/>
    <w:rsid w:val="66EB429A"/>
    <w:rsid w:val="66EE56BC"/>
    <w:rsid w:val="66EF34C0"/>
    <w:rsid w:val="66F42585"/>
    <w:rsid w:val="66F73A31"/>
    <w:rsid w:val="66FA4BDC"/>
    <w:rsid w:val="67191A52"/>
    <w:rsid w:val="671B455E"/>
    <w:rsid w:val="671D4724"/>
    <w:rsid w:val="67333A75"/>
    <w:rsid w:val="674943E2"/>
    <w:rsid w:val="678477F3"/>
    <w:rsid w:val="67B300A2"/>
    <w:rsid w:val="67BE7A00"/>
    <w:rsid w:val="67DB1EBD"/>
    <w:rsid w:val="67DF20DB"/>
    <w:rsid w:val="680D251D"/>
    <w:rsid w:val="683D7945"/>
    <w:rsid w:val="683F27F4"/>
    <w:rsid w:val="685D21A8"/>
    <w:rsid w:val="686520FA"/>
    <w:rsid w:val="6873799F"/>
    <w:rsid w:val="68765D3C"/>
    <w:rsid w:val="688C5609"/>
    <w:rsid w:val="68A2039F"/>
    <w:rsid w:val="68B92688"/>
    <w:rsid w:val="68C442FA"/>
    <w:rsid w:val="68C877E1"/>
    <w:rsid w:val="68CE6AD5"/>
    <w:rsid w:val="68D32B4C"/>
    <w:rsid w:val="68ED5241"/>
    <w:rsid w:val="68F97A8A"/>
    <w:rsid w:val="691B6E2A"/>
    <w:rsid w:val="693B0ED1"/>
    <w:rsid w:val="69464388"/>
    <w:rsid w:val="694C7DE0"/>
    <w:rsid w:val="6969298D"/>
    <w:rsid w:val="696E32D5"/>
    <w:rsid w:val="696E5068"/>
    <w:rsid w:val="69711C6B"/>
    <w:rsid w:val="6975338A"/>
    <w:rsid w:val="698536CB"/>
    <w:rsid w:val="69860AB8"/>
    <w:rsid w:val="698F2D38"/>
    <w:rsid w:val="69A57C09"/>
    <w:rsid w:val="69A948ED"/>
    <w:rsid w:val="69B0084D"/>
    <w:rsid w:val="69B91191"/>
    <w:rsid w:val="69DA33C6"/>
    <w:rsid w:val="69EB1906"/>
    <w:rsid w:val="69FA19C4"/>
    <w:rsid w:val="6A035916"/>
    <w:rsid w:val="6A1E2B6C"/>
    <w:rsid w:val="6A35168B"/>
    <w:rsid w:val="6A3F552D"/>
    <w:rsid w:val="6A413A0A"/>
    <w:rsid w:val="6A43362E"/>
    <w:rsid w:val="6A5837B5"/>
    <w:rsid w:val="6A6809E4"/>
    <w:rsid w:val="6A702D1A"/>
    <w:rsid w:val="6A734D74"/>
    <w:rsid w:val="6A781F6A"/>
    <w:rsid w:val="6A9D2815"/>
    <w:rsid w:val="6ACB36C4"/>
    <w:rsid w:val="6AFB0C56"/>
    <w:rsid w:val="6B104088"/>
    <w:rsid w:val="6B2E0520"/>
    <w:rsid w:val="6B2E249B"/>
    <w:rsid w:val="6B30116F"/>
    <w:rsid w:val="6B3578B6"/>
    <w:rsid w:val="6B4A6E00"/>
    <w:rsid w:val="6B680591"/>
    <w:rsid w:val="6B6B082E"/>
    <w:rsid w:val="6B6E2E00"/>
    <w:rsid w:val="6B6F15CE"/>
    <w:rsid w:val="6B745479"/>
    <w:rsid w:val="6B7458CD"/>
    <w:rsid w:val="6B7A693F"/>
    <w:rsid w:val="6B813087"/>
    <w:rsid w:val="6B8A20D5"/>
    <w:rsid w:val="6BA212B8"/>
    <w:rsid w:val="6BA4612F"/>
    <w:rsid w:val="6BB24D86"/>
    <w:rsid w:val="6BC33257"/>
    <w:rsid w:val="6BCE3A2C"/>
    <w:rsid w:val="6BCF4EEB"/>
    <w:rsid w:val="6BD67D00"/>
    <w:rsid w:val="6BDE348C"/>
    <w:rsid w:val="6BE0041E"/>
    <w:rsid w:val="6BE10147"/>
    <w:rsid w:val="6BE94E0D"/>
    <w:rsid w:val="6BF8768B"/>
    <w:rsid w:val="6C0A3BB0"/>
    <w:rsid w:val="6C1C37F0"/>
    <w:rsid w:val="6C207E79"/>
    <w:rsid w:val="6C2D2344"/>
    <w:rsid w:val="6C341F1C"/>
    <w:rsid w:val="6C5D7211"/>
    <w:rsid w:val="6C9A2B78"/>
    <w:rsid w:val="6CA527DC"/>
    <w:rsid w:val="6CB95966"/>
    <w:rsid w:val="6CBD049D"/>
    <w:rsid w:val="6CD76050"/>
    <w:rsid w:val="6CDA60C5"/>
    <w:rsid w:val="6CEB5175"/>
    <w:rsid w:val="6CEF2E9B"/>
    <w:rsid w:val="6CFC7348"/>
    <w:rsid w:val="6D22762C"/>
    <w:rsid w:val="6D3D38E5"/>
    <w:rsid w:val="6D3D59DD"/>
    <w:rsid w:val="6D592EA5"/>
    <w:rsid w:val="6D5E57E9"/>
    <w:rsid w:val="6D7620E4"/>
    <w:rsid w:val="6D7670AC"/>
    <w:rsid w:val="6D9A77CB"/>
    <w:rsid w:val="6DD30D5D"/>
    <w:rsid w:val="6DEE254B"/>
    <w:rsid w:val="6DF00B75"/>
    <w:rsid w:val="6E2C72C2"/>
    <w:rsid w:val="6E2D2622"/>
    <w:rsid w:val="6E2E57CD"/>
    <w:rsid w:val="6E40135F"/>
    <w:rsid w:val="6E865F1C"/>
    <w:rsid w:val="6E901E19"/>
    <w:rsid w:val="6E965C2E"/>
    <w:rsid w:val="6E9740E1"/>
    <w:rsid w:val="6E9D5013"/>
    <w:rsid w:val="6E9E40AE"/>
    <w:rsid w:val="6EA53D37"/>
    <w:rsid w:val="6EB06658"/>
    <w:rsid w:val="6EBF5F71"/>
    <w:rsid w:val="6EDD7C4A"/>
    <w:rsid w:val="6EE97AEB"/>
    <w:rsid w:val="6EFC51E3"/>
    <w:rsid w:val="6F147FC1"/>
    <w:rsid w:val="6F294527"/>
    <w:rsid w:val="6F464F35"/>
    <w:rsid w:val="6F4B2E60"/>
    <w:rsid w:val="6F501700"/>
    <w:rsid w:val="6F612D43"/>
    <w:rsid w:val="6F6406C6"/>
    <w:rsid w:val="6F736686"/>
    <w:rsid w:val="6F7466D0"/>
    <w:rsid w:val="6FA029B1"/>
    <w:rsid w:val="6FC32419"/>
    <w:rsid w:val="6FC52A36"/>
    <w:rsid w:val="6FD0607A"/>
    <w:rsid w:val="6FE31FA8"/>
    <w:rsid w:val="6FF269B5"/>
    <w:rsid w:val="700E1D74"/>
    <w:rsid w:val="700F1AFB"/>
    <w:rsid w:val="701D0590"/>
    <w:rsid w:val="70670646"/>
    <w:rsid w:val="70696500"/>
    <w:rsid w:val="706B16C6"/>
    <w:rsid w:val="706E6266"/>
    <w:rsid w:val="707A0DD5"/>
    <w:rsid w:val="708732C3"/>
    <w:rsid w:val="708F760E"/>
    <w:rsid w:val="70B82D87"/>
    <w:rsid w:val="70C16305"/>
    <w:rsid w:val="70CA1090"/>
    <w:rsid w:val="70D41A72"/>
    <w:rsid w:val="70D947E1"/>
    <w:rsid w:val="70EC5DDE"/>
    <w:rsid w:val="7112679E"/>
    <w:rsid w:val="712121C3"/>
    <w:rsid w:val="712972BE"/>
    <w:rsid w:val="713364D2"/>
    <w:rsid w:val="71390879"/>
    <w:rsid w:val="71433590"/>
    <w:rsid w:val="717A6BC0"/>
    <w:rsid w:val="71950F81"/>
    <w:rsid w:val="71BE0470"/>
    <w:rsid w:val="71E20F26"/>
    <w:rsid w:val="71EA7B61"/>
    <w:rsid w:val="71F65A9E"/>
    <w:rsid w:val="72115342"/>
    <w:rsid w:val="72115C2D"/>
    <w:rsid w:val="721D1761"/>
    <w:rsid w:val="722D03FB"/>
    <w:rsid w:val="72317A27"/>
    <w:rsid w:val="72556A76"/>
    <w:rsid w:val="725D5411"/>
    <w:rsid w:val="725F6099"/>
    <w:rsid w:val="72755607"/>
    <w:rsid w:val="727B4463"/>
    <w:rsid w:val="728903FA"/>
    <w:rsid w:val="728E6723"/>
    <w:rsid w:val="729C5DE0"/>
    <w:rsid w:val="72A13D06"/>
    <w:rsid w:val="72C55586"/>
    <w:rsid w:val="72D077AE"/>
    <w:rsid w:val="72E8072D"/>
    <w:rsid w:val="73134D9A"/>
    <w:rsid w:val="733A4AF1"/>
    <w:rsid w:val="73467753"/>
    <w:rsid w:val="7354572F"/>
    <w:rsid w:val="736B6FC6"/>
    <w:rsid w:val="73885FDF"/>
    <w:rsid w:val="73B53D14"/>
    <w:rsid w:val="73BF65C4"/>
    <w:rsid w:val="74137741"/>
    <w:rsid w:val="743708EA"/>
    <w:rsid w:val="7439421E"/>
    <w:rsid w:val="744B1EE1"/>
    <w:rsid w:val="744D459C"/>
    <w:rsid w:val="745E707D"/>
    <w:rsid w:val="747E5F53"/>
    <w:rsid w:val="749050E0"/>
    <w:rsid w:val="749A63B4"/>
    <w:rsid w:val="74A53C54"/>
    <w:rsid w:val="74A8454D"/>
    <w:rsid w:val="74AC675F"/>
    <w:rsid w:val="74CF7D75"/>
    <w:rsid w:val="74E67196"/>
    <w:rsid w:val="74FD6AA7"/>
    <w:rsid w:val="7569026F"/>
    <w:rsid w:val="756920F3"/>
    <w:rsid w:val="756B36E8"/>
    <w:rsid w:val="75B359B3"/>
    <w:rsid w:val="75DD62C7"/>
    <w:rsid w:val="75E3592D"/>
    <w:rsid w:val="75EE3544"/>
    <w:rsid w:val="75F40CE4"/>
    <w:rsid w:val="76450B0F"/>
    <w:rsid w:val="76570DBC"/>
    <w:rsid w:val="766A6731"/>
    <w:rsid w:val="766F76CA"/>
    <w:rsid w:val="76B21BF3"/>
    <w:rsid w:val="76D31AC8"/>
    <w:rsid w:val="76EE11E2"/>
    <w:rsid w:val="76F174CF"/>
    <w:rsid w:val="76F34823"/>
    <w:rsid w:val="76F61031"/>
    <w:rsid w:val="773D55E5"/>
    <w:rsid w:val="77647259"/>
    <w:rsid w:val="777439BC"/>
    <w:rsid w:val="77772181"/>
    <w:rsid w:val="77837733"/>
    <w:rsid w:val="77885F57"/>
    <w:rsid w:val="778E313C"/>
    <w:rsid w:val="779E288C"/>
    <w:rsid w:val="77B36FF3"/>
    <w:rsid w:val="77B44FB4"/>
    <w:rsid w:val="77CD081F"/>
    <w:rsid w:val="77D575CC"/>
    <w:rsid w:val="77DA10A0"/>
    <w:rsid w:val="77E54ABF"/>
    <w:rsid w:val="77ED4700"/>
    <w:rsid w:val="77F033C9"/>
    <w:rsid w:val="782D15D9"/>
    <w:rsid w:val="7830159C"/>
    <w:rsid w:val="783528FF"/>
    <w:rsid w:val="78434CF9"/>
    <w:rsid w:val="787538C0"/>
    <w:rsid w:val="787C31FB"/>
    <w:rsid w:val="78811E8D"/>
    <w:rsid w:val="789659CB"/>
    <w:rsid w:val="78AC6242"/>
    <w:rsid w:val="78B500B2"/>
    <w:rsid w:val="78DF3787"/>
    <w:rsid w:val="78E16925"/>
    <w:rsid w:val="78F25397"/>
    <w:rsid w:val="78F56274"/>
    <w:rsid w:val="791B5C16"/>
    <w:rsid w:val="79206E8E"/>
    <w:rsid w:val="7922333C"/>
    <w:rsid w:val="792715D5"/>
    <w:rsid w:val="792A6954"/>
    <w:rsid w:val="795F1258"/>
    <w:rsid w:val="796C6412"/>
    <w:rsid w:val="799534A9"/>
    <w:rsid w:val="79996723"/>
    <w:rsid w:val="79CA2DF6"/>
    <w:rsid w:val="79CE3AC4"/>
    <w:rsid w:val="79E26208"/>
    <w:rsid w:val="79E301B1"/>
    <w:rsid w:val="79EE62A1"/>
    <w:rsid w:val="79F87504"/>
    <w:rsid w:val="7A1746C2"/>
    <w:rsid w:val="7A27168D"/>
    <w:rsid w:val="7A2B2EEA"/>
    <w:rsid w:val="7A35757B"/>
    <w:rsid w:val="7A3C3CD7"/>
    <w:rsid w:val="7A4B5428"/>
    <w:rsid w:val="7A61566C"/>
    <w:rsid w:val="7A6660F8"/>
    <w:rsid w:val="7A71159C"/>
    <w:rsid w:val="7A824C01"/>
    <w:rsid w:val="7A846C78"/>
    <w:rsid w:val="7A97325F"/>
    <w:rsid w:val="7AAA2F92"/>
    <w:rsid w:val="7AC563DE"/>
    <w:rsid w:val="7AC66D9D"/>
    <w:rsid w:val="7AD075E9"/>
    <w:rsid w:val="7ADF2E10"/>
    <w:rsid w:val="7B0253FD"/>
    <w:rsid w:val="7B3942E4"/>
    <w:rsid w:val="7B487605"/>
    <w:rsid w:val="7B662B77"/>
    <w:rsid w:val="7B750BD8"/>
    <w:rsid w:val="7B7D32A4"/>
    <w:rsid w:val="7BA7127F"/>
    <w:rsid w:val="7BB92F4D"/>
    <w:rsid w:val="7BBB2086"/>
    <w:rsid w:val="7BC13C07"/>
    <w:rsid w:val="7BED0E50"/>
    <w:rsid w:val="7BED198A"/>
    <w:rsid w:val="7C136099"/>
    <w:rsid w:val="7C1B3CD7"/>
    <w:rsid w:val="7C224351"/>
    <w:rsid w:val="7C2B3C5E"/>
    <w:rsid w:val="7C5B389B"/>
    <w:rsid w:val="7C65387A"/>
    <w:rsid w:val="7C736A26"/>
    <w:rsid w:val="7C7F518D"/>
    <w:rsid w:val="7C9D58D5"/>
    <w:rsid w:val="7CB100B3"/>
    <w:rsid w:val="7CBA25C7"/>
    <w:rsid w:val="7CCD2495"/>
    <w:rsid w:val="7CCE351F"/>
    <w:rsid w:val="7CD1578D"/>
    <w:rsid w:val="7CE3046A"/>
    <w:rsid w:val="7CE77E1F"/>
    <w:rsid w:val="7CEB7EB4"/>
    <w:rsid w:val="7CFC7369"/>
    <w:rsid w:val="7D0779F4"/>
    <w:rsid w:val="7D0B1159"/>
    <w:rsid w:val="7D0F4829"/>
    <w:rsid w:val="7D16640A"/>
    <w:rsid w:val="7D274C00"/>
    <w:rsid w:val="7D427FE2"/>
    <w:rsid w:val="7D50321B"/>
    <w:rsid w:val="7D585044"/>
    <w:rsid w:val="7D5B6C17"/>
    <w:rsid w:val="7DB61B72"/>
    <w:rsid w:val="7DCE566B"/>
    <w:rsid w:val="7DD24CD9"/>
    <w:rsid w:val="7DD75090"/>
    <w:rsid w:val="7E09424C"/>
    <w:rsid w:val="7E38118D"/>
    <w:rsid w:val="7E3B4E83"/>
    <w:rsid w:val="7E3E0625"/>
    <w:rsid w:val="7E4B05E8"/>
    <w:rsid w:val="7E4E00D8"/>
    <w:rsid w:val="7E702CA1"/>
    <w:rsid w:val="7E7F34DA"/>
    <w:rsid w:val="7E942C26"/>
    <w:rsid w:val="7E977A48"/>
    <w:rsid w:val="7E9E108A"/>
    <w:rsid w:val="7EAE6EE7"/>
    <w:rsid w:val="7EB130E1"/>
    <w:rsid w:val="7EBD51F3"/>
    <w:rsid w:val="7EC15940"/>
    <w:rsid w:val="7ECB6346"/>
    <w:rsid w:val="7ED40881"/>
    <w:rsid w:val="7ED50303"/>
    <w:rsid w:val="7EEA0E1F"/>
    <w:rsid w:val="7EF20E16"/>
    <w:rsid w:val="7EFE08A4"/>
    <w:rsid w:val="7F0928E4"/>
    <w:rsid w:val="7F0F77D1"/>
    <w:rsid w:val="7F382028"/>
    <w:rsid w:val="7F486B16"/>
    <w:rsid w:val="7F51408F"/>
    <w:rsid w:val="7F827D81"/>
    <w:rsid w:val="7F8C1F16"/>
    <w:rsid w:val="7F903F9E"/>
    <w:rsid w:val="7FA2685B"/>
    <w:rsid w:val="7FB3006D"/>
    <w:rsid w:val="7FBC555C"/>
    <w:rsid w:val="7FC476E8"/>
    <w:rsid w:val="7FC95809"/>
    <w:rsid w:val="7FCC762A"/>
    <w:rsid w:val="7FD34D39"/>
    <w:rsid w:val="7FD51CF5"/>
    <w:rsid w:val="7FD6624D"/>
    <w:rsid w:val="7FE14E7D"/>
    <w:rsid w:val="7FE86E84"/>
    <w:rsid w:val="7FEF35E2"/>
    <w:rsid w:val="7FF85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10">
    <w:name w:val="toc 5"/>
    <w:basedOn w:val="1"/>
    <w:next w:val="1"/>
    <w:qFormat/>
    <w:uiPriority w:val="0"/>
    <w:pPr>
      <w:spacing w:line="300" w:lineRule="exact"/>
      <w:ind w:left="1680" w:leftChars="800"/>
    </w:pPr>
    <w:rPr>
      <w:rFonts w:hAnsi="宋体"/>
    </w:rPr>
  </w:style>
  <w:style w:type="paragraph" w:styleId="11">
    <w:name w:val="toc 3"/>
    <w:basedOn w:val="1"/>
    <w:next w:val="1"/>
    <w:qFormat/>
    <w:uiPriority w:val="0"/>
    <w:pPr>
      <w:spacing w:line="300" w:lineRule="exact"/>
      <w:ind w:left="840" w:leftChars="400"/>
    </w:pPr>
    <w:rPr>
      <w:rFonts w:hAnsi="宋体"/>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00" w:lineRule="exact"/>
    </w:pPr>
    <w:rPr>
      <w:rFonts w:hAnsi="宋体"/>
    </w:rPr>
  </w:style>
  <w:style w:type="paragraph" w:styleId="15">
    <w:name w:val="toc 4"/>
    <w:basedOn w:val="1"/>
    <w:next w:val="1"/>
    <w:qFormat/>
    <w:uiPriority w:val="0"/>
    <w:pPr>
      <w:spacing w:line="300" w:lineRule="exact"/>
      <w:ind w:left="1260" w:leftChars="600"/>
    </w:pPr>
    <w:rPr>
      <w:rFonts w:hAnsi="宋体"/>
    </w:rPr>
  </w:style>
  <w:style w:type="paragraph" w:styleId="16">
    <w:name w:val="footnote text"/>
    <w:basedOn w:val="1"/>
    <w:qFormat/>
    <w:uiPriority w:val="0"/>
    <w:pPr>
      <w:widowControl/>
      <w:numPr>
        <w:ilvl w:val="0"/>
        <w:numId w:val="3"/>
      </w:numPr>
      <w:autoSpaceDE w:val="0"/>
      <w:autoSpaceDN w:val="0"/>
      <w:snapToGrid/>
      <w:ind w:left="1380" w:leftChars="200" w:hanging="960" w:hangingChars="200"/>
      <w:jc w:val="both"/>
    </w:pPr>
    <w:rPr>
      <w:rFonts w:hAnsi="宋体"/>
      <w:sz w:val="15"/>
    </w:rPr>
  </w:style>
  <w:style w:type="paragraph" w:styleId="17">
    <w:name w:val="toc 6"/>
    <w:basedOn w:val="1"/>
    <w:next w:val="1"/>
    <w:qFormat/>
    <w:uiPriority w:val="0"/>
    <w:pPr>
      <w:spacing w:line="300" w:lineRule="exact"/>
      <w:ind w:left="2100" w:leftChars="1000"/>
    </w:pPr>
    <w:rPr>
      <w:rFonts w:hAnsi="宋体"/>
    </w:rPr>
  </w:style>
  <w:style w:type="paragraph" w:styleId="18">
    <w:name w:val="toc 2"/>
    <w:basedOn w:val="1"/>
    <w:next w:val="1"/>
    <w:qFormat/>
    <w:uiPriority w:val="0"/>
    <w:pPr>
      <w:spacing w:line="300" w:lineRule="exact"/>
      <w:ind w:left="420" w:leftChars="200"/>
    </w:pPr>
    <w:rPr>
      <w:rFonts w:hAnsi="宋体"/>
    </w:rPr>
  </w:style>
  <w:style w:type="paragraph" w:styleId="19">
    <w:name w:val="Normal (Web)"/>
    <w:basedOn w:val="1"/>
    <w:qFormat/>
    <w:uiPriority w:val="0"/>
    <w:rPr>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styleId="24">
    <w:name w:val="footnote reference"/>
    <w:basedOn w:val="22"/>
    <w:qFormat/>
    <w:uiPriority w:val="0"/>
    <w:rPr>
      <w:rFonts w:hint="eastAsia" w:ascii="宋体" w:hAnsi="宋体" w:eastAsia="宋体" w:cs="宋体"/>
      <w:sz w:val="18"/>
      <w:vertAlign w:val="superscript"/>
    </w:rPr>
  </w:style>
  <w:style w:type="paragraph" w:customStyle="1" w:styleId="25">
    <w:name w:val="标准文件_段"/>
    <w:qFormat/>
    <w:uiPriority w:val="0"/>
    <w:pPr>
      <w:ind w:firstLine="960" w:firstLineChars="200"/>
      <w:jc w:val="both"/>
    </w:pPr>
    <w:rPr>
      <w:rFonts w:hint="eastAsia" w:ascii="宋体" w:hAnsi="Times New Roman" w:eastAsia="宋体" w:cs="宋体"/>
      <w:sz w:val="21"/>
    </w:rPr>
  </w:style>
  <w:style w:type="paragraph" w:customStyle="1" w:styleId="26">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7">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8">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29">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0">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1">
    <w:name w:val="标准书脚_奇数页"/>
    <w:qFormat/>
    <w:uiPriority w:val="0"/>
    <w:pPr>
      <w:ind w:right="227"/>
      <w:jc w:val="right"/>
    </w:pPr>
    <w:rPr>
      <w:rFonts w:hint="eastAsia" w:ascii="宋体" w:hAnsi="Times New Roman" w:eastAsia="宋体" w:cs="宋体"/>
      <w:sz w:val="18"/>
    </w:rPr>
  </w:style>
  <w:style w:type="paragraph" w:customStyle="1" w:styleId="32">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3">
    <w:name w:val="标准书眉_偶数页"/>
    <w:next w:val="1"/>
    <w:qFormat/>
    <w:uiPriority w:val="0"/>
    <w:pPr>
      <w:spacing w:after="120"/>
    </w:pPr>
    <w:rPr>
      <w:rFonts w:hint="eastAsia" w:ascii="黑体" w:hAnsi="Times New Roman" w:eastAsia="黑体" w:cs="黑体"/>
      <w:sz w:val="21"/>
    </w:rPr>
  </w:style>
  <w:style w:type="paragraph" w:customStyle="1" w:styleId="34">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5">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6">
    <w:name w:val="发布部门"/>
    <w:next w:val="25"/>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7">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8">
    <w:name w:val="实施日期"/>
    <w:basedOn w:val="37"/>
    <w:qFormat/>
    <w:uiPriority w:val="0"/>
    <w:pPr>
      <w:framePr w:hSpace="0" w:wrap="around" w:vAnchor="page" w:hAnchor="page" w:x="7089" w:y="14176"/>
      <w:jc w:val="right"/>
    </w:pPr>
  </w:style>
  <w:style w:type="paragraph" w:customStyle="1" w:styleId="39">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0">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1">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2">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3">
    <w:name w:val="封面标准英文名称"/>
    <w:basedOn w:val="42"/>
    <w:qFormat/>
    <w:uiPriority w:val="0"/>
    <w:pPr>
      <w:widowControl w:val="0"/>
      <w:spacing w:before="410" w:line="360" w:lineRule="exact"/>
      <w:textAlignment w:val="bottom"/>
    </w:pPr>
    <w:rPr>
      <w:rFonts w:ascii="Times New Roman" w:hAnsi="Times New Roman" w:cs="Times New Roman"/>
      <w:sz w:val="28"/>
    </w:rPr>
  </w:style>
  <w:style w:type="paragraph" w:customStyle="1" w:styleId="44">
    <w:name w:val="封面一致性程度标识"/>
    <w:basedOn w:val="43"/>
    <w:qFormat/>
    <w:uiPriority w:val="0"/>
    <w:pPr>
      <w:spacing w:before="760"/>
    </w:pPr>
  </w:style>
  <w:style w:type="paragraph" w:customStyle="1" w:styleId="45">
    <w:name w:val="封面标准文稿类别"/>
    <w:basedOn w:val="44"/>
    <w:qFormat/>
    <w:uiPriority w:val="0"/>
    <w:pPr>
      <w:spacing w:before="440" w:after="160"/>
    </w:pPr>
    <w:rPr>
      <w:rFonts w:ascii="黑体" w:hAnsi="黑体" w:cs="黑体"/>
      <w:sz w:val="24"/>
    </w:rPr>
  </w:style>
  <w:style w:type="paragraph" w:customStyle="1" w:styleId="46">
    <w:name w:val="封面标准文稿编辑信息"/>
    <w:basedOn w:val="45"/>
    <w:qFormat/>
    <w:uiPriority w:val="0"/>
    <w:pPr>
      <w:spacing w:before="180" w:line="240" w:lineRule="atLeast"/>
    </w:pPr>
    <w:rPr>
      <w:sz w:val="21"/>
    </w:rPr>
  </w:style>
  <w:style w:type="paragraph" w:customStyle="1" w:styleId="47">
    <w:name w:val="封面标准文稿附件"/>
    <w:basedOn w:val="45"/>
    <w:qFormat/>
    <w:uiPriority w:val="0"/>
    <w:pPr>
      <w:spacing w:before="937" w:beforeLines="300" w:afterLines="30" w:line="240" w:lineRule="auto"/>
    </w:pPr>
    <w:rPr>
      <w:rFonts w:ascii="Times New Roman" w:hAnsi="Times New Roman" w:cs="Times New Roman"/>
      <w:b/>
      <w:sz w:val="21"/>
    </w:rPr>
  </w:style>
  <w:style w:type="paragraph" w:customStyle="1" w:styleId="48">
    <w:name w:val="其他发布部门"/>
    <w:basedOn w:val="36"/>
    <w:qFormat/>
    <w:uiPriority w:val="0"/>
    <w:pPr>
      <w:framePr w:wrap="around" w:y="15310"/>
      <w:spacing w:line="0" w:lineRule="atLeast"/>
    </w:pPr>
    <w:rPr>
      <w:rFonts w:ascii="黑体" w:hAnsi="黑体" w:eastAsia="黑体" w:cs="黑体"/>
    </w:rPr>
  </w:style>
  <w:style w:type="paragraph" w:customStyle="1" w:styleId="49">
    <w:name w:val="其他发布部门2"/>
    <w:basedOn w:val="36"/>
    <w:qFormat/>
    <w:uiPriority w:val="0"/>
    <w:pPr>
      <w:framePr w:w="7433" w:h="584" w:hRule="exact" w:hSpace="181" w:wrap="around" w:vAnchor="margin" w:hAnchor="margin" w:xAlign="center" w:y="15027"/>
      <w:spacing w:line="0" w:lineRule="atLeast"/>
    </w:pPr>
    <w:rPr>
      <w:rFonts w:ascii="黑体" w:hAnsi="黑体" w:eastAsia="黑体" w:cs="Times New Roman"/>
      <w:spacing w:val="0"/>
      <w:w w:val="100"/>
    </w:rPr>
  </w:style>
  <w:style w:type="paragraph" w:customStyle="1" w:styleId="50">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1">
    <w:name w:val="其他发布日期"/>
    <w:basedOn w:val="37"/>
    <w:qFormat/>
    <w:uiPriority w:val="0"/>
    <w:pPr>
      <w:framePr w:hSpace="0" w:wrap="around" w:vAnchor="page" w:hAnchor="page" w:x="1419" w:y="14176"/>
    </w:pPr>
  </w:style>
  <w:style w:type="paragraph" w:customStyle="1" w:styleId="52">
    <w:name w:val="其他实施日期"/>
    <w:basedOn w:val="38"/>
    <w:qFormat/>
    <w:uiPriority w:val="0"/>
  </w:style>
  <w:style w:type="paragraph" w:customStyle="1" w:styleId="53">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4">
    <w:name w:val="标准文件_目录标题"/>
    <w:basedOn w:val="1"/>
    <w:qFormat/>
    <w:uiPriority w:val="0"/>
    <w:pPr>
      <w:shd w:val="clear" w:fill="FFFFFF"/>
      <w:spacing w:after="469" w:afterLines="150"/>
      <w:jc w:val="center"/>
    </w:pPr>
    <w:rPr>
      <w:rFonts w:ascii="黑体" w:hAnsi="Times New Roman" w:eastAsia="黑体" w:cs="黑体"/>
      <w:kern w:val="0"/>
      <w:sz w:val="32"/>
    </w:rPr>
  </w:style>
  <w:style w:type="paragraph" w:customStyle="1" w:styleId="55">
    <w:name w:val="标准文件_前言、引言标题"/>
    <w:next w:val="1"/>
    <w:qFormat/>
    <w:uiPriority w:val="0"/>
    <w:pPr>
      <w:numPr>
        <w:ilvl w:val="0"/>
        <w:numId w:val="4"/>
      </w:numPr>
      <w:suppressAutoHyphens w:val="0"/>
      <w:spacing w:after="469" w:afterLines="150"/>
      <w:ind w:left="425" w:hanging="425"/>
      <w:jc w:val="center"/>
      <w:outlineLvl w:val="0"/>
    </w:pPr>
    <w:rPr>
      <w:rFonts w:hint="eastAsia" w:ascii="黑体" w:hAnsi="Times New Roman" w:eastAsia="黑体" w:cs="黑体"/>
      <w:sz w:val="32"/>
    </w:rPr>
  </w:style>
  <w:style w:type="paragraph" w:customStyle="1" w:styleId="56">
    <w:name w:val="标准文件_正文标准名称"/>
    <w:basedOn w:val="1"/>
    <w:link w:val="120"/>
    <w:qFormat/>
    <w:uiPriority w:val="0"/>
    <w:pPr>
      <w:widowControl/>
      <w:suppressAutoHyphens w:val="0"/>
      <w:spacing w:after="640" w:line="400" w:lineRule="exact"/>
      <w:jc w:val="center"/>
    </w:pPr>
    <w:rPr>
      <w:rFonts w:ascii="黑体" w:hAnsi="黑体" w:eastAsia="黑体" w:cs="黑体"/>
      <w:sz w:val="32"/>
    </w:rPr>
  </w:style>
  <w:style w:type="paragraph" w:customStyle="1" w:styleId="57">
    <w:name w:val="标准文件_一级项"/>
    <w:next w:val="25"/>
    <w:qFormat/>
    <w:uiPriority w:val="0"/>
    <w:pPr>
      <w:numPr>
        <w:ilvl w:val="0"/>
        <w:numId w:val="5"/>
      </w:numPr>
      <w:tabs>
        <w:tab w:val="left" w:pos="839"/>
      </w:tabs>
      <w:suppressAutoHyphens w:val="0"/>
      <w:ind w:left="851" w:hanging="426"/>
    </w:pPr>
    <w:rPr>
      <w:rFonts w:hint="eastAsia" w:ascii="宋体" w:hAnsi="Times New Roman" w:eastAsia="宋体" w:cs="宋体"/>
      <w:sz w:val="21"/>
    </w:rPr>
  </w:style>
  <w:style w:type="paragraph" w:customStyle="1" w:styleId="58">
    <w:name w:val="标准文件_二级项2"/>
    <w:basedOn w:val="25"/>
    <w:next w:val="25"/>
    <w:qFormat/>
    <w:uiPriority w:val="0"/>
    <w:pPr>
      <w:numPr>
        <w:ilvl w:val="1"/>
        <w:numId w:val="5"/>
      </w:numPr>
      <w:tabs>
        <w:tab w:val="left" w:pos="760"/>
        <w:tab w:val="left" w:pos="839"/>
      </w:tabs>
      <w:suppressAutoHyphens w:val="0"/>
      <w:ind w:left="1270" w:hanging="419" w:firstLineChars="0"/>
    </w:pPr>
    <w:rPr>
      <w:rFonts w:hAnsi="Times New Roman"/>
    </w:rPr>
  </w:style>
  <w:style w:type="paragraph" w:customStyle="1" w:styleId="59">
    <w:name w:val="标准文件_三级项"/>
    <w:basedOn w:val="1"/>
    <w:next w:val="25"/>
    <w:qFormat/>
    <w:uiPriority w:val="0"/>
    <w:pPr>
      <w:numPr>
        <w:ilvl w:val="2"/>
        <w:numId w:val="6"/>
      </w:numPr>
      <w:suppressAutoHyphens w:val="0"/>
      <w:spacing w:line="300" w:lineRule="exact"/>
      <w:ind w:left="1678" w:hanging="414"/>
    </w:pPr>
    <w:rPr>
      <w:rFonts w:hAnsi="+西文正文"/>
    </w:rPr>
  </w:style>
  <w:style w:type="paragraph" w:customStyle="1" w:styleId="60">
    <w:name w:val="标准文件_字母编号列项（一级）"/>
    <w:next w:val="25"/>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1">
    <w:name w:val="标准文件_数字编号列项（二级）"/>
    <w:next w:val="25"/>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2">
    <w:name w:val="标准文件_引言一级条标题"/>
    <w:basedOn w:val="25"/>
    <w:next w:val="25"/>
    <w:qFormat/>
    <w:uiPriority w:val="0"/>
    <w:pPr>
      <w:numPr>
        <w:ilvl w:val="1"/>
        <w:numId w:val="4"/>
      </w:numPr>
      <w:spacing w:before="157" w:beforeLines="50" w:after="157" w:afterLines="50"/>
    </w:pPr>
    <w:rPr>
      <w:rFonts w:ascii="黑体" w:hAnsi="黑体" w:eastAsia="黑体" w:cs="黑体"/>
    </w:rPr>
  </w:style>
  <w:style w:type="paragraph" w:customStyle="1" w:styleId="63">
    <w:name w:val="标准文件_引言二级条标题"/>
    <w:basedOn w:val="25"/>
    <w:next w:val="25"/>
    <w:qFormat/>
    <w:uiPriority w:val="0"/>
    <w:pPr>
      <w:numPr>
        <w:ilvl w:val="2"/>
        <w:numId w:val="4"/>
      </w:numPr>
      <w:spacing w:before="157" w:beforeLines="50" w:after="157" w:afterLines="50"/>
    </w:pPr>
    <w:rPr>
      <w:rFonts w:ascii="黑体" w:hAnsi="黑体" w:eastAsia="黑体" w:cs="黑体"/>
    </w:rPr>
  </w:style>
  <w:style w:type="paragraph" w:customStyle="1" w:styleId="64">
    <w:name w:val="标准文件_引言三级条标题"/>
    <w:basedOn w:val="25"/>
    <w:next w:val="25"/>
    <w:qFormat/>
    <w:uiPriority w:val="0"/>
    <w:pPr>
      <w:numPr>
        <w:ilvl w:val="3"/>
        <w:numId w:val="4"/>
      </w:numPr>
      <w:spacing w:before="157" w:beforeLines="50" w:after="157" w:afterLines="50"/>
    </w:pPr>
    <w:rPr>
      <w:rFonts w:ascii="黑体" w:hAnsi="黑体" w:eastAsia="黑体" w:cs="黑体"/>
    </w:rPr>
  </w:style>
  <w:style w:type="paragraph" w:customStyle="1" w:styleId="65">
    <w:name w:val="标准文件_引言四级条标题"/>
    <w:basedOn w:val="25"/>
    <w:next w:val="25"/>
    <w:qFormat/>
    <w:uiPriority w:val="0"/>
    <w:pPr>
      <w:numPr>
        <w:ilvl w:val="4"/>
        <w:numId w:val="4"/>
      </w:numPr>
      <w:spacing w:before="157" w:beforeLines="50" w:after="157" w:afterLines="50"/>
    </w:pPr>
    <w:rPr>
      <w:rFonts w:ascii="黑体" w:hAnsi="黑体" w:eastAsia="黑体" w:cs="黑体"/>
    </w:rPr>
  </w:style>
  <w:style w:type="paragraph" w:customStyle="1" w:styleId="66">
    <w:name w:val="标准文件_引言五级条标题"/>
    <w:basedOn w:val="25"/>
    <w:next w:val="25"/>
    <w:qFormat/>
    <w:uiPriority w:val="0"/>
    <w:pPr>
      <w:numPr>
        <w:ilvl w:val="5"/>
        <w:numId w:val="4"/>
      </w:numPr>
      <w:spacing w:before="157" w:beforeLines="50" w:after="157" w:afterLines="50"/>
    </w:pPr>
    <w:rPr>
      <w:rFonts w:ascii="黑体" w:hAnsi="黑体" w:eastAsia="黑体" w:cs="黑体"/>
    </w:rPr>
  </w:style>
  <w:style w:type="paragraph" w:customStyle="1" w:styleId="67">
    <w:name w:val="标准文件_引言一级无标题"/>
    <w:basedOn w:val="62"/>
    <w:next w:val="25"/>
    <w:qFormat/>
    <w:uiPriority w:val="0"/>
    <w:pPr>
      <w:spacing w:before="4" w:beforeLines="1" w:after="4" w:afterLines="1" w:line="276" w:lineRule="auto"/>
    </w:pPr>
    <w:rPr>
      <w:rFonts w:ascii="宋体" w:hAnsi="宋体" w:eastAsia="宋体" w:cs="宋体"/>
    </w:rPr>
  </w:style>
  <w:style w:type="paragraph" w:customStyle="1" w:styleId="68">
    <w:name w:val="标准文件_引言二级无标题"/>
    <w:basedOn w:val="63"/>
    <w:next w:val="25"/>
    <w:qFormat/>
    <w:uiPriority w:val="0"/>
    <w:pPr>
      <w:spacing w:before="4" w:beforeLines="1" w:after="4" w:afterLines="1" w:line="276" w:lineRule="auto"/>
    </w:pPr>
    <w:rPr>
      <w:rFonts w:ascii="宋体" w:hAnsi="宋体" w:eastAsia="宋体" w:cs="宋体"/>
    </w:rPr>
  </w:style>
  <w:style w:type="paragraph" w:customStyle="1" w:styleId="69">
    <w:name w:val="标准文件_引言三级无标题"/>
    <w:basedOn w:val="64"/>
    <w:next w:val="25"/>
    <w:qFormat/>
    <w:uiPriority w:val="0"/>
    <w:pPr>
      <w:spacing w:before="4" w:beforeLines="1" w:after="4" w:afterLines="1" w:line="276" w:lineRule="auto"/>
    </w:pPr>
    <w:rPr>
      <w:rFonts w:ascii="宋体" w:hAnsi="宋体" w:eastAsia="宋体" w:cs="宋体"/>
    </w:rPr>
  </w:style>
  <w:style w:type="paragraph" w:customStyle="1" w:styleId="70">
    <w:name w:val="标准文件_引言四级无标题"/>
    <w:basedOn w:val="65"/>
    <w:next w:val="25"/>
    <w:qFormat/>
    <w:uiPriority w:val="0"/>
    <w:pPr>
      <w:spacing w:before="4" w:beforeLines="1" w:after="4" w:afterLines="1" w:line="276" w:lineRule="auto"/>
    </w:pPr>
    <w:rPr>
      <w:rFonts w:ascii="宋体" w:hAnsi="宋体" w:eastAsia="宋体" w:cs="宋体"/>
    </w:rPr>
  </w:style>
  <w:style w:type="paragraph" w:customStyle="1" w:styleId="71">
    <w:name w:val="标准文件_引言五级无标题"/>
    <w:basedOn w:val="66"/>
    <w:next w:val="25"/>
    <w:qFormat/>
    <w:uiPriority w:val="0"/>
    <w:pPr>
      <w:spacing w:before="4" w:beforeLines="1" w:after="4" w:afterLines="1" w:line="276" w:lineRule="auto"/>
    </w:pPr>
    <w:rPr>
      <w:rFonts w:ascii="宋体" w:hAnsi="宋体" w:eastAsia="宋体" w:cs="宋体"/>
    </w:rPr>
  </w:style>
  <w:style w:type="paragraph" w:customStyle="1" w:styleId="72">
    <w:name w:val="标准文件_章标题"/>
    <w:next w:val="25"/>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3">
    <w:name w:val="标准文件_一级条标题"/>
    <w:basedOn w:val="72"/>
    <w:next w:val="25"/>
    <w:qFormat/>
    <w:uiPriority w:val="0"/>
    <w:pPr>
      <w:numPr>
        <w:ilvl w:val="1"/>
      </w:numPr>
      <w:spacing w:before="157" w:beforeLines="50" w:after="157" w:afterLines="50"/>
      <w:outlineLvl w:val="1"/>
    </w:pPr>
    <w:rPr>
      <w:rFonts w:hAnsi="Times New Roman"/>
    </w:rPr>
  </w:style>
  <w:style w:type="paragraph" w:customStyle="1" w:styleId="74">
    <w:name w:val="标准文件_二级条标题"/>
    <w:next w:val="25"/>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5">
    <w:name w:val="标准文件_三级条标题"/>
    <w:basedOn w:val="74"/>
    <w:next w:val="25"/>
    <w:qFormat/>
    <w:uiPriority w:val="0"/>
    <w:pPr>
      <w:numPr>
        <w:ilvl w:val="3"/>
      </w:numPr>
      <w:spacing w:before="157" w:after="157"/>
      <w:outlineLvl w:val="3"/>
    </w:pPr>
  </w:style>
  <w:style w:type="paragraph" w:customStyle="1" w:styleId="76">
    <w:name w:val="标准文件_四级条标题"/>
    <w:next w:val="25"/>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7">
    <w:name w:val="标准文件_五级条标题"/>
    <w:next w:val="25"/>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8">
    <w:name w:val="标准文件_一级无标题"/>
    <w:basedOn w:val="73"/>
    <w:qFormat/>
    <w:uiPriority w:val="0"/>
    <w:pPr>
      <w:spacing w:before="4" w:beforeLines="1" w:after="4" w:afterLines="1"/>
      <w:outlineLvl w:val="9"/>
    </w:pPr>
    <w:rPr>
      <w:rFonts w:ascii="宋体" w:hAnsi="宋体" w:eastAsia="宋体" w:cs="宋体"/>
    </w:rPr>
  </w:style>
  <w:style w:type="paragraph" w:customStyle="1" w:styleId="79">
    <w:name w:val="标准文件_二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三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四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五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术语条一"/>
    <w:basedOn w:val="78"/>
    <w:next w:val="25"/>
    <w:qFormat/>
    <w:uiPriority w:val="0"/>
    <w:pPr>
      <w:ind w:left="960" w:hanging="960" w:hangingChars="200"/>
    </w:pPr>
    <w:rPr>
      <w:rFonts w:ascii="黑体" w:hAnsi="黑体" w:eastAsia="黑体" w:cs="黑体"/>
    </w:rPr>
  </w:style>
  <w:style w:type="paragraph" w:customStyle="1" w:styleId="84">
    <w:name w:val="标准文件_术语条二"/>
    <w:basedOn w:val="79"/>
    <w:next w:val="25"/>
    <w:qFormat/>
    <w:uiPriority w:val="0"/>
    <w:pPr>
      <w:ind w:left="960" w:hanging="960" w:hangingChars="200"/>
    </w:pPr>
    <w:rPr>
      <w:rFonts w:ascii="黑体" w:hAnsi="黑体" w:eastAsia="黑体" w:cs="黑体"/>
    </w:rPr>
  </w:style>
  <w:style w:type="paragraph" w:customStyle="1" w:styleId="85">
    <w:name w:val="标准文件_术语条三"/>
    <w:basedOn w:val="80"/>
    <w:next w:val="25"/>
    <w:qFormat/>
    <w:uiPriority w:val="0"/>
    <w:pPr>
      <w:ind w:left="960" w:hanging="960" w:hangingChars="200"/>
    </w:pPr>
    <w:rPr>
      <w:rFonts w:ascii="黑体" w:hAnsi="黑体" w:eastAsia="黑体" w:cs="黑体"/>
    </w:rPr>
  </w:style>
  <w:style w:type="paragraph" w:customStyle="1" w:styleId="86">
    <w:name w:val="标准文件_术语条四"/>
    <w:basedOn w:val="81"/>
    <w:next w:val="25"/>
    <w:qFormat/>
    <w:uiPriority w:val="0"/>
    <w:pPr>
      <w:ind w:left="960" w:hanging="960" w:hangingChars="200"/>
    </w:pPr>
    <w:rPr>
      <w:rFonts w:ascii="黑体" w:hAnsi="黑体" w:eastAsia="黑体" w:cs="黑体"/>
    </w:rPr>
  </w:style>
  <w:style w:type="paragraph" w:customStyle="1" w:styleId="87">
    <w:name w:val="标准文件_术语条五"/>
    <w:basedOn w:val="82"/>
    <w:next w:val="25"/>
    <w:qFormat/>
    <w:uiPriority w:val="0"/>
    <w:pPr>
      <w:ind w:left="960" w:hanging="960" w:hangingChars="200"/>
    </w:pPr>
    <w:rPr>
      <w:rFonts w:ascii="黑体" w:hAnsi="黑体" w:eastAsia="黑体" w:cs="黑体"/>
    </w:rPr>
  </w:style>
  <w:style w:type="paragraph" w:customStyle="1" w:styleId="88">
    <w:name w:val="标准文件_附录标识"/>
    <w:basedOn w:val="1"/>
    <w:next w:val="25"/>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89">
    <w:name w:val="标准文件_附录一级条标题"/>
    <w:next w:val="25"/>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0">
    <w:name w:val="标准文件_附录二级条标题"/>
    <w:next w:val="25"/>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三级条标题"/>
    <w:next w:val="25"/>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四级条标题"/>
    <w:next w:val="25"/>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五级条标题"/>
    <w:next w:val="25"/>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一级无标题"/>
    <w:basedOn w:val="89"/>
    <w:qFormat/>
    <w:uiPriority w:val="0"/>
    <w:pPr>
      <w:spacing w:before="4" w:beforeLines="1" w:after="4" w:afterLines="1" w:line="276" w:lineRule="auto"/>
    </w:pPr>
    <w:rPr>
      <w:rFonts w:ascii="宋体" w:hAnsi="宋体" w:eastAsia="宋体" w:cs="宋体"/>
    </w:rPr>
  </w:style>
  <w:style w:type="paragraph" w:customStyle="1" w:styleId="95">
    <w:name w:val="标准文件_附录二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三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四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五级无标题"/>
    <w:basedOn w:val="93"/>
    <w:qFormat/>
    <w:uiPriority w:val="0"/>
    <w:pPr>
      <w:spacing w:before="4" w:beforeLines="1" w:after="4" w:afterLines="1" w:line="276" w:lineRule="auto"/>
    </w:pPr>
    <w:rPr>
      <w:rFonts w:ascii="宋体" w:hAnsi="宋体" w:eastAsia="宋体" w:cs="宋体"/>
    </w:rPr>
  </w:style>
  <w:style w:type="paragraph" w:customStyle="1" w:styleId="99">
    <w:name w:val="附录图标号"/>
    <w:basedOn w:val="25"/>
    <w:next w:val="25"/>
    <w:qFormat/>
    <w:uiPriority w:val="0"/>
    <w:pPr>
      <w:numPr>
        <w:ilvl w:val="0"/>
        <w:numId w:val="2"/>
      </w:numPr>
      <w:spacing w:line="14" w:lineRule="exact"/>
      <w:ind w:left="0"/>
      <w:jc w:val="center"/>
    </w:pPr>
    <w:rPr>
      <w:sz w:val="2"/>
    </w:rPr>
  </w:style>
  <w:style w:type="paragraph" w:customStyle="1" w:styleId="100">
    <w:name w:val="附录图标题"/>
    <w:next w:val="25"/>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1">
    <w:name w:val="附录表标号"/>
    <w:basedOn w:val="25"/>
    <w:next w:val="25"/>
    <w:qFormat/>
    <w:uiPriority w:val="0"/>
    <w:pPr>
      <w:numPr>
        <w:ilvl w:val="0"/>
        <w:numId w:val="9"/>
      </w:numPr>
      <w:spacing w:line="14" w:lineRule="exact"/>
      <w:ind w:left="0"/>
      <w:jc w:val="center"/>
    </w:pPr>
    <w:rPr>
      <w:sz w:val="2"/>
    </w:rPr>
  </w:style>
  <w:style w:type="paragraph" w:customStyle="1" w:styleId="102">
    <w:name w:val="附录表标题"/>
    <w:next w:val="25"/>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3">
    <w:name w:val="附录公式标号"/>
    <w:basedOn w:val="25"/>
    <w:next w:val="25"/>
    <w:qFormat/>
    <w:uiPriority w:val="0"/>
    <w:pPr>
      <w:numPr>
        <w:ilvl w:val="0"/>
        <w:numId w:val="10"/>
      </w:numPr>
      <w:spacing w:line="14" w:lineRule="exact"/>
      <w:ind w:left="425"/>
      <w:jc w:val="center"/>
    </w:pPr>
    <w:rPr>
      <w:sz w:val="2"/>
    </w:rPr>
  </w:style>
  <w:style w:type="paragraph" w:customStyle="1" w:styleId="104">
    <w:name w:val="标准文件_示例内容"/>
    <w:basedOn w:val="25"/>
    <w:qFormat/>
    <w:uiPriority w:val="0"/>
    <w:pPr>
      <w:suppressAutoHyphens w:val="0"/>
    </w:pPr>
    <w:rPr>
      <w:rFonts w:hAnsi="宋体"/>
      <w:sz w:val="18"/>
    </w:rPr>
  </w:style>
  <w:style w:type="paragraph" w:customStyle="1" w:styleId="105">
    <w:name w:val="标准文件_示例"/>
    <w:next w:val="104"/>
    <w:qFormat/>
    <w:uiPriority w:val="0"/>
    <w:pPr>
      <w:numPr>
        <w:ilvl w:val="0"/>
        <w:numId w:val="11"/>
      </w:numPr>
      <w:suppressAutoHyphens w:val="0"/>
      <w:jc w:val="both"/>
    </w:pPr>
    <w:rPr>
      <w:rFonts w:hint="eastAsia" w:ascii="宋体" w:hAnsi="宋体" w:eastAsia="宋体" w:cs="宋体"/>
      <w:sz w:val="18"/>
    </w:rPr>
  </w:style>
  <w:style w:type="paragraph" w:customStyle="1" w:styleId="106">
    <w:name w:val="标准文件_示例×"/>
    <w:basedOn w:val="1"/>
    <w:next w:val="104"/>
    <w:qFormat/>
    <w:uiPriority w:val="0"/>
    <w:pPr>
      <w:widowControl/>
      <w:numPr>
        <w:ilvl w:val="0"/>
        <w:numId w:val="12"/>
      </w:numPr>
      <w:suppressAutoHyphens w:val="0"/>
      <w:ind w:firstLine="363"/>
    </w:pPr>
    <w:rPr>
      <w:rFonts w:hAnsi="Times New Roman"/>
      <w:sz w:val="18"/>
    </w:rPr>
  </w:style>
  <w:style w:type="paragraph" w:customStyle="1" w:styleId="107">
    <w:name w:val="标准文件_注"/>
    <w:next w:val="25"/>
    <w:qFormat/>
    <w:uiPriority w:val="0"/>
    <w:pPr>
      <w:numPr>
        <w:ilvl w:val="0"/>
        <w:numId w:val="13"/>
      </w:numPr>
      <w:autoSpaceDE w:val="0"/>
      <w:autoSpaceDN w:val="0"/>
      <w:jc w:val="both"/>
    </w:pPr>
    <w:rPr>
      <w:rFonts w:hint="eastAsia" w:ascii="宋体" w:hAnsi="宋体" w:eastAsia="宋体" w:cs="宋体"/>
      <w:sz w:val="18"/>
    </w:rPr>
  </w:style>
  <w:style w:type="paragraph" w:customStyle="1" w:styleId="108">
    <w:name w:val="标准文件_注×"/>
    <w:next w:val="25"/>
    <w:qFormat/>
    <w:uiPriority w:val="0"/>
    <w:pPr>
      <w:numPr>
        <w:ilvl w:val="0"/>
        <w:numId w:val="14"/>
      </w:numPr>
      <w:jc w:val="both"/>
    </w:pPr>
    <w:rPr>
      <w:rFonts w:hint="eastAsia" w:ascii="宋体" w:hAnsi="宋体" w:eastAsia="宋体" w:cs="宋体"/>
      <w:sz w:val="18"/>
    </w:rPr>
  </w:style>
  <w:style w:type="paragraph" w:customStyle="1" w:styleId="109">
    <w:name w:val="标准文件_图表脚注"/>
    <w:basedOn w:val="1"/>
    <w:next w:val="25"/>
    <w:qFormat/>
    <w:uiPriority w:val="0"/>
    <w:pPr>
      <w:numPr>
        <w:ilvl w:val="0"/>
        <w:numId w:val="15"/>
      </w:numPr>
      <w:suppressAutoHyphens w:val="0"/>
      <w:adjustRightInd w:val="0"/>
      <w:jc w:val="left"/>
    </w:pPr>
    <w:rPr>
      <w:rFonts w:hAnsi="宋体"/>
      <w:sz w:val="18"/>
    </w:rPr>
  </w:style>
  <w:style w:type="paragraph" w:customStyle="1" w:styleId="110">
    <w:name w:val="标准文件_标准正文"/>
    <w:basedOn w:val="1"/>
    <w:next w:val="25"/>
    <w:qFormat/>
    <w:uiPriority w:val="0"/>
    <w:pPr>
      <w:ind w:firstLine="960" w:firstLineChars="200"/>
    </w:pPr>
  </w:style>
  <w:style w:type="paragraph" w:customStyle="1" w:styleId="111">
    <w:name w:val="标准文件_正文公式"/>
    <w:basedOn w:val="1"/>
    <w:next w:val="110"/>
    <w:qFormat/>
    <w:uiPriority w:val="0"/>
    <w:pPr>
      <w:tabs>
        <w:tab w:val="center" w:pos="4678"/>
        <w:tab w:val="right" w:leader="middleDot" w:pos="9355"/>
      </w:tabs>
    </w:pPr>
  </w:style>
  <w:style w:type="paragraph" w:customStyle="1" w:styleId="112">
    <w:name w:val="标准文件_表格"/>
    <w:basedOn w:val="25"/>
    <w:qFormat/>
    <w:uiPriority w:val="0"/>
    <w:pPr>
      <w:jc w:val="center"/>
    </w:pPr>
    <w:rPr>
      <w:sz w:val="18"/>
    </w:rPr>
  </w:style>
  <w:style w:type="paragraph" w:customStyle="1" w:styleId="113">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4">
    <w:name w:val="标准文件_正文表标题"/>
    <w:next w:val="25"/>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5">
    <w:name w:val="标准文件_正文图标题"/>
    <w:next w:val="25"/>
    <w:qFormat/>
    <w:uiPriority w:val="0"/>
    <w:pPr>
      <w:numPr>
        <w:ilvl w:val="0"/>
        <w:numId w:val="17"/>
      </w:numPr>
      <w:spacing w:before="157" w:beforeLines="50" w:after="157" w:afterLines="50"/>
      <w:jc w:val="center"/>
    </w:pPr>
    <w:rPr>
      <w:rFonts w:hint="eastAsia" w:ascii="黑体" w:hAnsi="黑体" w:eastAsia="黑体" w:cs="黑体"/>
      <w:sz w:val="21"/>
    </w:rPr>
  </w:style>
  <w:style w:type="paragraph" w:customStyle="1" w:styleId="116">
    <w:name w:val="标准文件_索引标题"/>
    <w:basedOn w:val="34"/>
    <w:next w:val="25"/>
    <w:qFormat/>
    <w:uiPriority w:val="0"/>
    <w:rPr>
      <w:rFonts w:hAnsi="黑体"/>
    </w:rPr>
  </w:style>
  <w:style w:type="paragraph" w:customStyle="1" w:styleId="117">
    <w:name w:val="标准文件_索引项"/>
    <w:basedOn w:val="25"/>
    <w:next w:val="25"/>
    <w:qFormat/>
    <w:uiPriority w:val="0"/>
    <w:pPr>
      <w:tabs>
        <w:tab w:val="right" w:leader="dot" w:pos="9355"/>
      </w:tabs>
      <w:autoSpaceDE w:val="0"/>
      <w:autoSpaceDN w:val="0"/>
      <w:ind w:left="177" w:hanging="177" w:hangingChars="37"/>
      <w:jc w:val="left"/>
    </w:pPr>
  </w:style>
  <w:style w:type="paragraph" w:customStyle="1" w:styleId="118">
    <w:name w:val="标准文件_索引字母"/>
    <w:next w:val="25"/>
    <w:qFormat/>
    <w:uiPriority w:val="0"/>
    <w:pPr>
      <w:jc w:val="center"/>
    </w:pPr>
    <w:rPr>
      <w:rFonts w:hint="eastAsia" w:ascii="宋体" w:hAnsi="宋体" w:eastAsia="宋体" w:cs="宋体"/>
      <w:b/>
      <w:kern w:val="2"/>
      <w:sz w:val="21"/>
    </w:rPr>
  </w:style>
  <w:style w:type="paragraph" w:customStyle="1" w:styleId="119">
    <w:name w:val="标准文件_提示"/>
    <w:basedOn w:val="1"/>
    <w:qFormat/>
    <w:uiPriority w:val="0"/>
    <w:pPr>
      <w:ind w:firstLine="960" w:firstLineChars="200"/>
    </w:pPr>
    <w:rPr>
      <w:rFonts w:ascii="黑体" w:hAnsi="黑体" w:eastAsia="黑体" w:cs="黑体"/>
    </w:rPr>
  </w:style>
  <w:style w:type="character" w:customStyle="1" w:styleId="120">
    <w:name w:val="标准文件_正文标准名称 Char"/>
    <w:link w:val="56"/>
    <w:qFormat/>
    <w:uiPriority w:val="0"/>
    <w:rPr>
      <w:rFonts w:ascii="黑体" w:hAnsi="黑体" w:eastAsia="黑体" w:cs="黑体"/>
      <w:sz w:val="32"/>
    </w:rPr>
  </w:style>
  <w:style w:type="paragraph" w:customStyle="1" w:styleId="121">
    <w:name w:val="Default"/>
    <w:qFormat/>
    <w:uiPriority w:val="0"/>
    <w:pPr>
      <w:widowControl w:val="0"/>
      <w:autoSpaceDE w:val="0"/>
      <w:autoSpaceDN w:val="0"/>
      <w:adjustRightInd w:val="0"/>
    </w:pPr>
    <w:rPr>
      <w:rFonts w:ascii="隶书" w:hAnsi="Times New Roman" w:eastAsia="隶书" w:cs="隶书"/>
      <w:color w:val="000000"/>
      <w:sz w:val="24"/>
      <w:szCs w:val="24"/>
      <w:lang w:val="en-US" w:eastAsia="zh-CN" w:bidi="ar-SA"/>
    </w:rPr>
  </w:style>
  <w:style w:type="paragraph" w:customStyle="1" w:styleId="122">
    <w:name w:val="标准文件_参考文献编号"/>
    <w:basedOn w:val="25"/>
    <w:uiPriority w:val="0"/>
    <w:pPr>
      <w:numPr>
        <w:ilvl w:val="0"/>
        <w:numId w:val="18"/>
      </w:numPr>
    </w:p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815e6-0641-48e4-a2a5-17e79c222326}"/>
        <w:style w:val=""/>
        <w:category>
          <w:name w:val="常规"/>
          <w:gallery w:val="placeholder"/>
        </w:category>
        <w:types>
          <w:type w:val="bbPlcHdr"/>
        </w:types>
        <w:behaviors>
          <w:behavior w:val="content"/>
        </w:behaviors>
        <w:description w:val=""/>
        <w:guid w:val="{07d815e6-0641-48e4-a2a5-17e79c222326}"/>
      </w:docPartPr>
      <w:docPartBody>
        <w:p>
          <w:r>
            <w:rPr>
              <w:color w:val="808080"/>
            </w:rPr>
            <w:t>单击此处输入文字。</w:t>
          </w:r>
        </w:p>
      </w:docPartBody>
    </w:docPart>
    <w:docPart>
      <w:docPartPr>
        <w:name w:val="{099cab29-b544-4622-93ea-37c1d2a1eab8}"/>
        <w:style w:val=""/>
        <w:category>
          <w:name w:val="常规"/>
          <w:gallery w:val="placeholder"/>
        </w:category>
        <w:types>
          <w:type w:val="bbPlcHdr"/>
        </w:types>
        <w:behaviors>
          <w:behavior w:val="content"/>
        </w:behaviors>
        <w:description w:val=""/>
        <w:guid w:val="{099cab29-b544-4622-93ea-37c1d2a1eab8}"/>
      </w:docPartPr>
      <w:docPartBody>
        <w:p>
          <w:r>
            <w:rPr>
              <w:color w:val="808080"/>
            </w:rPr>
            <w:t>选择一项。</w:t>
          </w:r>
        </w:p>
      </w:docPartBody>
    </w:docPart>
    <w:docPart>
      <w:docPartPr>
        <w:name w:val="{46fd2c37-0667-4fd6-b224-ddfeea109c45}"/>
        <w:style w:val=""/>
        <w:category>
          <w:name w:val="常规"/>
          <w:gallery w:val="placeholder"/>
        </w:category>
        <w:types>
          <w:type w:val="bbPlcHdr"/>
        </w:types>
        <w:behaviors>
          <w:behavior w:val="content"/>
        </w:behaviors>
        <w:description w:val=""/>
        <w:guid w:val="{46fd2c37-0667-4fd6-b224-ddfeea109c45}"/>
      </w:docPartPr>
      <w:docPartBody>
        <w:p>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13742</Words>
  <Characters>14676</Characters>
  <Lines>1</Lines>
  <Paragraphs>1</Paragraphs>
  <TotalTime>1</TotalTime>
  <ScaleCrop>false</ScaleCrop>
  <LinksUpToDate>false</LinksUpToDate>
  <CharactersWithSpaces>14850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2023-02-21T02:53:00Z</dcterms:created>
  <dc:creator>杨璇</dc:creator>
  <cp:lastModifiedBy>杨璇</cp:lastModifiedBy>
  <dcterms:modified xsi:type="dcterms:W3CDTF">2023-10-09T07:41:22Z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13EB35D816F049B4952666471682EA6C_13</vt:lpwstr>
  </property>
</Properties>
</file>