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rPr>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992" w:gutter="0"/>
          <w:cols w:space="425" w:num="1"/>
          <w:vAlign w:val="center"/>
          <w:docGrid w:type="lines" w:linePitch="312" w:charSpace="0"/>
        </w:sectPr>
      </w:pPr>
      <w:bookmarkStart w:id="0" w:name="_Toc1734"/>
      <w:bookmarkStart w:id="1" w:name="_Toc133164594"/>
      <w:bookmarkStart w:id="2" w:name="_Toc32432"/>
      <w:r>
        <w:rPr>
          <w:rFonts w:hint="eastAsia"/>
          <w:color w:val="auto"/>
        </w:rPr>
        <w:t>云南省医疗机构中药（民族药）制剂研究技术指导原则</w:t>
      </w:r>
      <w:bookmarkEnd w:id="0"/>
      <w:bookmarkEnd w:id="1"/>
      <w:bookmarkEnd w:id="2"/>
      <w:r>
        <w:rPr>
          <w:rFonts w:hint="eastAsia"/>
          <w:color w:val="auto"/>
        </w:rPr>
        <w:t>（征求意见稿）</w:t>
      </w:r>
    </w:p>
    <w:p>
      <w:pPr>
        <w:pStyle w:val="9"/>
        <w:tabs>
          <w:tab w:val="right" w:leader="dot" w:pos="8312"/>
          <w:tab w:val="clear" w:pos="8302"/>
        </w:tabs>
        <w:ind w:firstLine="640"/>
        <w:rPr>
          <w:rFonts w:ascii="黑体" w:hAnsi="黑体" w:eastAsia="黑体" w:cs="黑体"/>
          <w:color w:val="auto"/>
          <w:sz w:val="32"/>
          <w:szCs w:val="32"/>
        </w:rPr>
      </w:pPr>
      <w:r>
        <w:rPr>
          <w:rFonts w:hint="eastAsia" w:ascii="黑体" w:hAnsi="黑体" w:eastAsia="黑体" w:cs="黑体"/>
          <w:color w:val="auto"/>
          <w:sz w:val="32"/>
          <w:szCs w:val="32"/>
        </w:rPr>
        <w:t>目录</w:t>
      </w:r>
    </w:p>
    <w:p>
      <w:pPr>
        <w:pStyle w:val="9"/>
        <w:tabs>
          <w:tab w:val="right" w:leader="dot" w:pos="8312"/>
          <w:tab w:val="clear" w:pos="8302"/>
        </w:tabs>
        <w:rPr>
          <w:color w:val="auto"/>
        </w:rPr>
      </w:pPr>
      <w:r>
        <w:rPr>
          <w:color w:val="auto"/>
        </w:rPr>
        <w:fldChar w:fldCharType="begin"/>
      </w:r>
      <w:r>
        <w:rPr>
          <w:color w:val="auto"/>
        </w:rPr>
        <w:instrText xml:space="preserve">TOC \o "1-3" \h \u </w:instrText>
      </w:r>
      <w:r>
        <w:rPr>
          <w:color w:val="auto"/>
        </w:rPr>
        <w:fldChar w:fldCharType="separate"/>
      </w:r>
      <w:r>
        <w:rPr>
          <w:color w:val="auto"/>
        </w:rPr>
        <w:fldChar w:fldCharType="begin"/>
      </w:r>
      <w:r>
        <w:rPr>
          <w:color w:val="auto"/>
        </w:rPr>
        <w:instrText xml:space="preserve"> HYPERLINK \l "_Toc15771" </w:instrText>
      </w:r>
      <w:r>
        <w:rPr>
          <w:color w:val="auto"/>
        </w:rPr>
        <w:fldChar w:fldCharType="separate"/>
      </w:r>
      <w:r>
        <w:rPr>
          <w:rFonts w:hint="eastAsia"/>
          <w:color w:val="auto"/>
        </w:rPr>
        <w:t>总</w:t>
      </w:r>
      <w:r>
        <w:rPr>
          <w:color w:val="auto"/>
        </w:rPr>
        <w:t xml:space="preserve">  </w:t>
      </w:r>
      <w:r>
        <w:rPr>
          <w:rFonts w:hint="eastAsia"/>
          <w:color w:val="auto"/>
        </w:rPr>
        <w:t>则</w:t>
      </w:r>
      <w:r>
        <w:rPr>
          <w:color w:val="auto"/>
        </w:rPr>
        <w:tab/>
      </w:r>
      <w:r>
        <w:rPr>
          <w:color w:val="auto"/>
        </w:rPr>
        <w:fldChar w:fldCharType="begin"/>
      </w:r>
      <w:r>
        <w:rPr>
          <w:color w:val="auto"/>
        </w:rPr>
        <w:instrText xml:space="preserve"> PAGEREF _Toc15771 \h </w:instrText>
      </w:r>
      <w:r>
        <w:rPr>
          <w:color w:val="auto"/>
        </w:rPr>
        <w:fldChar w:fldCharType="separate"/>
      </w:r>
      <w:r>
        <w:rPr>
          <w:color w:val="auto"/>
        </w:rPr>
        <w:t>1</w:t>
      </w:r>
      <w:r>
        <w:rPr>
          <w:color w:val="auto"/>
        </w:rPr>
        <w:fldChar w:fldCharType="end"/>
      </w:r>
      <w:r>
        <w:rPr>
          <w:color w:val="auto"/>
        </w:rPr>
        <w:fldChar w:fldCharType="end"/>
      </w:r>
    </w:p>
    <w:p>
      <w:pPr>
        <w:pStyle w:val="9"/>
        <w:tabs>
          <w:tab w:val="right" w:leader="dot" w:pos="8312"/>
          <w:tab w:val="clear" w:pos="8302"/>
        </w:tabs>
        <w:rPr>
          <w:color w:val="auto"/>
        </w:rPr>
      </w:pPr>
      <w:r>
        <w:rPr>
          <w:color w:val="auto"/>
        </w:rPr>
        <w:fldChar w:fldCharType="begin"/>
      </w:r>
      <w:r>
        <w:rPr>
          <w:color w:val="auto"/>
        </w:rPr>
        <w:instrText xml:space="preserve"> HYPERLINK \l "_Toc84" </w:instrText>
      </w:r>
      <w:r>
        <w:rPr>
          <w:color w:val="auto"/>
        </w:rPr>
        <w:fldChar w:fldCharType="separate"/>
      </w:r>
      <w:r>
        <w:rPr>
          <w:rFonts w:hint="eastAsia"/>
          <w:color w:val="auto"/>
        </w:rPr>
        <w:t>制剂研究资料撰写要求</w:t>
      </w:r>
      <w:r>
        <w:rPr>
          <w:color w:val="auto"/>
        </w:rPr>
        <w:tab/>
      </w:r>
      <w:r>
        <w:rPr>
          <w:color w:val="auto"/>
        </w:rPr>
        <w:fldChar w:fldCharType="begin"/>
      </w:r>
      <w:r>
        <w:rPr>
          <w:color w:val="auto"/>
        </w:rPr>
        <w:instrText xml:space="preserve"> PAGEREF _Toc84 \h </w:instrText>
      </w:r>
      <w:r>
        <w:rPr>
          <w:color w:val="auto"/>
        </w:rPr>
        <w:fldChar w:fldCharType="separate"/>
      </w:r>
      <w:r>
        <w:rPr>
          <w:color w:val="auto"/>
        </w:rPr>
        <w:t>5</w:t>
      </w:r>
      <w:r>
        <w:rPr>
          <w:color w:val="auto"/>
        </w:rPr>
        <w:fldChar w:fldCharType="end"/>
      </w:r>
      <w:r>
        <w:rPr>
          <w:color w:val="auto"/>
        </w:rPr>
        <w:fldChar w:fldCharType="end"/>
      </w:r>
    </w:p>
    <w:p>
      <w:pPr>
        <w:pStyle w:val="9"/>
        <w:tabs>
          <w:tab w:val="right" w:leader="dot" w:pos="8312"/>
          <w:tab w:val="clear" w:pos="8302"/>
        </w:tabs>
        <w:rPr>
          <w:color w:val="auto"/>
        </w:rPr>
      </w:pPr>
      <w:r>
        <w:rPr>
          <w:color w:val="auto"/>
        </w:rPr>
        <w:fldChar w:fldCharType="begin"/>
      </w:r>
      <w:r>
        <w:rPr>
          <w:color w:val="auto"/>
        </w:rPr>
        <w:instrText xml:space="preserve"> HYPERLINK \l "_Toc1906" </w:instrText>
      </w:r>
      <w:r>
        <w:rPr>
          <w:color w:val="auto"/>
        </w:rPr>
        <w:fldChar w:fldCharType="separate"/>
      </w:r>
      <w:r>
        <w:rPr>
          <w:rFonts w:hint="eastAsia"/>
          <w:color w:val="auto"/>
        </w:rPr>
        <w:t>制剂命名原则</w:t>
      </w:r>
      <w:r>
        <w:rPr>
          <w:color w:val="auto"/>
        </w:rPr>
        <w:tab/>
      </w:r>
      <w:r>
        <w:rPr>
          <w:color w:val="auto"/>
        </w:rPr>
        <w:fldChar w:fldCharType="begin"/>
      </w:r>
      <w:r>
        <w:rPr>
          <w:color w:val="auto"/>
        </w:rPr>
        <w:instrText xml:space="preserve"> PAGEREF _Toc1906 \h </w:instrText>
      </w:r>
      <w:r>
        <w:rPr>
          <w:color w:val="auto"/>
        </w:rPr>
        <w:fldChar w:fldCharType="separate"/>
      </w:r>
      <w:r>
        <w:rPr>
          <w:color w:val="auto"/>
        </w:rPr>
        <w:t>22</w:t>
      </w:r>
      <w:r>
        <w:rPr>
          <w:color w:val="auto"/>
        </w:rPr>
        <w:fldChar w:fldCharType="end"/>
      </w:r>
      <w:r>
        <w:rPr>
          <w:color w:val="auto"/>
        </w:rPr>
        <w:fldChar w:fldCharType="end"/>
      </w:r>
    </w:p>
    <w:p>
      <w:pPr>
        <w:pStyle w:val="9"/>
        <w:tabs>
          <w:tab w:val="right" w:leader="dot" w:pos="8312"/>
          <w:tab w:val="clear" w:pos="8302"/>
        </w:tabs>
        <w:rPr>
          <w:color w:val="auto"/>
        </w:rPr>
      </w:pPr>
      <w:r>
        <w:rPr>
          <w:color w:val="auto"/>
        </w:rPr>
        <w:fldChar w:fldCharType="begin"/>
      </w:r>
      <w:r>
        <w:rPr>
          <w:color w:val="auto"/>
        </w:rPr>
        <w:instrText xml:space="preserve"> HYPERLINK \l "_Toc23340" </w:instrText>
      </w:r>
      <w:r>
        <w:rPr>
          <w:color w:val="auto"/>
        </w:rPr>
        <w:fldChar w:fldCharType="separate"/>
      </w:r>
      <w:r>
        <w:rPr>
          <w:rFonts w:hint="eastAsia"/>
          <w:color w:val="auto"/>
        </w:rPr>
        <w:t>配制工艺研究技术指导原则</w:t>
      </w:r>
      <w:r>
        <w:rPr>
          <w:color w:val="auto"/>
        </w:rPr>
        <w:tab/>
      </w:r>
      <w:r>
        <w:rPr>
          <w:color w:val="auto"/>
        </w:rPr>
        <w:fldChar w:fldCharType="begin"/>
      </w:r>
      <w:r>
        <w:rPr>
          <w:color w:val="auto"/>
        </w:rPr>
        <w:instrText xml:space="preserve"> PAGEREF _Toc23340 \h </w:instrText>
      </w:r>
      <w:r>
        <w:rPr>
          <w:color w:val="auto"/>
        </w:rPr>
        <w:fldChar w:fldCharType="separate"/>
      </w:r>
      <w:r>
        <w:rPr>
          <w:color w:val="auto"/>
        </w:rPr>
        <w:t>25</w:t>
      </w:r>
      <w:r>
        <w:rPr>
          <w:color w:val="auto"/>
        </w:rPr>
        <w:fldChar w:fldCharType="end"/>
      </w:r>
      <w:r>
        <w:rPr>
          <w:color w:val="auto"/>
        </w:rPr>
        <w:fldChar w:fldCharType="end"/>
      </w:r>
    </w:p>
    <w:p>
      <w:pPr>
        <w:pStyle w:val="9"/>
        <w:tabs>
          <w:tab w:val="right" w:leader="dot" w:pos="8312"/>
          <w:tab w:val="clear" w:pos="8302"/>
        </w:tabs>
        <w:rPr>
          <w:color w:val="auto"/>
        </w:rPr>
      </w:pPr>
      <w:r>
        <w:rPr>
          <w:color w:val="auto"/>
        </w:rPr>
        <w:fldChar w:fldCharType="begin"/>
      </w:r>
      <w:r>
        <w:rPr>
          <w:color w:val="auto"/>
        </w:rPr>
        <w:instrText xml:space="preserve"> HYPERLINK \l "_Toc24558" </w:instrText>
      </w:r>
      <w:r>
        <w:rPr>
          <w:color w:val="auto"/>
        </w:rPr>
        <w:fldChar w:fldCharType="separate"/>
      </w:r>
      <w:r>
        <w:rPr>
          <w:rFonts w:hint="eastAsia"/>
          <w:color w:val="auto"/>
        </w:rPr>
        <w:t>质量标准</w:t>
      </w:r>
      <w:r>
        <w:rPr>
          <w:color w:val="auto"/>
        </w:rPr>
        <w:t>研究技术指导原则</w:t>
      </w:r>
      <w:r>
        <w:rPr>
          <w:color w:val="auto"/>
        </w:rPr>
        <w:tab/>
      </w:r>
      <w:r>
        <w:rPr>
          <w:color w:val="auto"/>
        </w:rPr>
        <w:fldChar w:fldCharType="begin"/>
      </w:r>
      <w:r>
        <w:rPr>
          <w:color w:val="auto"/>
        </w:rPr>
        <w:instrText xml:space="preserve"> PAGEREF _Toc24558 \h </w:instrText>
      </w:r>
      <w:r>
        <w:rPr>
          <w:color w:val="auto"/>
        </w:rPr>
        <w:fldChar w:fldCharType="separate"/>
      </w:r>
      <w:r>
        <w:rPr>
          <w:color w:val="auto"/>
        </w:rPr>
        <w:t>48</w:t>
      </w:r>
      <w:r>
        <w:rPr>
          <w:color w:val="auto"/>
        </w:rPr>
        <w:fldChar w:fldCharType="end"/>
      </w:r>
      <w:r>
        <w:rPr>
          <w:color w:val="auto"/>
        </w:rPr>
        <w:fldChar w:fldCharType="end"/>
      </w:r>
    </w:p>
    <w:p>
      <w:pPr>
        <w:pStyle w:val="9"/>
        <w:tabs>
          <w:tab w:val="right" w:leader="dot" w:pos="8312"/>
          <w:tab w:val="clear" w:pos="8302"/>
        </w:tabs>
        <w:rPr>
          <w:color w:val="auto"/>
        </w:rPr>
      </w:pPr>
      <w:r>
        <w:rPr>
          <w:color w:val="auto"/>
        </w:rPr>
        <w:fldChar w:fldCharType="begin"/>
      </w:r>
      <w:r>
        <w:rPr>
          <w:color w:val="auto"/>
        </w:rPr>
        <w:instrText xml:space="preserve"> HYPERLINK \l "_Toc24645" </w:instrText>
      </w:r>
      <w:r>
        <w:rPr>
          <w:color w:val="auto"/>
        </w:rPr>
        <w:fldChar w:fldCharType="separate"/>
      </w:r>
      <w:r>
        <w:rPr>
          <w:rFonts w:hint="eastAsia"/>
          <w:color w:val="auto"/>
        </w:rPr>
        <w:t>稳定性研究技术指导原则</w:t>
      </w:r>
      <w:r>
        <w:rPr>
          <w:color w:val="auto"/>
        </w:rPr>
        <w:tab/>
      </w:r>
      <w:r>
        <w:rPr>
          <w:color w:val="auto"/>
        </w:rPr>
        <w:fldChar w:fldCharType="begin"/>
      </w:r>
      <w:r>
        <w:rPr>
          <w:color w:val="auto"/>
        </w:rPr>
        <w:instrText xml:space="preserve"> PAGEREF _Toc24645 \h </w:instrText>
      </w:r>
      <w:r>
        <w:rPr>
          <w:color w:val="auto"/>
        </w:rPr>
        <w:fldChar w:fldCharType="separate"/>
      </w:r>
      <w:r>
        <w:rPr>
          <w:color w:val="auto"/>
        </w:rPr>
        <w:t>56</w:t>
      </w:r>
      <w:r>
        <w:rPr>
          <w:color w:val="auto"/>
        </w:rPr>
        <w:fldChar w:fldCharType="end"/>
      </w:r>
      <w:r>
        <w:rPr>
          <w:color w:val="auto"/>
        </w:rPr>
        <w:fldChar w:fldCharType="end"/>
      </w:r>
    </w:p>
    <w:p>
      <w:pPr>
        <w:pStyle w:val="9"/>
        <w:tabs>
          <w:tab w:val="right" w:leader="dot" w:pos="8312"/>
          <w:tab w:val="clear" w:pos="8302"/>
        </w:tabs>
        <w:rPr>
          <w:color w:val="auto"/>
        </w:rPr>
      </w:pPr>
      <w:r>
        <w:rPr>
          <w:color w:val="auto"/>
        </w:rPr>
        <w:fldChar w:fldCharType="begin"/>
      </w:r>
      <w:r>
        <w:rPr>
          <w:color w:val="auto"/>
        </w:rPr>
        <w:instrText xml:space="preserve"> HYPERLINK \l "_Toc18457" </w:instrText>
      </w:r>
      <w:r>
        <w:rPr>
          <w:color w:val="auto"/>
        </w:rPr>
        <w:fldChar w:fldCharType="separate"/>
      </w:r>
      <w:r>
        <w:rPr>
          <w:rFonts w:hint="eastAsia"/>
          <w:color w:val="auto"/>
        </w:rPr>
        <w:t>制剂质量标准编写细则</w:t>
      </w:r>
      <w:r>
        <w:rPr>
          <w:color w:val="auto"/>
        </w:rPr>
        <w:tab/>
      </w:r>
      <w:r>
        <w:rPr>
          <w:color w:val="auto"/>
        </w:rPr>
        <w:fldChar w:fldCharType="begin"/>
      </w:r>
      <w:r>
        <w:rPr>
          <w:color w:val="auto"/>
        </w:rPr>
        <w:instrText xml:space="preserve"> PAGEREF _Toc18457 \h </w:instrText>
      </w:r>
      <w:r>
        <w:rPr>
          <w:color w:val="auto"/>
        </w:rPr>
        <w:fldChar w:fldCharType="separate"/>
      </w:r>
      <w:r>
        <w:rPr>
          <w:color w:val="auto"/>
        </w:rPr>
        <w:t>64</w:t>
      </w:r>
      <w:r>
        <w:rPr>
          <w:color w:val="auto"/>
        </w:rPr>
        <w:fldChar w:fldCharType="end"/>
      </w:r>
      <w:r>
        <w:rPr>
          <w:color w:val="auto"/>
        </w:rPr>
        <w:fldChar w:fldCharType="end"/>
      </w:r>
    </w:p>
    <w:p>
      <w:pPr>
        <w:pStyle w:val="9"/>
        <w:tabs>
          <w:tab w:val="right" w:leader="dot" w:pos="8312"/>
          <w:tab w:val="clear" w:pos="8302"/>
        </w:tabs>
        <w:rPr>
          <w:color w:val="auto"/>
        </w:rPr>
      </w:pPr>
      <w:r>
        <w:rPr>
          <w:color w:val="auto"/>
        </w:rPr>
        <w:fldChar w:fldCharType="begin"/>
      </w:r>
      <w:r>
        <w:rPr>
          <w:color w:val="auto"/>
        </w:rPr>
        <w:instrText xml:space="preserve"> HYPERLINK \l "_Toc22533" </w:instrText>
      </w:r>
      <w:r>
        <w:rPr>
          <w:color w:val="auto"/>
        </w:rPr>
        <w:fldChar w:fldCharType="separate"/>
      </w:r>
      <w:r>
        <w:rPr>
          <w:rFonts w:hint="eastAsia"/>
          <w:color w:val="auto"/>
        </w:rPr>
        <w:t>制剂</w:t>
      </w:r>
      <w:r>
        <w:rPr>
          <w:color w:val="auto"/>
        </w:rPr>
        <w:t>质量标准起草说明编写细则</w:t>
      </w:r>
      <w:r>
        <w:rPr>
          <w:color w:val="auto"/>
        </w:rPr>
        <w:tab/>
      </w:r>
      <w:r>
        <w:rPr>
          <w:color w:val="auto"/>
        </w:rPr>
        <w:fldChar w:fldCharType="begin"/>
      </w:r>
      <w:r>
        <w:rPr>
          <w:color w:val="auto"/>
        </w:rPr>
        <w:instrText xml:space="preserve"> PAGEREF _Toc22533 \h </w:instrText>
      </w:r>
      <w:r>
        <w:rPr>
          <w:color w:val="auto"/>
        </w:rPr>
        <w:fldChar w:fldCharType="separate"/>
      </w:r>
      <w:r>
        <w:rPr>
          <w:color w:val="auto"/>
        </w:rPr>
        <w:t>105</w:t>
      </w:r>
      <w:r>
        <w:rPr>
          <w:color w:val="auto"/>
        </w:rPr>
        <w:fldChar w:fldCharType="end"/>
      </w:r>
      <w:r>
        <w:rPr>
          <w:color w:val="auto"/>
        </w:rPr>
        <w:fldChar w:fldCharType="end"/>
      </w:r>
    </w:p>
    <w:p>
      <w:pPr>
        <w:pStyle w:val="9"/>
        <w:tabs>
          <w:tab w:val="right" w:leader="dot" w:pos="8312"/>
          <w:tab w:val="clear" w:pos="8302"/>
        </w:tabs>
        <w:rPr>
          <w:color w:val="auto"/>
        </w:rPr>
      </w:pPr>
      <w:r>
        <w:rPr>
          <w:color w:val="auto"/>
        </w:rPr>
        <w:fldChar w:fldCharType="begin"/>
      </w:r>
      <w:r>
        <w:rPr>
          <w:color w:val="auto"/>
        </w:rPr>
        <w:instrText xml:space="preserve"> HYPERLINK \l "_Toc3127" </w:instrText>
      </w:r>
      <w:r>
        <w:rPr>
          <w:color w:val="auto"/>
        </w:rPr>
        <w:fldChar w:fldCharType="separate"/>
      </w:r>
      <w:r>
        <w:rPr>
          <w:rFonts w:hint="eastAsia"/>
          <w:color w:val="auto"/>
        </w:rPr>
        <w:t>临床前安全性研究技术指导原则</w:t>
      </w:r>
      <w:r>
        <w:rPr>
          <w:color w:val="auto"/>
        </w:rPr>
        <w:tab/>
      </w:r>
      <w:r>
        <w:rPr>
          <w:color w:val="auto"/>
        </w:rPr>
        <w:fldChar w:fldCharType="begin"/>
      </w:r>
      <w:r>
        <w:rPr>
          <w:color w:val="auto"/>
        </w:rPr>
        <w:instrText xml:space="preserve"> PAGEREF _Toc3127 \h </w:instrText>
      </w:r>
      <w:r>
        <w:rPr>
          <w:color w:val="auto"/>
        </w:rPr>
        <w:fldChar w:fldCharType="separate"/>
      </w:r>
      <w:r>
        <w:rPr>
          <w:color w:val="auto"/>
        </w:rPr>
        <w:t>110</w:t>
      </w:r>
      <w:r>
        <w:rPr>
          <w:color w:val="auto"/>
        </w:rPr>
        <w:fldChar w:fldCharType="end"/>
      </w:r>
      <w:r>
        <w:rPr>
          <w:color w:val="auto"/>
        </w:rPr>
        <w:fldChar w:fldCharType="end"/>
      </w:r>
    </w:p>
    <w:p>
      <w:pPr>
        <w:pStyle w:val="9"/>
        <w:tabs>
          <w:tab w:val="right" w:leader="dot" w:pos="8312"/>
          <w:tab w:val="clear" w:pos="8302"/>
        </w:tabs>
        <w:rPr>
          <w:color w:val="auto"/>
        </w:rPr>
      </w:pPr>
      <w:r>
        <w:rPr>
          <w:color w:val="auto"/>
        </w:rPr>
        <w:fldChar w:fldCharType="begin"/>
      </w:r>
      <w:r>
        <w:rPr>
          <w:color w:val="auto"/>
        </w:rPr>
        <w:instrText xml:space="preserve"> HYPERLINK \l "_Toc20470" </w:instrText>
      </w:r>
      <w:r>
        <w:rPr>
          <w:color w:val="auto"/>
        </w:rPr>
        <w:fldChar w:fldCharType="separate"/>
      </w:r>
      <w:r>
        <w:rPr>
          <w:rFonts w:hint="eastAsia"/>
          <w:color w:val="auto"/>
        </w:rPr>
        <w:t>临床前药效学研究技术指导原则</w:t>
      </w:r>
      <w:r>
        <w:rPr>
          <w:color w:val="auto"/>
        </w:rPr>
        <w:tab/>
      </w:r>
      <w:r>
        <w:rPr>
          <w:color w:val="auto"/>
        </w:rPr>
        <w:fldChar w:fldCharType="begin"/>
      </w:r>
      <w:r>
        <w:rPr>
          <w:color w:val="auto"/>
        </w:rPr>
        <w:instrText xml:space="preserve"> PAGEREF _Toc20470 \h </w:instrText>
      </w:r>
      <w:r>
        <w:rPr>
          <w:color w:val="auto"/>
        </w:rPr>
        <w:fldChar w:fldCharType="separate"/>
      </w:r>
      <w:r>
        <w:rPr>
          <w:color w:val="auto"/>
        </w:rPr>
        <w:t>166</w:t>
      </w:r>
      <w:r>
        <w:rPr>
          <w:color w:val="auto"/>
        </w:rPr>
        <w:fldChar w:fldCharType="end"/>
      </w:r>
      <w:r>
        <w:rPr>
          <w:color w:val="auto"/>
        </w:rPr>
        <w:fldChar w:fldCharType="end"/>
      </w:r>
    </w:p>
    <w:p>
      <w:pPr>
        <w:pStyle w:val="9"/>
        <w:tabs>
          <w:tab w:val="right" w:leader="dot" w:pos="8312"/>
          <w:tab w:val="clear" w:pos="8302"/>
        </w:tabs>
        <w:rPr>
          <w:color w:val="auto"/>
        </w:rPr>
      </w:pPr>
      <w:r>
        <w:rPr>
          <w:color w:val="auto"/>
        </w:rPr>
        <w:fldChar w:fldCharType="begin"/>
      </w:r>
      <w:r>
        <w:rPr>
          <w:color w:val="auto"/>
        </w:rPr>
        <w:instrText xml:space="preserve"> HYPERLINK \l "_Toc234" </w:instrText>
      </w:r>
      <w:r>
        <w:rPr>
          <w:color w:val="auto"/>
        </w:rPr>
        <w:fldChar w:fldCharType="separate"/>
      </w:r>
      <w:r>
        <w:rPr>
          <w:rFonts w:hint="eastAsia"/>
          <w:color w:val="auto"/>
        </w:rPr>
        <w:t>临床研究技术指导原则</w:t>
      </w:r>
      <w:r>
        <w:rPr>
          <w:color w:val="auto"/>
        </w:rPr>
        <w:tab/>
      </w:r>
      <w:r>
        <w:rPr>
          <w:color w:val="auto"/>
        </w:rPr>
        <w:fldChar w:fldCharType="begin"/>
      </w:r>
      <w:r>
        <w:rPr>
          <w:color w:val="auto"/>
        </w:rPr>
        <w:instrText xml:space="preserve"> PAGEREF _Toc234 \h </w:instrText>
      </w:r>
      <w:r>
        <w:rPr>
          <w:color w:val="auto"/>
        </w:rPr>
        <w:fldChar w:fldCharType="separate"/>
      </w:r>
      <w:r>
        <w:rPr>
          <w:color w:val="auto"/>
        </w:rPr>
        <w:t>171</w:t>
      </w:r>
      <w:r>
        <w:rPr>
          <w:color w:val="auto"/>
        </w:rPr>
        <w:fldChar w:fldCharType="end"/>
      </w:r>
      <w:r>
        <w:rPr>
          <w:color w:val="auto"/>
        </w:rPr>
        <w:fldChar w:fldCharType="end"/>
      </w:r>
    </w:p>
    <w:p>
      <w:pPr>
        <w:ind w:firstLine="0" w:firstLineChars="0"/>
        <w:outlineLvl w:val="0"/>
        <w:rPr>
          <w:color w:val="auto"/>
        </w:rPr>
        <w:sectPr>
          <w:pgSz w:w="11906" w:h="16838"/>
          <w:pgMar w:top="1440" w:right="1797" w:bottom="1440" w:left="1797" w:header="851" w:footer="992" w:gutter="0"/>
          <w:cols w:space="425" w:num="1"/>
          <w:vAlign w:val="center"/>
          <w:docGrid w:type="lines" w:linePitch="312" w:charSpace="0"/>
        </w:sectPr>
      </w:pPr>
      <w:r>
        <w:rPr>
          <w:color w:val="auto"/>
        </w:rPr>
        <w:fldChar w:fldCharType="end"/>
      </w:r>
    </w:p>
    <w:p>
      <w:pPr>
        <w:pStyle w:val="2"/>
        <w:rPr>
          <w:color w:val="auto"/>
        </w:rPr>
      </w:pPr>
      <w:bookmarkStart w:id="3" w:name="_Toc13823"/>
      <w:bookmarkStart w:id="4" w:name="_Toc133164595"/>
      <w:bookmarkStart w:id="5" w:name="_Toc15771"/>
      <w:r>
        <w:rPr>
          <w:rFonts w:hint="eastAsia"/>
          <w:color w:val="auto"/>
        </w:rPr>
        <w:t>总</w:t>
      </w:r>
      <w:r>
        <w:rPr>
          <w:color w:val="auto"/>
        </w:rPr>
        <w:t xml:space="preserve">  </w:t>
      </w:r>
      <w:r>
        <w:rPr>
          <w:rFonts w:hint="eastAsia"/>
          <w:color w:val="auto"/>
        </w:rPr>
        <w:t>则</w:t>
      </w:r>
      <w:bookmarkEnd w:id="3"/>
      <w:bookmarkEnd w:id="4"/>
      <w:bookmarkEnd w:id="5"/>
    </w:p>
    <w:p>
      <w:pPr>
        <w:rPr>
          <w:color w:val="auto"/>
        </w:rPr>
      </w:pPr>
      <w:r>
        <w:rPr>
          <w:rFonts w:hint="eastAsia"/>
          <w:color w:val="auto"/>
        </w:rPr>
        <w:t>医疗机构中药（民族药）制剂是指医疗机构根据本单位临床需要经批准或备案而配制、固定处方的中药制剂。根据《医疗机构制剂注册管理办法》（试行）（局令第</w:t>
      </w:r>
      <w:r>
        <w:rPr>
          <w:color w:val="auto"/>
        </w:rPr>
        <w:t>20号）《云南省医疗机构制剂注册管理实施细则》和《云南省医疗机构应用传统工艺配制中药（民族药）制剂备案实施细则》以及国家药品研究相关指导原则，为指导我省医疗机构</w:t>
      </w:r>
      <w:r>
        <w:rPr>
          <w:rFonts w:hint="eastAsia"/>
          <w:color w:val="auto"/>
        </w:rPr>
        <w:t>中药（民族药）</w:t>
      </w:r>
      <w:r>
        <w:rPr>
          <w:color w:val="auto"/>
        </w:rPr>
        <w:t>制剂的研究、注册、备案及评价提供明确统一的技术要求，结合我省实际情况，特制定本指导原则。</w:t>
      </w:r>
    </w:p>
    <w:p>
      <w:pPr>
        <w:rPr>
          <w:color w:val="auto"/>
        </w:rPr>
      </w:pPr>
      <w:r>
        <w:rPr>
          <w:rFonts w:hint="eastAsia"/>
          <w:color w:val="auto"/>
        </w:rPr>
        <w:t>一、申报条件</w:t>
      </w:r>
    </w:p>
    <w:p>
      <w:pPr>
        <w:rPr>
          <w:color w:val="auto"/>
        </w:rPr>
      </w:pPr>
      <w:r>
        <w:rPr>
          <w:rFonts w:hint="eastAsia"/>
          <w:color w:val="auto"/>
        </w:rPr>
        <w:t>制剂注册（</w:t>
      </w:r>
      <w:r>
        <w:rPr>
          <w:color w:val="auto"/>
        </w:rPr>
        <w:t>备案</w:t>
      </w:r>
      <w:r>
        <w:rPr>
          <w:rFonts w:hint="eastAsia"/>
          <w:color w:val="auto"/>
        </w:rPr>
        <w:t>）</w:t>
      </w:r>
      <w:r>
        <w:rPr>
          <w:color w:val="auto"/>
        </w:rPr>
        <w:t>的申请人应当符合《医疗机构制剂注册管理办法》（试行）（局令第20号）第五条的规定。</w:t>
      </w:r>
    </w:p>
    <w:p>
      <w:pPr>
        <w:rPr>
          <w:color w:val="auto"/>
        </w:rPr>
      </w:pPr>
      <w:r>
        <w:rPr>
          <w:rFonts w:hint="eastAsia"/>
          <w:color w:val="auto"/>
        </w:rPr>
        <w:t>应用传统工艺配制中药制剂申请备案的，还应符合《云南省医疗机构应用传统工艺配制中药（民族药）制剂备案实施细则》第十九条的规定。</w:t>
      </w:r>
    </w:p>
    <w:p>
      <w:pPr>
        <w:rPr>
          <w:color w:val="auto"/>
        </w:rPr>
      </w:pPr>
      <w:r>
        <w:rPr>
          <w:rFonts w:hint="eastAsia"/>
          <w:color w:val="auto"/>
        </w:rPr>
        <w:t>二、免报范围</w:t>
      </w:r>
    </w:p>
    <w:p>
      <w:pPr>
        <w:rPr>
          <w:color w:val="auto"/>
        </w:rPr>
      </w:pPr>
      <w:r>
        <w:rPr>
          <w:rFonts w:hint="eastAsia"/>
          <w:color w:val="auto"/>
        </w:rPr>
        <w:t>（一）备案制剂</w:t>
      </w:r>
    </w:p>
    <w:p>
      <w:pPr>
        <w:rPr>
          <w:color w:val="auto"/>
        </w:rPr>
      </w:pPr>
      <w:r>
        <w:rPr>
          <w:rFonts w:hint="eastAsia"/>
          <w:color w:val="auto"/>
        </w:rPr>
        <w:t>应当符合《云南省医疗机构应用传统工艺配制中药（民族药）制剂备案实施细则》第二十二条的规定：处方在本医疗机构具有</w:t>
      </w:r>
      <w:r>
        <w:rPr>
          <w:color w:val="auto"/>
        </w:rPr>
        <w:t>5年以上（含5年）使用历史的，其制剂可免报资料项目（十四）至（十六）。有下列情形之一的需报送资料项目（十五）、（十六）：</w:t>
      </w:r>
    </w:p>
    <w:p>
      <w:pPr>
        <w:rPr>
          <w:color w:val="auto"/>
        </w:rPr>
      </w:pPr>
      <w:r>
        <w:rPr>
          <w:color w:val="auto"/>
        </w:rPr>
        <w:t>1</w:t>
      </w:r>
      <w:r>
        <w:rPr>
          <w:rFonts w:hint="eastAsia"/>
          <w:color w:val="auto"/>
        </w:rPr>
        <w:t>.</w:t>
      </w:r>
      <w:r>
        <w:rPr>
          <w:color w:val="auto"/>
        </w:rPr>
        <w:t>处方中含法定标准中标识有“剧毒”“大毒”及现代毒理学证明有明确毒性的药味；</w:t>
      </w:r>
    </w:p>
    <w:p>
      <w:pPr>
        <w:rPr>
          <w:color w:val="auto"/>
        </w:rPr>
      </w:pPr>
      <w:r>
        <w:rPr>
          <w:color w:val="auto"/>
        </w:rPr>
        <w:t>2</w:t>
      </w:r>
      <w:r>
        <w:rPr>
          <w:rFonts w:hint="eastAsia"/>
          <w:color w:val="auto"/>
        </w:rPr>
        <w:t>.</w:t>
      </w:r>
      <w:r>
        <w:rPr>
          <w:color w:val="auto"/>
        </w:rPr>
        <w:t>处方组成含有十八反、十九畏配伍禁忌；</w:t>
      </w:r>
    </w:p>
    <w:p>
      <w:pPr>
        <w:rPr>
          <w:color w:val="auto"/>
        </w:rPr>
      </w:pPr>
      <w:r>
        <w:rPr>
          <w:color w:val="auto"/>
        </w:rPr>
        <w:t>3</w:t>
      </w:r>
      <w:r>
        <w:rPr>
          <w:rFonts w:hint="eastAsia"/>
          <w:color w:val="auto"/>
        </w:rPr>
        <w:t>.</w:t>
      </w:r>
      <w:r>
        <w:rPr>
          <w:color w:val="auto"/>
        </w:rPr>
        <w:t>特殊人群用药需报送相应的安全性评价研究资料。</w:t>
      </w:r>
    </w:p>
    <w:p>
      <w:pPr>
        <w:rPr>
          <w:color w:val="auto"/>
        </w:rPr>
      </w:pPr>
      <w:r>
        <w:rPr>
          <w:rFonts w:hint="eastAsia"/>
          <w:color w:val="auto"/>
        </w:rPr>
        <w:t>（二）注册制剂</w:t>
      </w:r>
    </w:p>
    <w:p>
      <w:pPr>
        <w:rPr>
          <w:color w:val="auto"/>
        </w:rPr>
      </w:pPr>
      <w:r>
        <w:rPr>
          <w:color w:val="auto"/>
        </w:rPr>
        <w:t>1.根据中医药理论组方，利用传统工艺配制</w:t>
      </w:r>
      <w:r>
        <w:rPr>
          <w:rFonts w:hint="eastAsia"/>
          <w:color w:val="auto"/>
        </w:rPr>
        <w:t>，且</w:t>
      </w:r>
      <w:r>
        <w:rPr>
          <w:color w:val="auto"/>
        </w:rPr>
        <w:t>制剂配制过程没有使原组方中治疗疾病的物质基础发生变化的</w:t>
      </w:r>
      <w:r>
        <w:rPr>
          <w:rFonts w:hint="eastAsia"/>
          <w:color w:val="auto"/>
        </w:rPr>
        <w:t>。同时，能提供</w:t>
      </w:r>
      <w:r>
        <w:rPr>
          <w:color w:val="auto"/>
        </w:rPr>
        <w:t>该处方在本医疗机构</w:t>
      </w:r>
      <w:r>
        <w:rPr>
          <w:rFonts w:hint="eastAsia"/>
          <w:color w:val="auto"/>
        </w:rPr>
        <w:t>内</w:t>
      </w:r>
      <w:r>
        <w:rPr>
          <w:color w:val="auto"/>
        </w:rPr>
        <w:t>具有</w:t>
      </w:r>
      <w:r>
        <w:rPr>
          <w:rFonts w:hint="eastAsia"/>
          <w:color w:val="auto"/>
        </w:rPr>
        <w:t>连续</w:t>
      </w:r>
      <w:r>
        <w:rPr>
          <w:color w:val="auto"/>
        </w:rPr>
        <w:t>5年以上（含5年）</w:t>
      </w:r>
      <w:r>
        <w:rPr>
          <w:rFonts w:hint="eastAsia"/>
          <w:color w:val="auto"/>
        </w:rPr>
        <w:t>的医师处方、科研课题记录、临床使用记录等文字证明材料，并提供100例以上相对完整的临床病历。</w:t>
      </w:r>
      <w:r>
        <w:rPr>
          <w:color w:val="auto"/>
        </w:rPr>
        <w:t>可免报资料项13～17。</w:t>
      </w:r>
    </w:p>
    <w:p>
      <w:pPr>
        <w:rPr>
          <w:color w:val="auto"/>
        </w:rPr>
      </w:pPr>
      <w:r>
        <w:rPr>
          <w:color w:val="auto"/>
        </w:rPr>
        <w:t>2.来源于国医大师、国家级名中医、云南省级名中医、云南省国医名师、云南省基层名中医的固定处方以及古代经典名方，利用传统工艺配制，在</w:t>
      </w:r>
      <w:r>
        <w:rPr>
          <w:rFonts w:hint="eastAsia"/>
          <w:color w:val="auto"/>
        </w:rPr>
        <w:t>本医疗机构内连续</w:t>
      </w:r>
      <w:r>
        <w:rPr>
          <w:color w:val="auto"/>
        </w:rPr>
        <w:t>使用3年以上（含3年），且能够提供医师处方、科研课题记录、临床</w:t>
      </w:r>
      <w:r>
        <w:rPr>
          <w:rFonts w:hint="eastAsia"/>
          <w:color w:val="auto"/>
        </w:rPr>
        <w:t>使用</w:t>
      </w:r>
      <w:r>
        <w:rPr>
          <w:color w:val="auto"/>
        </w:rPr>
        <w:t>记录、诊疗手册等证明材料</w:t>
      </w:r>
      <w:r>
        <w:rPr>
          <w:rFonts w:hint="eastAsia"/>
          <w:color w:val="auto"/>
        </w:rPr>
        <w:t>及</w:t>
      </w:r>
      <w:r>
        <w:rPr>
          <w:color w:val="auto"/>
        </w:rPr>
        <w:t>6</w:t>
      </w:r>
      <w:r>
        <w:rPr>
          <w:rFonts w:hint="eastAsia"/>
          <w:color w:val="auto"/>
        </w:rPr>
        <w:t>0例以上相对完整的临床病历。</w:t>
      </w:r>
      <w:r>
        <w:rPr>
          <w:color w:val="auto"/>
        </w:rPr>
        <w:t>可以根据提供的临床资料及使用情况，免报资料项13～17。</w:t>
      </w:r>
    </w:p>
    <w:p>
      <w:pPr>
        <w:rPr>
          <w:color w:val="auto"/>
        </w:rPr>
      </w:pPr>
      <w:r>
        <w:rPr>
          <w:color w:val="auto"/>
        </w:rPr>
        <w:t>3.来源于我省少数民族地区，由省级卫生行政管理部门认定的民族医典古籍收载的经典处方，且能够提供在少数民族地区使用3年以上（含3年）、安全可靠、疗效确切的证明资料（其中病历档案不少于60例），在保持其处方、工艺不变的情况下，提供可靠的有关安全性及风险的分析评估报告，可免报资料项13～17。</w:t>
      </w:r>
    </w:p>
    <w:p>
      <w:pPr>
        <w:rPr>
          <w:color w:val="auto"/>
        </w:rPr>
      </w:pPr>
      <w:r>
        <w:rPr>
          <w:color w:val="auto"/>
        </w:rPr>
        <w:t>4.在减免13～17项资料时，如果有下列情况之一者需报送资料项目14、15：</w:t>
      </w:r>
    </w:p>
    <w:p>
      <w:pPr>
        <w:rPr>
          <w:color w:val="auto"/>
        </w:rPr>
      </w:pPr>
      <w:r>
        <w:rPr>
          <w:rFonts w:hint="eastAsia"/>
          <w:color w:val="auto"/>
        </w:rPr>
        <w:t>（</w:t>
      </w:r>
      <w:r>
        <w:rPr>
          <w:color w:val="auto"/>
        </w:rPr>
        <w:t>1）处方组成含有法定标准中标识有毒性或现代毒理学证明有毒性的药材；</w:t>
      </w:r>
    </w:p>
    <w:p>
      <w:pPr>
        <w:rPr>
          <w:color w:val="auto"/>
        </w:rPr>
      </w:pPr>
      <w:r>
        <w:rPr>
          <w:rFonts w:hint="eastAsia"/>
          <w:color w:val="auto"/>
        </w:rPr>
        <w:t>（</w:t>
      </w:r>
      <w:r>
        <w:rPr>
          <w:color w:val="auto"/>
        </w:rPr>
        <w:t>2）处方组成含有十八反、十九畏配伍禁忌；</w:t>
      </w:r>
    </w:p>
    <w:p>
      <w:pPr>
        <w:rPr>
          <w:color w:val="auto"/>
        </w:rPr>
      </w:pPr>
      <w:r>
        <w:rPr>
          <w:rFonts w:hint="eastAsia"/>
          <w:color w:val="auto"/>
        </w:rPr>
        <w:t>（</w:t>
      </w:r>
      <w:r>
        <w:rPr>
          <w:color w:val="auto"/>
        </w:rPr>
        <w:t>3）处方中的药味用量超过药品标准规定的；</w:t>
      </w:r>
    </w:p>
    <w:p>
      <w:pPr>
        <w:rPr>
          <w:color w:val="auto"/>
        </w:rPr>
      </w:pPr>
      <w:r>
        <w:rPr>
          <w:rFonts w:hint="eastAsia"/>
          <w:color w:val="auto"/>
        </w:rPr>
        <w:t>（</w:t>
      </w:r>
      <w:r>
        <w:rPr>
          <w:color w:val="auto"/>
        </w:rPr>
        <w:t>4）特殊人群用药：用于儿童、孕妇等特殊人群。</w:t>
      </w:r>
    </w:p>
    <w:p>
      <w:pPr>
        <w:rPr>
          <w:color w:val="auto"/>
        </w:rPr>
      </w:pPr>
      <w:r>
        <w:rPr>
          <w:rFonts w:hint="eastAsia"/>
          <w:color w:val="auto"/>
        </w:rPr>
        <w:t>三、相关要求</w:t>
      </w:r>
    </w:p>
    <w:p>
      <w:pPr>
        <w:rPr>
          <w:color w:val="auto"/>
        </w:rPr>
      </w:pPr>
      <w:r>
        <w:rPr>
          <w:color w:val="auto"/>
        </w:rPr>
        <w:t>1.本办法中“固定处方</w:t>
      </w:r>
      <w:r>
        <w:rPr>
          <w:rFonts w:hint="eastAsia"/>
          <w:color w:val="auto"/>
        </w:rPr>
        <w:t>中药</w:t>
      </w:r>
      <w:r>
        <w:rPr>
          <w:color w:val="auto"/>
        </w:rPr>
        <w:t>制剂”，是指制剂处方固定不变，配制工艺成熟，并且可在临床上长期使用于某一病症的制剂。</w:t>
      </w:r>
    </w:p>
    <w:p>
      <w:pPr>
        <w:rPr>
          <w:color w:val="auto"/>
        </w:rPr>
      </w:pPr>
      <w:r>
        <w:rPr>
          <w:color w:val="auto"/>
        </w:rPr>
        <w:t>2.注册</w:t>
      </w:r>
      <w:r>
        <w:rPr>
          <w:rFonts w:hint="eastAsia"/>
          <w:color w:val="auto"/>
        </w:rPr>
        <w:t>制剂</w:t>
      </w:r>
      <w:r>
        <w:rPr>
          <w:color w:val="auto"/>
        </w:rPr>
        <w:t>中“传统工艺配制”，是指配制工艺与传统工艺基本一致，包括中药饮片经粉碎或仅经水提取制成的固体、半固体和液体传统剂型、现代剂型，也包括按传统方法制成的酒剂、酊剂、膏药。（若国家法规对“传统工艺配制”有最新定义，按国家规定执行。）</w:t>
      </w:r>
    </w:p>
    <w:p>
      <w:pPr>
        <w:rPr>
          <w:color w:val="auto"/>
        </w:rPr>
      </w:pPr>
      <w:r>
        <w:rPr>
          <w:rFonts w:hint="eastAsia"/>
          <w:color w:val="auto"/>
        </w:rPr>
        <w:t>在制剂过程中因提取、制剂工艺或剂型与临床传统用法发生较大改变，导致药用物质基础或用法用量或给药途径发生明显变更的，不属可免报范围。</w:t>
      </w:r>
    </w:p>
    <w:p>
      <w:pPr>
        <w:rPr>
          <w:color w:val="auto"/>
        </w:rPr>
      </w:pPr>
      <w:r>
        <w:rPr>
          <w:color w:val="auto"/>
        </w:rPr>
        <w:t>3.</w:t>
      </w:r>
      <w:r>
        <w:rPr>
          <w:rFonts w:hint="eastAsia"/>
          <w:color w:val="auto"/>
        </w:rPr>
        <w:t>免报情形中的</w:t>
      </w:r>
      <w:r>
        <w:rPr>
          <w:color w:val="auto"/>
        </w:rPr>
        <w:t>临床病历可以为门诊病历或住院病历，</w:t>
      </w:r>
      <w:r>
        <w:rPr>
          <w:rFonts w:hint="eastAsia"/>
          <w:color w:val="auto"/>
        </w:rPr>
        <w:t>需</w:t>
      </w:r>
      <w:r>
        <w:rPr>
          <w:color w:val="auto"/>
        </w:rPr>
        <w:t>符合《处方管理办法》和《病历管理基本规范》的要求；根据病症必要时能够提供客观诊断证明，用药期间不宜合并使用同类药物，并且有用药后的随访记录；整个过程应能够反映用药的安全性及疗效，原始病历资料及有关证明性材料应保存完整。</w:t>
      </w:r>
    </w:p>
    <w:p>
      <w:pPr>
        <w:rPr>
          <w:color w:val="auto"/>
        </w:rPr>
      </w:pPr>
      <w:r>
        <w:rPr>
          <w:rFonts w:hint="eastAsia"/>
          <w:color w:val="auto"/>
        </w:rPr>
        <w:t>四、鉴于云南省医疗机构中药（民族药）制剂复杂情况，本指导原则所提及的研究内容可能未完全涵盖临床及临床前研究的所有情况，因此开展研究工作时应遵循“具体问题具体分析”的原则。尤其对于外用制剂，在安全性评价中鼓励开展皮肤刺激性及过敏性实验研究。</w:t>
      </w:r>
    </w:p>
    <w:p>
      <w:pPr>
        <w:rPr>
          <w:color w:val="auto"/>
        </w:rPr>
      </w:pPr>
      <w:r>
        <w:rPr>
          <w:rFonts w:hint="eastAsia"/>
          <w:color w:val="auto"/>
        </w:rPr>
        <w:t>五、医疗机构中药（民族药）制剂批准使用后，医疗机构应根据《中药注册管理专门规定》第二十五条的要求，按年度向云南省药品监督管理部门提交人用经验收集整理与评估报告。</w:t>
      </w:r>
    </w:p>
    <w:p>
      <w:pPr>
        <w:ind w:left="0" w:leftChars="0" w:firstLine="0" w:firstLineChars="0"/>
        <w:rPr>
          <w:rFonts w:hint="default" w:eastAsia="宋体"/>
          <w:color w:val="auto"/>
          <w:lang w:val="en-US" w:eastAsia="zh-CN"/>
        </w:rPr>
        <w:sectPr>
          <w:footerReference r:id="rId11" w:type="default"/>
          <w:pgSz w:w="11906" w:h="16838"/>
          <w:pgMar w:top="1440" w:right="1800" w:bottom="1440" w:left="1800" w:header="851" w:footer="992" w:gutter="0"/>
          <w:pgNumType w:start="1"/>
          <w:cols w:space="425" w:num="1"/>
          <w:docGrid w:type="lines" w:linePitch="312" w:charSpace="0"/>
        </w:sectPr>
      </w:pPr>
      <w:bookmarkStart w:id="43" w:name="_GoBack"/>
      <w:bookmarkEnd w:id="43"/>
    </w:p>
    <w:p>
      <w:pPr>
        <w:pStyle w:val="2"/>
        <w:rPr>
          <w:color w:val="auto"/>
        </w:rPr>
      </w:pPr>
      <w:bookmarkStart w:id="6" w:name="_Toc30037"/>
      <w:bookmarkStart w:id="7" w:name="_Toc84"/>
      <w:bookmarkStart w:id="8" w:name="_Toc133164596"/>
      <w:r>
        <w:rPr>
          <w:rFonts w:hint="eastAsia"/>
          <w:color w:val="auto"/>
        </w:rPr>
        <w:t>制剂研究资料撰写要求</w:t>
      </w:r>
      <w:bookmarkEnd w:id="6"/>
      <w:bookmarkEnd w:id="7"/>
      <w:bookmarkEnd w:id="8"/>
    </w:p>
    <w:p>
      <w:pPr>
        <w:rPr>
          <w:color w:val="auto"/>
        </w:rPr>
      </w:pPr>
      <w:r>
        <w:rPr>
          <w:rFonts w:hint="eastAsia"/>
          <w:color w:val="auto"/>
        </w:rPr>
        <w:t>本撰写要求是根据原国家食品药品监督管理总局</w:t>
      </w:r>
      <w:r>
        <w:rPr>
          <w:color w:val="auto"/>
        </w:rPr>
        <w:t>2005年颁布的《医疗机构制剂注册管理办法（试行）》（局令第20号）</w:t>
      </w:r>
      <w:r>
        <w:rPr>
          <w:rFonts w:hint="eastAsia"/>
          <w:color w:val="auto"/>
        </w:rPr>
        <w:t>和云南省药品监督管理局</w:t>
      </w:r>
      <w:r>
        <w:rPr>
          <w:color w:val="auto"/>
        </w:rPr>
        <w:t>2021年、2022年分别颁布的《云南省医疗机构制剂注册管理实施细则》和《云南省医疗机构应用传统工艺配制中药（民族药）制剂备案实施细则》的有关要求，在2017年发布的《云南省医疗机构制剂研究技术指导原则（中药、民族药）（试行）》基础上，结合我省医疗机构制剂研制特点修订。其目的是指导注册</w:t>
      </w:r>
      <w:r>
        <w:rPr>
          <w:rFonts w:hint="eastAsia"/>
          <w:color w:val="auto"/>
        </w:rPr>
        <w:t>（</w:t>
      </w:r>
      <w:r>
        <w:rPr>
          <w:color w:val="auto"/>
        </w:rPr>
        <w:t>备案）</w:t>
      </w:r>
      <w:r>
        <w:rPr>
          <w:rFonts w:hint="eastAsia"/>
          <w:color w:val="auto"/>
        </w:rPr>
        <w:t>的</w:t>
      </w:r>
      <w:r>
        <w:rPr>
          <w:color w:val="auto"/>
        </w:rPr>
        <w:t>申请人系统整理总结试验数据及研究资料，按规定格式撰写申报资料，</w:t>
      </w:r>
      <w:r>
        <w:rPr>
          <w:rFonts w:hint="eastAsia"/>
          <w:color w:val="auto"/>
        </w:rPr>
        <w:t>做到申报资料</w:t>
      </w:r>
      <w:r>
        <w:rPr>
          <w:color w:val="auto"/>
        </w:rPr>
        <w:t>内容完整</w:t>
      </w:r>
      <w:r>
        <w:rPr>
          <w:rFonts w:hint="eastAsia"/>
          <w:color w:val="auto"/>
        </w:rPr>
        <w:t>、</w:t>
      </w:r>
      <w:r>
        <w:rPr>
          <w:color w:val="auto"/>
        </w:rPr>
        <w:t>逻辑清楚</w:t>
      </w:r>
      <w:r>
        <w:rPr>
          <w:rFonts w:hint="eastAsia"/>
          <w:color w:val="auto"/>
        </w:rPr>
        <w:t>、</w:t>
      </w:r>
      <w:r>
        <w:rPr>
          <w:color w:val="auto"/>
        </w:rPr>
        <w:t>结构合理</w:t>
      </w:r>
      <w:r>
        <w:rPr>
          <w:rFonts w:hint="eastAsia"/>
          <w:color w:val="auto"/>
        </w:rPr>
        <w:t>、</w:t>
      </w:r>
      <w:r>
        <w:rPr>
          <w:color w:val="auto"/>
        </w:rPr>
        <w:t>重点突出，</w:t>
      </w:r>
      <w:r>
        <w:rPr>
          <w:rFonts w:hint="eastAsia"/>
          <w:color w:val="auto"/>
        </w:rPr>
        <w:t>便于对拟报品种进行综合分析与评价，得出科学、客观的结论。</w:t>
      </w:r>
    </w:p>
    <w:p>
      <w:pPr>
        <w:rPr>
          <w:color w:val="auto"/>
        </w:rPr>
      </w:pPr>
      <w:r>
        <w:rPr>
          <w:rFonts w:hint="eastAsia"/>
          <w:color w:val="auto"/>
        </w:rPr>
        <w:t>一、资料的撰写原则</w:t>
      </w:r>
    </w:p>
    <w:p>
      <w:pPr>
        <w:rPr>
          <w:color w:val="auto"/>
        </w:rPr>
      </w:pPr>
      <w:r>
        <w:rPr>
          <w:rFonts w:hint="eastAsia"/>
          <w:color w:val="auto"/>
        </w:rPr>
        <w:t>（一）真实、客观、可溯源原则</w:t>
      </w:r>
    </w:p>
    <w:p>
      <w:pPr>
        <w:rPr>
          <w:color w:val="auto"/>
        </w:rPr>
      </w:pPr>
      <w:r>
        <w:rPr>
          <w:rFonts w:hint="eastAsia"/>
          <w:color w:val="auto"/>
        </w:rPr>
        <w:t>制剂申报资料的撰写应真实、客观、可溯源，力求系统反映制剂研究开发的实施过程，真实客观地管理各项试验数据、技术参数以及采用的文献资料，保证试验数据和资料的可溯源。</w:t>
      </w:r>
    </w:p>
    <w:p>
      <w:pPr>
        <w:rPr>
          <w:color w:val="auto"/>
        </w:rPr>
      </w:pPr>
      <w:r>
        <w:rPr>
          <w:rFonts w:hint="eastAsia"/>
          <w:color w:val="auto"/>
        </w:rPr>
        <w:t>（二）科学、合理原则</w:t>
      </w:r>
    </w:p>
    <w:p>
      <w:pPr>
        <w:rPr>
          <w:color w:val="auto"/>
        </w:rPr>
      </w:pPr>
      <w:r>
        <w:rPr>
          <w:rFonts w:hint="eastAsia"/>
          <w:color w:val="auto"/>
        </w:rPr>
        <w:t>制剂申报资料的撰写应科学、合理，重点突出反映制剂安全性、有效性、质量可控性的相关内容及数据。</w:t>
      </w:r>
    </w:p>
    <w:p>
      <w:pPr>
        <w:rPr>
          <w:color w:val="auto"/>
        </w:rPr>
      </w:pPr>
      <w:r>
        <w:rPr>
          <w:rFonts w:hint="eastAsia"/>
          <w:color w:val="auto"/>
        </w:rPr>
        <w:t>（三）规范、完整原则</w:t>
      </w:r>
    </w:p>
    <w:p>
      <w:pPr>
        <w:rPr>
          <w:color w:val="auto"/>
        </w:rPr>
      </w:pPr>
      <w:r>
        <w:rPr>
          <w:rFonts w:hint="eastAsia"/>
          <w:color w:val="auto"/>
        </w:rPr>
        <w:t>制剂申报资料的撰写整理应当规范、完整。文字使用中文规范简化字，数字、术语、符号等应使用规范化的标准形式。</w:t>
      </w:r>
    </w:p>
    <w:p>
      <w:pPr>
        <w:rPr>
          <w:color w:val="auto"/>
        </w:rPr>
      </w:pPr>
      <w:r>
        <w:rPr>
          <w:rFonts w:hint="eastAsia"/>
          <w:color w:val="auto"/>
        </w:rPr>
        <w:t>（四）具体问题具体分析原则</w:t>
      </w:r>
    </w:p>
    <w:p>
      <w:pPr>
        <w:rPr>
          <w:color w:val="auto"/>
        </w:rPr>
      </w:pPr>
      <w:r>
        <w:rPr>
          <w:rFonts w:hint="eastAsia"/>
          <w:color w:val="auto"/>
        </w:rPr>
        <w:t>医疗机构制剂的研发与评价是一个复杂、科学的系统工程，应具体问题具体分析，以科学试验为依据，为各种研究结论提供有效的支持。</w:t>
      </w:r>
    </w:p>
    <w:p>
      <w:pPr>
        <w:rPr>
          <w:color w:val="auto"/>
        </w:rPr>
      </w:pPr>
      <w:r>
        <w:rPr>
          <w:rFonts w:hint="eastAsia"/>
          <w:color w:val="auto"/>
        </w:rPr>
        <w:t>二、资料的格式要求</w:t>
      </w:r>
    </w:p>
    <w:p>
      <w:pPr>
        <w:rPr>
          <w:color w:val="auto"/>
        </w:rPr>
      </w:pPr>
      <w:r>
        <w:rPr>
          <w:rFonts w:hint="eastAsia"/>
          <w:color w:val="auto"/>
        </w:rPr>
        <w:t>纸张统一用国际标准</w:t>
      </w:r>
      <w:r>
        <w:rPr>
          <w:color w:val="auto"/>
        </w:rPr>
        <w:t>A4型规格，字体采用</w:t>
      </w:r>
      <w:r>
        <w:rPr>
          <w:rFonts w:hint="eastAsia"/>
          <w:color w:val="auto"/>
        </w:rPr>
        <w:t>方正小标宋_GBK</w:t>
      </w:r>
      <w:r>
        <w:rPr>
          <w:color w:val="auto"/>
        </w:rPr>
        <w:t>，字号不小于小四号字，每一项申报资料必须有封面及内容，并单独装订。封面必须标明制剂名称、资料项目编号、资料项目名称、试验单位名称（盖章）、试验单位地址、试验单位联系电话、试验负责人姓名（签字）、试验人员、试验起止日期、原始资料保存地点、联系人姓名、联系人电话（含手机）、注册申请人（盖章）（资料封面格式见附件1）。每套资料用牛皮纸袋封装，封袋上标明制剂名称、申报阶段（临床研究、配制）、注册申请人、联系人、联系电话、地址、邮政编码、注明为原件或复印件（资料封袋格式见</w:t>
      </w:r>
      <w:r>
        <w:rPr>
          <w:rFonts w:hint="eastAsia"/>
          <w:color w:val="auto"/>
        </w:rPr>
        <w:t>附件</w:t>
      </w:r>
      <w:r>
        <w:rPr>
          <w:color w:val="auto"/>
        </w:rPr>
        <w:t>2）。</w:t>
      </w:r>
    </w:p>
    <w:p>
      <w:pPr>
        <w:rPr>
          <w:color w:val="auto"/>
        </w:rPr>
      </w:pPr>
      <w:r>
        <w:rPr>
          <w:rFonts w:hint="eastAsia"/>
          <w:color w:val="auto"/>
        </w:rPr>
        <w:t>三、各项资料的撰写要求</w:t>
      </w:r>
    </w:p>
    <w:p>
      <w:pPr>
        <w:rPr>
          <w:color w:val="auto"/>
        </w:rPr>
      </w:pPr>
      <w:r>
        <w:rPr>
          <w:rFonts w:hint="eastAsia"/>
          <w:color w:val="auto"/>
        </w:rPr>
        <w:t>（一）制剂名称及命名依据</w:t>
      </w:r>
    </w:p>
    <w:p>
      <w:pPr>
        <w:rPr>
          <w:color w:val="auto"/>
        </w:rPr>
      </w:pPr>
      <w:r>
        <w:rPr>
          <w:rFonts w:hint="eastAsia"/>
          <w:color w:val="auto"/>
        </w:rPr>
        <w:t>命名应符合《制剂命名原则》要求及国家有关规定，并对命名的依据做简要说明。</w:t>
      </w:r>
    </w:p>
    <w:p>
      <w:pPr>
        <w:rPr>
          <w:color w:val="auto"/>
        </w:rPr>
      </w:pPr>
      <w:r>
        <w:rPr>
          <w:rFonts w:hint="eastAsia"/>
          <w:color w:val="auto"/>
        </w:rPr>
        <w:t>命名时应查询国家药品监督管理局网站基础数据库，不得与已上市药品和省局已批准的制剂名称重复。</w:t>
      </w:r>
    </w:p>
    <w:p>
      <w:pPr>
        <w:rPr>
          <w:color w:val="auto"/>
        </w:rPr>
      </w:pPr>
      <w:r>
        <w:rPr>
          <w:rFonts w:hint="eastAsia"/>
          <w:color w:val="auto"/>
        </w:rPr>
        <w:t>（二）立题目的以及该品种的市场供应情况</w:t>
      </w:r>
    </w:p>
    <w:p>
      <w:pPr>
        <w:rPr>
          <w:color w:val="auto"/>
        </w:rPr>
      </w:pPr>
      <w:r>
        <w:rPr>
          <w:rFonts w:hint="eastAsia"/>
          <w:color w:val="auto"/>
        </w:rPr>
        <w:t>立题目的 应着重阐述研发品种临床需求的合理性、创新性和现有药物应用的局限性等。申报资料一般可从品种基本情况、立题背景、有关该品种的知识产权等情况、该品种或同类品种的市场供应情况、综合分析及参考文献几方面来撰写。</w:t>
      </w:r>
    </w:p>
    <w:p>
      <w:pPr>
        <w:rPr>
          <w:color w:val="auto"/>
        </w:rPr>
      </w:pPr>
      <w:r>
        <w:rPr>
          <w:rFonts w:hint="eastAsia"/>
          <w:color w:val="auto"/>
        </w:rPr>
        <w:t>品种基本情况</w:t>
      </w:r>
      <w:r>
        <w:rPr>
          <w:color w:val="auto"/>
        </w:rPr>
        <w:t xml:space="preserve"> 一般应包括制剂名称（通用名、汉语拼音），处方组成，功能主治，用法用量，主要不良反应等的概述。申报临床研究时，应阐述拟用于临床的功能主治及用法用量；申报配制时，应标明临床研究的批件号及批准时间、临床批件中“审批结论”具体内容及完成情况等。</w:t>
      </w:r>
    </w:p>
    <w:p>
      <w:pPr>
        <w:rPr>
          <w:color w:val="auto"/>
        </w:rPr>
      </w:pPr>
      <w:r>
        <w:rPr>
          <w:rFonts w:hint="eastAsia"/>
          <w:color w:val="auto"/>
        </w:rPr>
        <w:t>立题背景</w:t>
      </w:r>
      <w:r>
        <w:rPr>
          <w:color w:val="auto"/>
        </w:rPr>
        <w:t xml:space="preserve"> 一般应包括简述拟定功能主治的临床特点，主治病症可能的病因病机或发病机理、流行病学、危害性、目前的治疗现状、存在的问题、本品拟解决的问题、作用特点、作为医疗机构制剂开发的优势及意义等。</w:t>
      </w:r>
    </w:p>
    <w:p>
      <w:pPr>
        <w:rPr>
          <w:color w:val="auto"/>
        </w:rPr>
      </w:pPr>
      <w:r>
        <w:rPr>
          <w:rFonts w:hint="eastAsia"/>
          <w:color w:val="auto"/>
        </w:rPr>
        <w:t>国内有关该品种的知识产权等情况</w:t>
      </w:r>
      <w:r>
        <w:rPr>
          <w:color w:val="auto"/>
        </w:rPr>
        <w:t xml:space="preserve"> 简述与申报品种有关的专利情况，包括专利申请、授权、期限、法律状态等。明确申报品种是否涉及侵权问题。</w:t>
      </w:r>
    </w:p>
    <w:p>
      <w:pPr>
        <w:rPr>
          <w:color w:val="auto"/>
        </w:rPr>
      </w:pPr>
      <w:r>
        <w:rPr>
          <w:rFonts w:hint="eastAsia"/>
          <w:color w:val="auto"/>
        </w:rPr>
        <w:t>该品种或类同品种的市场供应情况</w:t>
      </w:r>
      <w:r>
        <w:rPr>
          <w:color w:val="auto"/>
        </w:rPr>
        <w:t xml:space="preserve"> 应阐述类同品种的药品注册上市情况、市场供应情况，包括标准收载情况，其他省药品监督管理局的批准情况等，需要提供该品种与已有国家标准的处方不同</w:t>
      </w:r>
      <w:r>
        <w:rPr>
          <w:rFonts w:hint="eastAsia"/>
          <w:color w:val="auto"/>
        </w:rPr>
        <w:t>或</w:t>
      </w:r>
      <w:r>
        <w:rPr>
          <w:color w:val="auto"/>
        </w:rPr>
        <w:t>市场无供应情况的保证书；还应当就处方组成、理法特色、功能主治，与国家药品标准收载的功能主治类似品种进行比较。</w:t>
      </w:r>
    </w:p>
    <w:p>
      <w:pPr>
        <w:rPr>
          <w:color w:val="auto"/>
        </w:rPr>
      </w:pPr>
      <w:r>
        <w:rPr>
          <w:rFonts w:hint="eastAsia"/>
          <w:color w:val="auto"/>
        </w:rPr>
        <w:t>综合分析</w:t>
      </w:r>
      <w:r>
        <w:rPr>
          <w:color w:val="auto"/>
        </w:rPr>
        <w:t xml:space="preserve"> </w:t>
      </w:r>
      <w:r>
        <w:rPr>
          <w:rFonts w:hint="eastAsia"/>
          <w:color w:val="auto"/>
        </w:rPr>
        <w:t>结合</w:t>
      </w:r>
      <w:r>
        <w:rPr>
          <w:color w:val="auto"/>
        </w:rPr>
        <w:t>上述对申报品种立题背景、知识产权情况、市场供应情况</w:t>
      </w:r>
      <w:r>
        <w:rPr>
          <w:rFonts w:hint="eastAsia"/>
          <w:color w:val="auto"/>
        </w:rPr>
        <w:t>内容</w:t>
      </w:r>
      <w:r>
        <w:rPr>
          <w:color w:val="auto"/>
        </w:rPr>
        <w:t>，从安全性、有效性、质量可控性、临床定位、临床应用的效益/风险比、药物经济学等方面对申报的品种进行综合分析与评价，进一步阐明申报品种的立题目的。</w:t>
      </w:r>
    </w:p>
    <w:p>
      <w:pPr>
        <w:rPr>
          <w:color w:val="auto"/>
        </w:rPr>
      </w:pPr>
      <w:r>
        <w:rPr>
          <w:rFonts w:hint="eastAsia"/>
          <w:color w:val="auto"/>
        </w:rPr>
        <w:t>参考文献</w:t>
      </w:r>
      <w:r>
        <w:rPr>
          <w:color w:val="auto"/>
        </w:rPr>
        <w:t xml:space="preserve"> 按文中引用的顺序列出有关的参考文献目录，必要时附原文。</w:t>
      </w:r>
    </w:p>
    <w:p>
      <w:pPr>
        <w:rPr>
          <w:color w:val="auto"/>
        </w:rPr>
      </w:pPr>
      <w:r>
        <w:rPr>
          <w:rFonts w:hint="eastAsia"/>
          <w:color w:val="auto"/>
        </w:rPr>
        <w:t>（三）证明性文件</w:t>
      </w:r>
    </w:p>
    <w:p>
      <w:pPr>
        <w:rPr>
          <w:color w:val="auto"/>
        </w:rPr>
      </w:pPr>
      <w:r>
        <w:rPr>
          <w:color w:val="auto"/>
        </w:rPr>
        <w:t>1.《医疗机构执业许可证》复印件、《医疗机构制剂许可证》复印件。</w:t>
      </w:r>
    </w:p>
    <w:p>
      <w:pPr>
        <w:rPr>
          <w:color w:val="auto"/>
        </w:rPr>
      </w:pPr>
      <w:r>
        <w:rPr>
          <w:color w:val="auto"/>
        </w:rPr>
        <w:t>2.制剂或者使用的处方、工艺等的专利情况及其权属状态说明，以及对他人的专利不构成侵权的保证书。</w:t>
      </w:r>
    </w:p>
    <w:p>
      <w:pPr>
        <w:rPr>
          <w:color w:val="auto"/>
        </w:rPr>
      </w:pPr>
      <w:r>
        <w:rPr>
          <w:color w:val="auto"/>
        </w:rPr>
        <w:t>3.提供</w:t>
      </w:r>
      <w:r>
        <w:rPr>
          <w:rFonts w:hint="eastAsia"/>
          <w:color w:val="auto"/>
        </w:rPr>
        <w:t>药材</w:t>
      </w:r>
      <w:r>
        <w:rPr>
          <w:color w:val="auto"/>
        </w:rPr>
        <w:t>/饮片、提取物等处方药味证明文件</w:t>
      </w:r>
      <w:r>
        <w:rPr>
          <w:rFonts w:hint="eastAsia"/>
          <w:color w:val="auto"/>
        </w:rPr>
        <w:t>。</w:t>
      </w:r>
    </w:p>
    <w:p>
      <w:pPr>
        <w:rPr>
          <w:color w:val="auto"/>
        </w:rPr>
      </w:pPr>
      <w:r>
        <w:rPr>
          <w:color w:val="auto"/>
        </w:rPr>
        <w:t>药材</w:t>
      </w:r>
      <w:r>
        <w:rPr>
          <w:rFonts w:hint="eastAsia"/>
          <w:color w:val="auto"/>
        </w:rPr>
        <w:t>/</w:t>
      </w:r>
      <w:r>
        <w:rPr>
          <w:color w:val="auto"/>
        </w:rPr>
        <w:t>饮片</w:t>
      </w:r>
      <w:r>
        <w:rPr>
          <w:rFonts w:hint="eastAsia"/>
          <w:color w:val="auto"/>
        </w:rPr>
        <w:t>、提取物等</w:t>
      </w:r>
      <w:r>
        <w:rPr>
          <w:color w:val="auto"/>
        </w:rPr>
        <w:t>的来源证明文件包括销售发票、药材产地、检验报告书、供货协议、质量标准等资料复印件。</w:t>
      </w:r>
      <w:r>
        <w:rPr>
          <w:rFonts w:hint="eastAsia"/>
          <w:color w:val="auto"/>
        </w:rPr>
        <w:t>药材/饮片</w:t>
      </w:r>
      <w:r>
        <w:rPr>
          <w:color w:val="auto"/>
        </w:rPr>
        <w:t>无法定标准的应</w:t>
      </w:r>
      <w:r>
        <w:rPr>
          <w:rFonts w:hint="eastAsia"/>
          <w:color w:val="auto"/>
        </w:rPr>
        <w:t>研究</w:t>
      </w:r>
      <w:r>
        <w:rPr>
          <w:color w:val="auto"/>
        </w:rPr>
        <w:t>制定</w:t>
      </w:r>
      <w:r>
        <w:rPr>
          <w:rFonts w:hint="eastAsia"/>
          <w:color w:val="auto"/>
        </w:rPr>
        <w:t>法定</w:t>
      </w:r>
      <w:r>
        <w:rPr>
          <w:color w:val="auto"/>
        </w:rPr>
        <w:t>标准，</w:t>
      </w:r>
      <w:r>
        <w:rPr>
          <w:rFonts w:hint="eastAsia"/>
          <w:color w:val="auto"/>
        </w:rPr>
        <w:t>或与</w:t>
      </w:r>
      <w:r>
        <w:rPr>
          <w:color w:val="auto"/>
        </w:rPr>
        <w:t>制剂一同申报为</w:t>
      </w:r>
      <w:r>
        <w:rPr>
          <w:rFonts w:hint="eastAsia"/>
          <w:color w:val="auto"/>
        </w:rPr>
        <w:t>制剂专属</w:t>
      </w:r>
      <w:r>
        <w:rPr>
          <w:color w:val="auto"/>
        </w:rPr>
        <w:t>标准。</w:t>
      </w:r>
    </w:p>
    <w:p>
      <w:pPr>
        <w:rPr>
          <w:color w:val="auto"/>
        </w:rPr>
      </w:pPr>
      <w:r>
        <w:rPr>
          <w:rFonts w:hint="eastAsia"/>
          <w:color w:val="auto"/>
        </w:rPr>
        <w:t>4</w:t>
      </w:r>
      <w:r>
        <w:rPr>
          <w:color w:val="auto"/>
        </w:rPr>
        <w:t>.《医疗机构制剂临床研究批件》复印件（申报临床研究不提供）。</w:t>
      </w:r>
    </w:p>
    <w:p>
      <w:pPr>
        <w:rPr>
          <w:color w:val="auto"/>
        </w:rPr>
      </w:pPr>
      <w:r>
        <w:rPr>
          <w:rFonts w:hint="eastAsia"/>
          <w:color w:val="auto"/>
        </w:rPr>
        <w:t>5</w:t>
      </w:r>
      <w:r>
        <w:rPr>
          <w:color w:val="auto"/>
        </w:rPr>
        <w:t>.未取得《医疗机构制剂许可证》或《医疗机构制剂许可证》无相应制剂剂型的“医院”类别的医疗机构申请制剂委托配制的，还应当提供以下资料：</w:t>
      </w:r>
    </w:p>
    <w:p>
      <w:pPr>
        <w:rPr>
          <w:color w:val="auto"/>
        </w:rPr>
      </w:pPr>
      <w:r>
        <w:rPr>
          <w:rFonts w:hint="eastAsia"/>
          <w:color w:val="auto"/>
        </w:rPr>
        <w:t>（1）</w:t>
      </w:r>
      <w:r>
        <w:rPr>
          <w:color w:val="auto"/>
        </w:rPr>
        <w:t>受托方的《药品生产许可证》或者《医疗机构制剂许可证》复印件。</w:t>
      </w:r>
    </w:p>
    <w:p>
      <w:pPr>
        <w:rPr>
          <w:color w:val="auto"/>
        </w:rPr>
      </w:pPr>
      <w:r>
        <w:rPr>
          <w:rFonts w:hint="eastAsia"/>
          <w:color w:val="auto"/>
        </w:rPr>
        <w:t>（2）</w:t>
      </w:r>
      <w:r>
        <w:rPr>
          <w:color w:val="auto"/>
        </w:rPr>
        <w:t>委托方对受托方的技术人员、厂房（制剂室）、设施、设备等生产条件和能力，是否属于许可范围，以及质检机构、检验设备等质量保证体系方面的综合评价意见。</w:t>
      </w:r>
    </w:p>
    <w:p>
      <w:pPr>
        <w:rPr>
          <w:color w:val="auto"/>
        </w:rPr>
      </w:pPr>
      <w:r>
        <w:rPr>
          <w:rFonts w:hint="eastAsia"/>
          <w:color w:val="auto"/>
        </w:rPr>
        <w:t>（3）</w:t>
      </w:r>
      <w:r>
        <w:rPr>
          <w:color w:val="auto"/>
        </w:rPr>
        <w:t>经双方法定代表人或授权人签名并加盖公章的委托配制合同，合同应包括质量协议，明确规定双方在制剂委托配制管理、质量控制等方面的质量责任及相关的技术事项，特别是要明确原辅料、包装材料的采购、检验和放行以及产品检验、放行中委托双方各自的权利和义务，并注明委托配制期限。</w:t>
      </w:r>
    </w:p>
    <w:p>
      <w:pPr>
        <w:rPr>
          <w:color w:val="auto"/>
        </w:rPr>
      </w:pPr>
      <w:r>
        <w:rPr>
          <w:rFonts w:hint="eastAsia"/>
          <w:color w:val="auto"/>
        </w:rPr>
        <w:t>（四）标签及说明书设计样稿</w:t>
      </w:r>
    </w:p>
    <w:p>
      <w:pPr>
        <w:rPr>
          <w:color w:val="auto"/>
        </w:rPr>
      </w:pPr>
      <w:r>
        <w:rPr>
          <w:rFonts w:hint="eastAsia"/>
          <w:color w:val="auto"/>
        </w:rPr>
        <w:t>制剂说明书及标签参照原国家食品药品监督管理局《药品说明书和标签管理规定》（局令第</w:t>
      </w:r>
      <w:r>
        <w:rPr>
          <w:color w:val="auto"/>
        </w:rPr>
        <w:t>24号）、《关于印发中药、天然药物处方药说明书格式内容书写要求及撰写指导原则的通知》要求撰写和设计。说明书及标签应分页打印，可不提供彩稿。</w:t>
      </w:r>
    </w:p>
    <w:p>
      <w:pPr>
        <w:rPr>
          <w:color w:val="auto"/>
        </w:rPr>
      </w:pPr>
      <w:r>
        <w:rPr>
          <w:rFonts w:hint="eastAsia"/>
          <w:color w:val="auto"/>
        </w:rPr>
        <w:t>制剂说明书至少应包括下列项目：核准</w:t>
      </w:r>
      <w:r>
        <w:rPr>
          <w:color w:val="auto"/>
        </w:rPr>
        <w:t>/备案日期和修改日期、外用药品标识、说明书标题、警示语、【制剂名称】、【成份】、【性状】、【功能主治】、【规格】、【用法用量】、【不良反应】、【禁忌】、【注意事项】、【贮藏】、【包装】、【有效期】、【执行标准】、【批准文号】、【配制单位】，其中【执行标准】、【批准文号】核准后填写。</w:t>
      </w:r>
    </w:p>
    <w:p>
      <w:pPr>
        <w:rPr>
          <w:color w:val="auto"/>
        </w:rPr>
      </w:pPr>
      <w:r>
        <w:rPr>
          <w:rFonts w:hint="eastAsia"/>
          <w:color w:val="auto"/>
        </w:rPr>
        <w:t>制剂的标签是指制剂包装上印有或者贴有的内容，分为内标签和外标签。制剂内标签指直接接触药品的包装的标签，外标签指内标签以外的其他包装的标签。</w:t>
      </w:r>
    </w:p>
    <w:p>
      <w:pPr>
        <w:rPr>
          <w:color w:val="auto"/>
        </w:rPr>
      </w:pPr>
      <w:r>
        <w:rPr>
          <w:rFonts w:hint="eastAsia"/>
          <w:color w:val="auto"/>
        </w:rPr>
        <w:t>制剂的内标签应当包含制剂名称、适应症或者功能主治、规格、用法用量、生产日期、产品批号、有效期、配制单位等内容。包装尺寸过小无法全部标明上述内容的，至少应当标注制剂名称、规格、产品批号、有效期等内容。</w:t>
      </w:r>
    </w:p>
    <w:p>
      <w:pPr>
        <w:rPr>
          <w:color w:val="auto"/>
        </w:rPr>
      </w:pPr>
      <w:r>
        <w:rPr>
          <w:rFonts w:hint="eastAsia"/>
          <w:color w:val="auto"/>
        </w:rPr>
        <w:t>制剂外标签应当注明制剂名称、成份、性状、适应症或者功能主治、规格、用法用量、不良反应、禁忌、注意事项、贮藏、生产日期、产品批号、有效期、批准文号、配制单位等内容。适应症或者功能主治、用法用量、不良反应、禁忌、注意事项不能全部注明的，应当标出主要内容并注明“详见说明书”字样。</w:t>
      </w:r>
    </w:p>
    <w:p>
      <w:pPr>
        <w:rPr>
          <w:color w:val="auto"/>
        </w:rPr>
      </w:pPr>
      <w:r>
        <w:rPr>
          <w:rFonts w:hint="eastAsia"/>
          <w:color w:val="auto"/>
        </w:rPr>
        <w:t>用于运输、储藏的包装的标签，至少应当注明制剂名称、规格、贮藏、生产日期、产品批号、有效期、批准文号、配制单位，也可以根据需要注明包装数量、运输注意事项或者其他标记等必要内容。</w:t>
      </w:r>
    </w:p>
    <w:p>
      <w:pPr>
        <w:rPr>
          <w:color w:val="auto"/>
        </w:rPr>
      </w:pPr>
      <w:r>
        <w:rPr>
          <w:rFonts w:hint="eastAsia"/>
          <w:color w:val="auto"/>
        </w:rPr>
        <w:t>核准</w:t>
      </w:r>
      <w:r>
        <w:rPr>
          <w:color w:val="auto"/>
        </w:rPr>
        <w:t>/备案日期和修改日期</w:t>
      </w:r>
    </w:p>
    <w:p>
      <w:pPr>
        <w:rPr>
          <w:color w:val="auto"/>
        </w:rPr>
      </w:pPr>
      <w:r>
        <w:rPr>
          <w:rFonts w:hint="eastAsia"/>
          <w:color w:val="auto"/>
        </w:rPr>
        <w:t>核准</w:t>
      </w:r>
      <w:r>
        <w:rPr>
          <w:color w:val="auto"/>
        </w:rPr>
        <w:t>/备案日期和修改日期应当印制在说明书首页左上角。修改日期位于核准/备案日期下方，进行过多次修改的，仅列最后一次的修改日期；未进行修改的，可不列修改日期。</w:t>
      </w:r>
    </w:p>
    <w:p>
      <w:pPr>
        <w:rPr>
          <w:color w:val="auto"/>
        </w:rPr>
      </w:pPr>
      <w:r>
        <w:rPr>
          <w:rFonts w:hint="eastAsia"/>
          <w:color w:val="auto"/>
        </w:rPr>
        <w:t>核准</w:t>
      </w:r>
      <w:r>
        <w:rPr>
          <w:color w:val="auto"/>
        </w:rPr>
        <w:t>/备案日期指云南省药品监督管理局批准该制剂注册的日期。备案日期指在云南省药品监督管理局备案系统取得备案号的日期。</w:t>
      </w:r>
    </w:p>
    <w:p>
      <w:pPr>
        <w:rPr>
          <w:color w:val="auto"/>
        </w:rPr>
      </w:pPr>
      <w:r>
        <w:rPr>
          <w:rFonts w:hint="eastAsia"/>
          <w:color w:val="auto"/>
        </w:rPr>
        <w:t>修改日期指该药品说明书的修改被云南省药品监督管理局批准或取得云南省药品监督管理局备案号的日期。</w:t>
      </w:r>
    </w:p>
    <w:p>
      <w:pPr>
        <w:rPr>
          <w:color w:val="auto"/>
        </w:rPr>
      </w:pPr>
      <w:r>
        <w:rPr>
          <w:rFonts w:hint="eastAsia"/>
          <w:color w:val="auto"/>
        </w:rPr>
        <w:t>表示的方法应按照年、月、日的顺序标注，年份用</w:t>
      </w:r>
      <w:r>
        <w:rPr>
          <w:color w:val="auto"/>
        </w:rPr>
        <w:t>4位数字表示，月、日用2位数表示。</w:t>
      </w:r>
    </w:p>
    <w:p>
      <w:pPr>
        <w:rPr>
          <w:color w:val="auto"/>
        </w:rPr>
      </w:pPr>
      <w:r>
        <w:rPr>
          <w:rFonts w:hint="eastAsia"/>
          <w:color w:val="auto"/>
        </w:rPr>
        <w:t>其具体标注格式为：</w:t>
      </w:r>
    </w:p>
    <w:p>
      <w:pPr>
        <w:rPr>
          <w:color w:val="auto"/>
        </w:rPr>
      </w:pPr>
      <w:r>
        <w:rPr>
          <w:rFonts w:hint="eastAsia"/>
          <w:color w:val="auto"/>
        </w:rPr>
        <w:t>核准日期：</w:t>
      </w:r>
      <w:r>
        <w:rPr>
          <w:color w:val="auto"/>
        </w:rPr>
        <w:t>XXXX年XX月XX日或XXXX.XX.XX（X用阿拉伯数字表示，以下同）</w:t>
      </w:r>
    </w:p>
    <w:p>
      <w:pPr>
        <w:rPr>
          <w:color w:val="auto"/>
        </w:rPr>
      </w:pPr>
      <w:r>
        <w:rPr>
          <w:rFonts w:hint="eastAsia"/>
          <w:color w:val="auto"/>
        </w:rPr>
        <w:t>备案日期：</w:t>
      </w:r>
      <w:r>
        <w:rPr>
          <w:color w:val="auto"/>
        </w:rPr>
        <w:t>XXXX年XX月XX日或XXXX.XX.XX。</w:t>
      </w:r>
    </w:p>
    <w:p>
      <w:pPr>
        <w:rPr>
          <w:color w:val="auto"/>
        </w:rPr>
      </w:pPr>
      <w:r>
        <w:rPr>
          <w:rFonts w:hint="eastAsia"/>
          <w:color w:val="auto"/>
        </w:rPr>
        <w:t>修订日期：</w:t>
      </w:r>
      <w:r>
        <w:rPr>
          <w:color w:val="auto"/>
        </w:rPr>
        <w:t>XXXX年XX月XX日或XXXX.XX.XX。</w:t>
      </w:r>
    </w:p>
    <w:p>
      <w:pPr>
        <w:rPr>
          <w:color w:val="auto"/>
        </w:rPr>
      </w:pPr>
      <w:r>
        <w:rPr>
          <w:rFonts w:hint="eastAsia"/>
          <w:color w:val="auto"/>
        </w:rPr>
        <w:t>外用药品标识</w:t>
      </w:r>
    </w:p>
    <w:p>
      <w:pPr>
        <w:rPr>
          <w:color w:val="auto"/>
        </w:rPr>
      </w:pPr>
      <w:r>
        <w:rPr>
          <w:rFonts w:hint="eastAsia"/>
          <w:color w:val="auto"/>
        </w:rPr>
        <w:t>外用制剂在说明书的右上角标明专用标识“外”，内服制剂则不标。对于既可内服，又可外用的制剂，可不标注外用药品标识。</w:t>
      </w:r>
    </w:p>
    <w:p>
      <w:pPr>
        <w:rPr>
          <w:color w:val="auto"/>
        </w:rPr>
      </w:pPr>
      <w:r>
        <w:rPr>
          <w:rFonts w:hint="eastAsia"/>
          <w:color w:val="auto"/>
        </w:rPr>
        <w:t>外用药品标识为红色方框底色内标注白色“外”字，样式：外。药品标签中的外用药标识应当彩色印制，说明书中的外用药品标识可以单色印制。</w:t>
      </w:r>
    </w:p>
    <w:p>
      <w:pPr>
        <w:rPr>
          <w:color w:val="auto"/>
        </w:rPr>
      </w:pPr>
      <w:r>
        <w:rPr>
          <w:rFonts w:hint="eastAsia"/>
          <w:color w:val="auto"/>
        </w:rPr>
        <w:t>说明书的标题</w:t>
      </w:r>
    </w:p>
    <w:p>
      <w:pPr>
        <w:rPr>
          <w:color w:val="auto"/>
        </w:rPr>
      </w:pPr>
      <w:r>
        <w:rPr>
          <w:rFonts w:hint="eastAsia"/>
          <w:color w:val="auto"/>
        </w:rPr>
        <w:t>“</w:t>
      </w:r>
      <w:r>
        <w:rPr>
          <w:color w:val="auto"/>
        </w:rPr>
        <w:t>XXX说明书”中的“XXX”是指该医疗机构制剂的通用名称。应注明“请仔细阅读说明书并在医师指导下使用”，该内容必须标注，并印制在说明书标题下方。</w:t>
      </w:r>
    </w:p>
    <w:p>
      <w:pPr>
        <w:rPr>
          <w:color w:val="auto"/>
        </w:rPr>
      </w:pPr>
      <w:r>
        <w:rPr>
          <w:rFonts w:hint="eastAsia"/>
          <w:color w:val="auto"/>
        </w:rPr>
        <w:t>警示语</w:t>
      </w:r>
    </w:p>
    <w:p>
      <w:pPr>
        <w:rPr>
          <w:color w:val="auto"/>
        </w:rPr>
      </w:pPr>
      <w:r>
        <w:rPr>
          <w:rFonts w:hint="eastAsia"/>
          <w:color w:val="auto"/>
        </w:rPr>
        <w:t>是指对药品严重不良反应及其潜在的安全性问题的警告，还可以包括药品禁忌、注意事项及剂量过量等需提示用药人群特别注意的事项。有该方面内容的，应当在说明书标题下以醒目的黑体字注明。无该方面内容的，可不列此项。</w:t>
      </w:r>
    </w:p>
    <w:p>
      <w:pPr>
        <w:rPr>
          <w:color w:val="auto"/>
        </w:rPr>
      </w:pPr>
      <w:r>
        <w:rPr>
          <w:rFonts w:hint="eastAsia"/>
          <w:color w:val="auto"/>
        </w:rPr>
        <w:t>在该项下，应注明药品的严重不良反应、潜在的危险、使用上的限制，以及一旦发生严重药品不良反应应采取的措施。如果有合理的证据证明某种危险与该药品的使用有关，应在说明书中注明这一警告。</w:t>
      </w:r>
    </w:p>
    <w:p>
      <w:pPr>
        <w:rPr>
          <w:color w:val="auto"/>
        </w:rPr>
      </w:pPr>
      <w:r>
        <w:rPr>
          <w:rFonts w:hint="eastAsia"/>
          <w:color w:val="auto"/>
        </w:rPr>
        <w:t>应将特殊的情况尤其是可能导致死亡或严重损伤的情况用醒目的文字列出。警告通常以临床数据为基础，如果缺少临床数据，也可以用动物的严重毒性试验数据。必须包含以黑体形式出现的“警告”的文字标题，以表达其信息的重要性。如果其涉及危险性的信息内容很多，其详细的信息资料应该用黑体字的形式在说明书的相应部分说明（如【禁忌】、【不良反应】或【注意事项】）。而警告中的警示必须告知其详细所在的位置。警示语不能含有任何提示或暗含宣传本品的作用，也不能有变相宣传其他产品的作用。</w:t>
      </w:r>
    </w:p>
    <w:p>
      <w:pPr>
        <w:rPr>
          <w:color w:val="auto"/>
        </w:rPr>
      </w:pPr>
      <w:r>
        <w:rPr>
          <w:rFonts w:hint="eastAsia"/>
          <w:color w:val="auto"/>
        </w:rPr>
        <w:t>一般可从以下几方面考虑：</w:t>
      </w:r>
    </w:p>
    <w:p>
      <w:pPr>
        <w:rPr>
          <w:color w:val="auto"/>
        </w:rPr>
      </w:pPr>
      <w:r>
        <w:rPr>
          <w:rFonts w:hint="eastAsia"/>
          <w:color w:val="auto"/>
        </w:rPr>
        <w:t>——重要的禁忌；</w:t>
      </w:r>
    </w:p>
    <w:p>
      <w:pPr>
        <w:rPr>
          <w:color w:val="auto"/>
        </w:rPr>
      </w:pPr>
      <w:r>
        <w:rPr>
          <w:rFonts w:hint="eastAsia"/>
          <w:color w:val="auto"/>
        </w:rPr>
        <w:t>——临床应用中可能出现的严重的不良反应以及如果发生严重不良反应采取的措施；</w:t>
      </w:r>
    </w:p>
    <w:p>
      <w:pPr>
        <w:rPr>
          <w:color w:val="auto"/>
        </w:rPr>
      </w:pPr>
      <w:r>
        <w:rPr>
          <w:rFonts w:hint="eastAsia"/>
          <w:color w:val="auto"/>
        </w:rPr>
        <w:t>——特殊用药的注意事项；</w:t>
      </w:r>
    </w:p>
    <w:p>
      <w:pPr>
        <w:rPr>
          <w:color w:val="auto"/>
        </w:rPr>
      </w:pPr>
      <w:r>
        <w:rPr>
          <w:rFonts w:hint="eastAsia"/>
          <w:color w:val="auto"/>
        </w:rPr>
        <w:t>——组方中含有较大毒性或配伍禁忌的药品；含有化学药品（维生素类除外）的中药复方制剂，应注明本品含</w:t>
      </w:r>
      <w:r>
        <w:rPr>
          <w:color w:val="auto"/>
        </w:rPr>
        <w:t>X X（化学药品通用名称）；</w:t>
      </w:r>
    </w:p>
    <w:p>
      <w:pPr>
        <w:rPr>
          <w:color w:val="auto"/>
        </w:rPr>
      </w:pPr>
      <w:r>
        <w:rPr>
          <w:rFonts w:hint="eastAsia"/>
          <w:color w:val="auto"/>
        </w:rPr>
        <w:t>——需要特殊说明的其他问题。</w:t>
      </w:r>
    </w:p>
    <w:p>
      <w:pPr>
        <w:rPr>
          <w:color w:val="auto"/>
        </w:rPr>
      </w:pPr>
      <w:r>
        <w:rPr>
          <w:rFonts w:hint="eastAsia"/>
          <w:color w:val="auto"/>
        </w:rPr>
        <w:t>【制剂名称】</w:t>
      </w:r>
    </w:p>
    <w:p>
      <w:pPr>
        <w:rPr>
          <w:color w:val="auto"/>
        </w:rPr>
      </w:pPr>
      <w:r>
        <w:rPr>
          <w:rFonts w:hint="eastAsia"/>
          <w:color w:val="auto"/>
        </w:rPr>
        <w:t>遵循前述“（一）制剂名称及命名依据”的相关规定。</w:t>
      </w:r>
    </w:p>
    <w:p>
      <w:pPr>
        <w:rPr>
          <w:color w:val="auto"/>
        </w:rPr>
      </w:pPr>
      <w:r>
        <w:rPr>
          <w:rFonts w:hint="eastAsia"/>
          <w:color w:val="auto"/>
        </w:rPr>
        <w:t>应与药品监督管理局批准</w:t>
      </w:r>
      <w:r>
        <w:rPr>
          <w:color w:val="auto"/>
        </w:rPr>
        <w:t>/备案的该品种制剂标准中的制剂名称一致。</w:t>
      </w:r>
    </w:p>
    <w:p>
      <w:pPr>
        <w:rPr>
          <w:color w:val="auto"/>
        </w:rPr>
      </w:pPr>
      <w:r>
        <w:rPr>
          <w:rFonts w:hint="eastAsia"/>
          <w:color w:val="auto"/>
        </w:rPr>
        <w:t>【成份】</w:t>
      </w:r>
    </w:p>
    <w:p>
      <w:pPr>
        <w:rPr>
          <w:color w:val="auto"/>
        </w:rPr>
      </w:pPr>
      <w:r>
        <w:rPr>
          <w:rFonts w:hint="eastAsia"/>
          <w:color w:val="auto"/>
        </w:rPr>
        <w:t>成份系指处方所含的药味、有效部位或有效成份等。为了公众健康利益的需要，便于用药者全面掌握药品特点，应列出处方中所有的药味、有效部位或有效成份等。处方中含有可能引起严重不良反应的辅料的，在该项下也应列出该辅料名称。</w:t>
      </w:r>
    </w:p>
    <w:p>
      <w:pPr>
        <w:rPr>
          <w:color w:val="auto"/>
        </w:rPr>
      </w:pPr>
      <w:r>
        <w:rPr>
          <w:rFonts w:hint="eastAsia"/>
          <w:color w:val="auto"/>
        </w:rPr>
        <w:t>成份的名称及排序应与省药品监督管理局批准或备案的该品种制剂标准中【处方】项下内容一致，辅料列于处方药味之后。</w:t>
      </w:r>
    </w:p>
    <w:p>
      <w:pPr>
        <w:rPr>
          <w:color w:val="auto"/>
        </w:rPr>
      </w:pPr>
      <w:r>
        <w:rPr>
          <w:rFonts w:hint="eastAsia"/>
          <w:color w:val="auto"/>
        </w:rPr>
        <w:t>【性状】</w:t>
      </w:r>
    </w:p>
    <w:p>
      <w:pPr>
        <w:rPr>
          <w:color w:val="auto"/>
        </w:rPr>
      </w:pPr>
      <w:r>
        <w:rPr>
          <w:rFonts w:hint="eastAsia"/>
          <w:color w:val="auto"/>
        </w:rPr>
        <w:t>应与省药品监督管理局批准或备案的该品种制剂标准中的性状一致。</w:t>
      </w:r>
    </w:p>
    <w:p>
      <w:pPr>
        <w:rPr>
          <w:color w:val="auto"/>
        </w:rPr>
      </w:pPr>
      <w:r>
        <w:rPr>
          <w:rFonts w:hint="eastAsia"/>
          <w:color w:val="auto"/>
        </w:rPr>
        <w:t>【功能主治】</w:t>
      </w:r>
    </w:p>
    <w:p>
      <w:pPr>
        <w:rPr>
          <w:color w:val="auto"/>
        </w:rPr>
      </w:pPr>
      <w:r>
        <w:rPr>
          <w:rFonts w:hint="eastAsia"/>
          <w:color w:val="auto"/>
        </w:rPr>
        <w:t>应与省药品监督管理局批准或备案的该品种制剂标准中的功能主治一致。</w:t>
      </w:r>
    </w:p>
    <w:p>
      <w:pPr>
        <w:rPr>
          <w:color w:val="auto"/>
        </w:rPr>
      </w:pPr>
      <w:r>
        <w:rPr>
          <w:rFonts w:hint="eastAsia"/>
          <w:color w:val="auto"/>
        </w:rPr>
        <w:t>【规格】</w:t>
      </w:r>
    </w:p>
    <w:p>
      <w:pPr>
        <w:rPr>
          <w:color w:val="auto"/>
        </w:rPr>
      </w:pPr>
      <w:r>
        <w:rPr>
          <w:rFonts w:hint="eastAsia"/>
          <w:color w:val="auto"/>
        </w:rPr>
        <w:t>应与省药品监督管理局批准或备案的该品种制剂标准中的规格一致。</w:t>
      </w:r>
    </w:p>
    <w:p>
      <w:pPr>
        <w:rPr>
          <w:color w:val="auto"/>
        </w:rPr>
      </w:pPr>
      <w:r>
        <w:rPr>
          <w:rFonts w:hint="eastAsia"/>
          <w:color w:val="auto"/>
        </w:rPr>
        <w:t>【用法用量】</w:t>
      </w:r>
    </w:p>
    <w:p>
      <w:pPr>
        <w:rPr>
          <w:color w:val="auto"/>
        </w:rPr>
      </w:pPr>
      <w:r>
        <w:rPr>
          <w:rFonts w:hint="eastAsia"/>
          <w:color w:val="auto"/>
        </w:rPr>
        <w:t>应与省药品监督管理局批准或备案的该品种制剂标准中的用法用量一致</w:t>
      </w:r>
    </w:p>
    <w:p>
      <w:pPr>
        <w:rPr>
          <w:color w:val="auto"/>
        </w:rPr>
      </w:pPr>
      <w:r>
        <w:rPr>
          <w:rFonts w:hint="eastAsia"/>
          <w:color w:val="auto"/>
        </w:rPr>
        <w:t>【不良反应】</w:t>
      </w:r>
    </w:p>
    <w:p>
      <w:pPr>
        <w:rPr>
          <w:color w:val="auto"/>
        </w:rPr>
      </w:pPr>
      <w:r>
        <w:rPr>
          <w:rFonts w:hint="eastAsia"/>
          <w:color w:val="auto"/>
        </w:rPr>
        <w:t>医疗机构制剂不良反应是指合格医疗机构制剂在正常用法用量下出现的与用药目的无关的或意外的有害反应。</w:t>
      </w:r>
    </w:p>
    <w:p>
      <w:pPr>
        <w:rPr>
          <w:color w:val="auto"/>
        </w:rPr>
      </w:pPr>
      <w:r>
        <w:rPr>
          <w:rFonts w:hint="eastAsia"/>
          <w:color w:val="auto"/>
        </w:rPr>
        <w:t>在该项下应实事求是地详细列出应用该医疗机构制剂时发生的不良反应。</w:t>
      </w:r>
    </w:p>
    <w:p>
      <w:pPr>
        <w:rPr>
          <w:color w:val="auto"/>
        </w:rPr>
      </w:pPr>
      <w:r>
        <w:rPr>
          <w:rFonts w:hint="eastAsia"/>
          <w:color w:val="auto"/>
        </w:rPr>
        <w:t>列出的不良反应可以根据器官系统、反应的严重程度、发生频率，或毒理机制，或综合上述情况来进行分类。如已有来源于规范的临床试验的不良反应发生率结果，应按频率的高低顺序列出。在同类不良反应中，较严重的不良反应应列在前面。如没有来源于严格临床试验的不良反应发生率资料，其分类和各类不良反应应按其严重程度从重到轻的顺序列出。</w:t>
      </w:r>
    </w:p>
    <w:p>
      <w:pPr>
        <w:rPr>
          <w:color w:val="auto"/>
        </w:rPr>
      </w:pPr>
      <w:r>
        <w:rPr>
          <w:rFonts w:hint="eastAsia"/>
          <w:color w:val="auto"/>
        </w:rPr>
        <w:t>尚不清楚有无不良反应的，可在该项下以“尚不明确”来表述。</w:t>
      </w:r>
    </w:p>
    <w:p>
      <w:pPr>
        <w:rPr>
          <w:color w:val="auto"/>
        </w:rPr>
      </w:pPr>
      <w:r>
        <w:rPr>
          <w:rFonts w:hint="eastAsia"/>
          <w:color w:val="auto"/>
        </w:rPr>
        <w:t>【禁忌】</w:t>
      </w:r>
    </w:p>
    <w:p>
      <w:pPr>
        <w:rPr>
          <w:color w:val="auto"/>
        </w:rPr>
      </w:pPr>
      <w:r>
        <w:rPr>
          <w:rFonts w:hint="eastAsia"/>
          <w:color w:val="auto"/>
        </w:rPr>
        <w:t>该项下必须阐述该医疗机构制剂不能应用的各种情况。</w:t>
      </w:r>
    </w:p>
    <w:p>
      <w:pPr>
        <w:rPr>
          <w:color w:val="auto"/>
        </w:rPr>
      </w:pPr>
      <w:r>
        <w:rPr>
          <w:rFonts w:hint="eastAsia"/>
          <w:color w:val="auto"/>
        </w:rPr>
        <w:t>这些情况包括：使用该医疗机构制剂可产生严重过敏反应者；某些人群由于特殊年龄、性别、生理状态、疾病状态、伴随治疗、合并用药、中医证候或体质等，应用该医疗机构制剂具有明显的危害性；或出现不可接受的严重不良反应者。以上情况下，用药的危险性明确地超出其可能的治疗价值。</w:t>
      </w:r>
    </w:p>
    <w:p>
      <w:pPr>
        <w:rPr>
          <w:color w:val="auto"/>
        </w:rPr>
      </w:pPr>
      <w:r>
        <w:rPr>
          <w:rFonts w:hint="eastAsia"/>
          <w:color w:val="auto"/>
        </w:rPr>
        <w:t>尚不清楚有无禁忌的，可在该项下以“尚不明确”来表述。</w:t>
      </w:r>
    </w:p>
    <w:p>
      <w:pPr>
        <w:rPr>
          <w:color w:val="auto"/>
        </w:rPr>
      </w:pPr>
      <w:r>
        <w:rPr>
          <w:rFonts w:hint="eastAsia"/>
          <w:color w:val="auto"/>
        </w:rPr>
        <w:t>【注意事项】</w:t>
      </w:r>
    </w:p>
    <w:p>
      <w:pPr>
        <w:rPr>
          <w:color w:val="auto"/>
        </w:rPr>
      </w:pPr>
      <w:r>
        <w:rPr>
          <w:rFonts w:hint="eastAsia"/>
          <w:color w:val="auto"/>
        </w:rPr>
        <w:t>该项下应该列出用该医疗机构制剂时必须注意的问题，包括需要慎用的情况（如肝功能、肾功能、中医特殊证候和体质的问题等），影响制剂疗效的因素（如饮食、烟、酒等对用药的影响），用药过程中需观察的情况（如过敏反应，定期检查血象、肝功能、肾功能等），用药对于临床检验指标的影响等。具体内容一般包括以下几个方面：</w:t>
      </w:r>
    </w:p>
    <w:p>
      <w:pPr>
        <w:rPr>
          <w:color w:val="auto"/>
        </w:rPr>
      </w:pPr>
      <w:r>
        <w:rPr>
          <w:color w:val="auto"/>
        </w:rPr>
        <w:t>1.一般注意事项：应包括使执业医师对制剂安全性和有效性产生担忧的任何问题。</w:t>
      </w:r>
    </w:p>
    <w:p>
      <w:pPr>
        <w:rPr>
          <w:color w:val="auto"/>
        </w:rPr>
      </w:pPr>
      <w:r>
        <w:rPr>
          <w:color w:val="auto"/>
        </w:rPr>
        <w:t>2.病人须知方面：需要提供给病人用药的安全性和有效性信息，如与驾驶有关的注意事项，以及合并用药可能使毒副作用和治疗作用改变的相关信息。</w:t>
      </w:r>
    </w:p>
    <w:p>
      <w:pPr>
        <w:rPr>
          <w:color w:val="auto"/>
        </w:rPr>
      </w:pPr>
      <w:r>
        <w:rPr>
          <w:color w:val="auto"/>
        </w:rPr>
        <w:t>3.出现不良反应时需要处理的措施、方法以及应注意的情况。</w:t>
      </w:r>
    </w:p>
    <w:p>
      <w:pPr>
        <w:rPr>
          <w:color w:val="auto"/>
        </w:rPr>
      </w:pPr>
      <w:r>
        <w:rPr>
          <w:color w:val="auto"/>
        </w:rPr>
        <w:t>4.实验室检查：应明确哪些实验室检查项目有助于疗效随访，哪些实验室检查项目有助于发现可能的不良反应。尽量提供在某些特定状态下某些特殊实验室检查项目的正常值和异常值的范围，以及这些实验室检查项目推荐的检查频次（在治疗前、治疗期间或治疗后）。</w:t>
      </w:r>
    </w:p>
    <w:p>
      <w:pPr>
        <w:rPr>
          <w:color w:val="auto"/>
        </w:rPr>
      </w:pPr>
      <w:r>
        <w:rPr>
          <w:color w:val="auto"/>
        </w:rPr>
        <w:t>5.制剂对实验室检查的干扰：如已知制剂会对实验室检查结果产生干扰，应简要地说明该干扰作用。</w:t>
      </w:r>
    </w:p>
    <w:p>
      <w:pPr>
        <w:rPr>
          <w:color w:val="auto"/>
        </w:rPr>
      </w:pPr>
      <w:r>
        <w:rPr>
          <w:color w:val="auto"/>
        </w:rPr>
        <w:t>6.过敏试验：如用药前需进行过敏试验，应在该项说明过敏试验的方法、过敏试验用制剂的配制方法及过敏试验结果的判定方法。</w:t>
      </w:r>
    </w:p>
    <w:p>
      <w:pPr>
        <w:rPr>
          <w:color w:val="auto"/>
        </w:rPr>
      </w:pPr>
      <w:r>
        <w:rPr>
          <w:color w:val="auto"/>
        </w:rPr>
        <w:t>7.可能产生药品滥用或药品依赖性的内容。</w:t>
      </w:r>
    </w:p>
    <w:p>
      <w:pPr>
        <w:rPr>
          <w:color w:val="auto"/>
        </w:rPr>
      </w:pPr>
      <w:r>
        <w:rPr>
          <w:color w:val="auto"/>
        </w:rPr>
        <w:t>8.因为中医证候、病机或体质等因素需要慎用者以及饮食、妊娠、配伍等方面与制剂有关的注意事项。</w:t>
      </w:r>
    </w:p>
    <w:p>
      <w:pPr>
        <w:rPr>
          <w:color w:val="auto"/>
        </w:rPr>
      </w:pPr>
      <w:r>
        <w:rPr>
          <w:color w:val="auto"/>
        </w:rPr>
        <w:t>9.制剂处方中含有可能引起严重不良反应的成份或辅料，应予以说明。</w:t>
      </w:r>
    </w:p>
    <w:p>
      <w:pPr>
        <w:rPr>
          <w:color w:val="auto"/>
        </w:rPr>
      </w:pPr>
      <w:r>
        <w:rPr>
          <w:color w:val="auto"/>
        </w:rPr>
        <w:t>10.其他需要注意提醒的情况。尚不清楚有无注意事项的，可在该项下以“尚不明确”来表述。</w:t>
      </w:r>
    </w:p>
    <w:p>
      <w:pPr>
        <w:rPr>
          <w:color w:val="auto"/>
        </w:rPr>
      </w:pPr>
      <w:r>
        <w:rPr>
          <w:rFonts w:hint="eastAsia"/>
          <w:color w:val="auto"/>
        </w:rPr>
        <w:t>【贮藏】</w:t>
      </w:r>
    </w:p>
    <w:p>
      <w:pPr>
        <w:rPr>
          <w:color w:val="auto"/>
        </w:rPr>
      </w:pPr>
      <w:r>
        <w:rPr>
          <w:rFonts w:hint="eastAsia"/>
          <w:color w:val="auto"/>
        </w:rPr>
        <w:t>应与省药品监督管理局批准或备案的该品种制剂标准中的贮藏项下的内容一致。</w:t>
      </w:r>
    </w:p>
    <w:p>
      <w:pPr>
        <w:rPr>
          <w:color w:val="auto"/>
        </w:rPr>
      </w:pPr>
      <w:r>
        <w:rPr>
          <w:rFonts w:hint="eastAsia"/>
          <w:color w:val="auto"/>
        </w:rPr>
        <w:t>【包装】</w:t>
      </w:r>
    </w:p>
    <w:p>
      <w:pPr>
        <w:rPr>
          <w:color w:val="auto"/>
        </w:rPr>
      </w:pPr>
      <w:r>
        <w:rPr>
          <w:rFonts w:hint="eastAsia"/>
          <w:color w:val="auto"/>
        </w:rPr>
        <w:t>包括和直接接触药品的包装材料和容器及包装规格。包装规格一般是指上市销售的最小包装的规格。应先表述直接接触药品的包装材料和容器，再表述包装规格。</w:t>
      </w:r>
    </w:p>
    <w:p>
      <w:pPr>
        <w:rPr>
          <w:color w:val="auto"/>
        </w:rPr>
      </w:pPr>
      <w:r>
        <w:rPr>
          <w:rFonts w:hint="eastAsia"/>
          <w:color w:val="auto"/>
        </w:rPr>
        <w:t>【生产日期】</w:t>
      </w:r>
    </w:p>
    <w:p>
      <w:pPr>
        <w:rPr>
          <w:color w:val="auto"/>
        </w:rPr>
      </w:pPr>
      <w:r>
        <w:rPr>
          <w:rFonts w:hint="eastAsia"/>
          <w:color w:val="auto"/>
        </w:rPr>
        <w:t>应以实际生产时间表述（说明书中可省略）。可以表述为：</w:t>
      </w:r>
      <w:r>
        <w:rPr>
          <w:color w:val="auto"/>
        </w:rPr>
        <w:t>XXXX年XX月XX日（X用阿拉伯数字表示）。</w:t>
      </w:r>
    </w:p>
    <w:p>
      <w:pPr>
        <w:rPr>
          <w:color w:val="auto"/>
        </w:rPr>
      </w:pPr>
      <w:r>
        <w:rPr>
          <w:rFonts w:hint="eastAsia"/>
          <w:color w:val="auto"/>
        </w:rPr>
        <w:t>【有效期】</w:t>
      </w:r>
    </w:p>
    <w:p>
      <w:pPr>
        <w:rPr>
          <w:color w:val="auto"/>
        </w:rPr>
      </w:pPr>
      <w:r>
        <w:rPr>
          <w:rFonts w:hint="eastAsia"/>
          <w:color w:val="auto"/>
        </w:rPr>
        <w:t>是指该医疗机构制剂在规定的贮藏条件下，能够保持质量稳定的期限。</w:t>
      </w:r>
    </w:p>
    <w:p>
      <w:pPr>
        <w:rPr>
          <w:color w:val="auto"/>
        </w:rPr>
      </w:pPr>
      <w:r>
        <w:rPr>
          <w:rFonts w:hint="eastAsia"/>
          <w:color w:val="auto"/>
        </w:rPr>
        <w:t>有效期应以月为单位表述。</w:t>
      </w:r>
    </w:p>
    <w:p>
      <w:pPr>
        <w:rPr>
          <w:color w:val="auto"/>
        </w:rPr>
      </w:pPr>
      <w:r>
        <w:rPr>
          <w:rFonts w:hint="eastAsia"/>
          <w:color w:val="auto"/>
        </w:rPr>
        <w:t>可以表述为：</w:t>
      </w:r>
      <w:r>
        <w:rPr>
          <w:color w:val="auto"/>
        </w:rPr>
        <w:t>XX个月（X用阿拉伯数字表示）。</w:t>
      </w:r>
    </w:p>
    <w:p>
      <w:pPr>
        <w:rPr>
          <w:color w:val="auto"/>
        </w:rPr>
      </w:pPr>
      <w:r>
        <w:rPr>
          <w:rFonts w:hint="eastAsia"/>
          <w:color w:val="auto"/>
        </w:rPr>
        <w:t>【执行标准】</w:t>
      </w:r>
    </w:p>
    <w:p>
      <w:pPr>
        <w:rPr>
          <w:color w:val="auto"/>
        </w:rPr>
      </w:pPr>
      <w:r>
        <w:rPr>
          <w:rFonts w:hint="eastAsia"/>
          <w:color w:val="auto"/>
        </w:rPr>
        <w:t>应列出目前执行的标准的名称、版本及编号；或名称及版本；或名称及编号。</w:t>
      </w:r>
    </w:p>
    <w:p>
      <w:pPr>
        <w:rPr>
          <w:color w:val="auto"/>
        </w:rPr>
      </w:pPr>
      <w:r>
        <w:rPr>
          <w:rFonts w:hint="eastAsia"/>
          <w:color w:val="auto"/>
        </w:rPr>
        <w:t>【批准文号</w:t>
      </w:r>
      <w:r>
        <w:rPr>
          <w:color w:val="auto"/>
        </w:rPr>
        <w:t>/备案号】</w:t>
      </w:r>
    </w:p>
    <w:p>
      <w:pPr>
        <w:rPr>
          <w:color w:val="auto"/>
        </w:rPr>
      </w:pPr>
      <w:r>
        <w:rPr>
          <w:rFonts w:hint="eastAsia"/>
          <w:color w:val="auto"/>
        </w:rPr>
        <w:t>是指省药品监督管理局批准该医疗机构制剂的批准文号或备案号。</w:t>
      </w:r>
    </w:p>
    <w:p>
      <w:pPr>
        <w:rPr>
          <w:color w:val="auto"/>
        </w:rPr>
      </w:pPr>
      <w:r>
        <w:rPr>
          <w:rFonts w:hint="eastAsia"/>
          <w:color w:val="auto"/>
        </w:rPr>
        <w:t>【配制单位】</w:t>
      </w:r>
    </w:p>
    <w:p>
      <w:pPr>
        <w:rPr>
          <w:color w:val="auto"/>
        </w:rPr>
      </w:pPr>
      <w:r>
        <w:rPr>
          <w:rFonts w:hint="eastAsia"/>
          <w:color w:val="auto"/>
        </w:rPr>
        <w:t>是指该医疗机构制剂的配制单位，该项内容必须与医疗机构制剂批准证明文件中的内容一致，并按下列方式列出：</w:t>
      </w:r>
    </w:p>
    <w:p>
      <w:pPr>
        <w:rPr>
          <w:color w:val="auto"/>
        </w:rPr>
      </w:pPr>
      <w:r>
        <w:rPr>
          <w:rFonts w:hint="eastAsia"/>
          <w:color w:val="auto"/>
        </w:rPr>
        <w:t>单位名称：</w:t>
      </w:r>
    </w:p>
    <w:p>
      <w:pPr>
        <w:rPr>
          <w:color w:val="auto"/>
        </w:rPr>
      </w:pPr>
      <w:r>
        <w:rPr>
          <w:rFonts w:hint="eastAsia"/>
          <w:color w:val="auto"/>
        </w:rPr>
        <w:t>配制地址：</w:t>
      </w:r>
    </w:p>
    <w:p>
      <w:pPr>
        <w:rPr>
          <w:color w:val="auto"/>
        </w:rPr>
      </w:pPr>
      <w:r>
        <w:rPr>
          <w:rFonts w:hint="eastAsia"/>
          <w:color w:val="auto"/>
        </w:rPr>
        <w:t>邮政编码：</w:t>
      </w:r>
    </w:p>
    <w:p>
      <w:pPr>
        <w:rPr>
          <w:color w:val="auto"/>
        </w:rPr>
      </w:pPr>
      <w:r>
        <w:rPr>
          <w:rFonts w:hint="eastAsia"/>
          <w:color w:val="auto"/>
        </w:rPr>
        <w:t>电话号码：须标明国内区号</w:t>
      </w:r>
    </w:p>
    <w:p>
      <w:pPr>
        <w:rPr>
          <w:color w:val="auto"/>
        </w:rPr>
      </w:pPr>
      <w:r>
        <w:rPr>
          <w:rFonts w:hint="eastAsia"/>
          <w:color w:val="auto"/>
        </w:rPr>
        <w:t>传真号码：须标明国内区号</w:t>
      </w:r>
    </w:p>
    <w:p>
      <w:pPr>
        <w:rPr>
          <w:color w:val="auto"/>
        </w:rPr>
      </w:pPr>
      <w:r>
        <w:rPr>
          <w:rFonts w:hint="eastAsia"/>
          <w:color w:val="auto"/>
        </w:rPr>
        <w:t>注册地址：应与《医疗机构制剂许可证》中的注册地址一致。</w:t>
      </w:r>
    </w:p>
    <w:p>
      <w:pPr>
        <w:rPr>
          <w:color w:val="auto"/>
        </w:rPr>
      </w:pPr>
      <w:r>
        <w:rPr>
          <w:rFonts w:hint="eastAsia"/>
          <w:color w:val="auto"/>
        </w:rPr>
        <w:t>网　　址：如无网址，此项可不保留</w:t>
      </w:r>
    </w:p>
    <w:p>
      <w:pPr>
        <w:rPr>
          <w:color w:val="auto"/>
        </w:rPr>
      </w:pPr>
      <w:r>
        <w:rPr>
          <w:rFonts w:hint="eastAsia"/>
          <w:color w:val="auto"/>
        </w:rPr>
        <w:t>如为委托配制，应在【委托配制单位】项下填写配制单位名称、配制地址。</w:t>
      </w:r>
    </w:p>
    <w:p>
      <w:pPr>
        <w:rPr>
          <w:color w:val="auto"/>
        </w:rPr>
      </w:pPr>
      <w:r>
        <w:rPr>
          <w:rFonts w:hint="eastAsia"/>
          <w:color w:val="auto"/>
        </w:rPr>
        <w:t>在说明书的下面标明“本制剂仅限本医疗机构使用”。</w:t>
      </w:r>
    </w:p>
    <w:p>
      <w:pPr>
        <w:rPr>
          <w:color w:val="auto"/>
        </w:rPr>
      </w:pPr>
      <w:r>
        <w:rPr>
          <w:rFonts w:hint="eastAsia"/>
          <w:color w:val="auto"/>
        </w:rPr>
        <w:t>含毒性中药饮片的中药制剂品种按照国家总局《关于修订含毒性中药饮片中成药品种说明书的通知》执行。</w:t>
      </w:r>
    </w:p>
    <w:p>
      <w:pPr>
        <w:rPr>
          <w:color w:val="auto"/>
        </w:rPr>
      </w:pPr>
      <w:r>
        <w:rPr>
          <w:rFonts w:hint="eastAsia"/>
          <w:color w:val="auto"/>
        </w:rPr>
        <w:t>说明书格式见附件3。</w:t>
      </w:r>
    </w:p>
    <w:p>
      <w:pPr>
        <w:rPr>
          <w:color w:val="auto"/>
        </w:rPr>
      </w:pPr>
      <w:r>
        <w:rPr>
          <w:rFonts w:hint="eastAsia"/>
          <w:color w:val="auto"/>
        </w:rPr>
        <w:t>（五）处方组成、来源、理论依据以及使用背景情况</w:t>
      </w:r>
    </w:p>
    <w:p>
      <w:pPr>
        <w:rPr>
          <w:color w:val="auto"/>
        </w:rPr>
      </w:pPr>
      <w:r>
        <w:rPr>
          <w:rFonts w:hint="eastAsia"/>
          <w:color w:val="auto"/>
        </w:rPr>
        <w:t>撰写处方组成、来源、理论依据以及使用背景情况的目的在于说明已有研究基础对申报品种拟主治病证（适应症）的安全性、有效性的支持程度，应反映其研究基础、研究目的、研究思路和研究过程。中药制剂应该突出中医药特色，强调中医药理论的指导作用和中医临床应用经验的支持作用。同样，民族药制剂应该突出民族药特色，强调民族医药理论的指导作用和民族医学临床应用经验的支持作用。</w:t>
      </w:r>
    </w:p>
    <w:p>
      <w:pPr>
        <w:rPr>
          <w:color w:val="auto"/>
        </w:rPr>
      </w:pPr>
      <w:r>
        <w:rPr>
          <w:rFonts w:hint="eastAsia"/>
          <w:color w:val="auto"/>
        </w:rPr>
        <w:t>处方组成</w:t>
      </w:r>
      <w:r>
        <w:rPr>
          <w:color w:val="auto"/>
        </w:rPr>
        <w:t xml:space="preserve"> 列出处方中的全部药味</w:t>
      </w:r>
      <w:r>
        <w:rPr>
          <w:rFonts w:hint="eastAsia"/>
          <w:color w:val="auto"/>
        </w:rPr>
        <w:t>，</w:t>
      </w:r>
      <w:r>
        <w:rPr>
          <w:color w:val="auto"/>
        </w:rPr>
        <w:t>按1000</w:t>
      </w:r>
      <w:r>
        <w:rPr>
          <w:rFonts w:hint="eastAsia"/>
          <w:color w:val="auto"/>
        </w:rPr>
        <w:t>个</w:t>
      </w:r>
      <w:r>
        <w:rPr>
          <w:color w:val="auto"/>
        </w:rPr>
        <w:t>制剂单位（g、ml、粒、片等）的成品制成</w:t>
      </w:r>
      <w:r>
        <w:rPr>
          <w:rFonts w:hint="eastAsia"/>
          <w:color w:val="auto"/>
        </w:rPr>
        <w:t>量，</w:t>
      </w:r>
      <w:r>
        <w:rPr>
          <w:color w:val="auto"/>
        </w:rPr>
        <w:t>计算的各药味剂量（并计算各药味日用生药量）。处方组成按方中君、臣、佐、使或主药、辅药的顺序依次排列</w:t>
      </w:r>
      <w:r>
        <w:rPr>
          <w:rFonts w:hint="eastAsia"/>
          <w:color w:val="auto"/>
        </w:rPr>
        <w:t>。应</w:t>
      </w:r>
      <w:r>
        <w:rPr>
          <w:color w:val="auto"/>
        </w:rPr>
        <w:t>明确处方是否含有法定标准中标识有毒性及现代毒理学证明有毒性的药材，是否含有十八反、十九畏配伍禁忌，各药味用量是否超过标准规定。</w:t>
      </w:r>
    </w:p>
    <w:p>
      <w:pPr>
        <w:rPr>
          <w:color w:val="auto"/>
        </w:rPr>
      </w:pPr>
      <w:r>
        <w:rPr>
          <w:rFonts w:hint="eastAsia"/>
          <w:color w:val="auto"/>
        </w:rPr>
        <w:t>应列表说明处方药味执行标准，非《中国药典》收载品种应提交药材/饮片执行标准复印件。明确处方药味是否为炮制品，如有特殊炮制工艺应以附件形式附于质量标准后。</w:t>
      </w:r>
      <w:r>
        <w:rPr>
          <w:color w:val="auto"/>
        </w:rPr>
        <w:t>多</w:t>
      </w:r>
      <w:r>
        <w:rPr>
          <w:rFonts w:hint="eastAsia"/>
          <w:color w:val="auto"/>
        </w:rPr>
        <w:t>基原的药</w:t>
      </w:r>
      <w:r>
        <w:rPr>
          <w:color w:val="auto"/>
        </w:rPr>
        <w:t>材除必须符合质量标准的要求外，应固定来源。对品种不同而质量差异较大的药材，宜固定品种，并提供品种选用的依据。</w:t>
      </w:r>
    </w:p>
    <w:p>
      <w:pPr>
        <w:rPr>
          <w:color w:val="auto"/>
        </w:rPr>
      </w:pPr>
      <w:r>
        <w:rPr>
          <w:rFonts w:hint="eastAsia"/>
          <w:color w:val="auto"/>
        </w:rPr>
        <w:t>处方来源</w:t>
      </w:r>
      <w:r>
        <w:rPr>
          <w:color w:val="auto"/>
        </w:rPr>
        <w:t xml:space="preserve"> 应详细说明处方来源、应用、筛选或演变过程及筛选的依据等情况。来源于古方的应该详细说明其具体出处、演变情况，现在的认识及其依据。已有临床应用经验的应该根据实际应用情况提供有效性和安全性方面的信息。</w:t>
      </w:r>
    </w:p>
    <w:p>
      <w:pPr>
        <w:rPr>
          <w:color w:val="auto"/>
        </w:rPr>
      </w:pPr>
      <w:r>
        <w:rPr>
          <w:rFonts w:hint="eastAsia"/>
          <w:color w:val="auto"/>
        </w:rPr>
        <w:t>理论依据</w:t>
      </w:r>
      <w:r>
        <w:rPr>
          <w:color w:val="auto"/>
        </w:rPr>
        <w:t xml:space="preserve"> 应用中医药或民族医药理论对主治病证的病因、病机、治法进行论述，并对处方的基本配伍原则及组成药物按方中君、臣、佐、使或主药、辅药的逻辑加以分析，以说明组方的合理性。</w:t>
      </w:r>
    </w:p>
    <w:p>
      <w:pPr>
        <w:rPr>
          <w:color w:val="auto"/>
        </w:rPr>
      </w:pPr>
      <w:r>
        <w:rPr>
          <w:rFonts w:hint="eastAsia"/>
          <w:color w:val="auto"/>
        </w:rPr>
        <w:t>使用背景情况</w:t>
      </w:r>
      <w:r>
        <w:rPr>
          <w:color w:val="auto"/>
        </w:rPr>
        <w:t xml:space="preserve"> 中药、民族药制剂如来源于临床医生的经验方，应说明临床应用基础及使用历史。使用背景情况应详细客观描述临床医生的姓名、处方起源，固定处方使用起始时间，处方固定过程，应用剂型，用法用量、功能主治（适应症），使用人群，合并用药情况，临床疗效情况等。附处方签、原始病历等相关临床使用的证明材料以附件方式提交。</w:t>
      </w:r>
    </w:p>
    <w:p>
      <w:pPr>
        <w:rPr>
          <w:color w:val="auto"/>
        </w:rPr>
      </w:pPr>
      <w:r>
        <w:rPr>
          <w:rFonts w:hint="eastAsia"/>
          <w:color w:val="auto"/>
        </w:rPr>
        <w:t>（六）配制工艺的研究资料及文献资料</w:t>
      </w:r>
    </w:p>
    <w:p>
      <w:pPr>
        <w:rPr>
          <w:color w:val="auto"/>
        </w:rPr>
      </w:pPr>
      <w:r>
        <w:rPr>
          <w:rFonts w:hint="eastAsia"/>
          <w:color w:val="auto"/>
        </w:rPr>
        <w:t>配制工艺的研究资料的撰写一般可分为处方、制法、工艺流程图、详细生产工艺、工艺研究、中试研究、参考文献。具体研究内容参见《配制工艺研究技术指导原则》。</w:t>
      </w:r>
    </w:p>
    <w:p>
      <w:pPr>
        <w:rPr>
          <w:color w:val="auto"/>
        </w:rPr>
      </w:pPr>
      <w:r>
        <w:rPr>
          <w:rFonts w:hint="eastAsia"/>
          <w:color w:val="auto"/>
        </w:rPr>
        <w:t>处方</w:t>
      </w:r>
      <w:r>
        <w:rPr>
          <w:color w:val="auto"/>
        </w:rPr>
        <w:t xml:space="preserve"> </w:t>
      </w:r>
      <w:r>
        <w:rPr>
          <w:rFonts w:hint="eastAsia"/>
          <w:color w:val="auto"/>
        </w:rPr>
        <w:t>配制</w:t>
      </w:r>
      <w:r>
        <w:rPr>
          <w:color w:val="auto"/>
        </w:rPr>
        <w:t>工艺资料中的处方组成药味、比例及剂量，</w:t>
      </w:r>
      <w:r>
        <w:rPr>
          <w:rFonts w:hint="eastAsia"/>
          <w:color w:val="auto"/>
        </w:rPr>
        <w:t>应</w:t>
      </w:r>
      <w:r>
        <w:rPr>
          <w:color w:val="auto"/>
        </w:rPr>
        <w:t>根据中医处方和配制工艺研究结果确定，一般按1000个制剂单位计算。应与质量标准中处方一致。</w:t>
      </w:r>
    </w:p>
    <w:p>
      <w:pPr>
        <w:rPr>
          <w:color w:val="auto"/>
        </w:rPr>
      </w:pPr>
      <w:r>
        <w:rPr>
          <w:rFonts w:hint="eastAsia"/>
          <w:color w:val="auto"/>
        </w:rPr>
        <w:t>制法</w:t>
      </w:r>
      <w:r>
        <w:rPr>
          <w:color w:val="auto"/>
        </w:rPr>
        <w:t xml:space="preserve"> 工艺及工艺参数来源于工艺研究资料。内容应与质量标准中制法一致。</w:t>
      </w:r>
    </w:p>
    <w:p>
      <w:pPr>
        <w:rPr>
          <w:color w:val="auto"/>
        </w:rPr>
      </w:pPr>
      <w:r>
        <w:rPr>
          <w:rFonts w:hint="eastAsia"/>
          <w:color w:val="auto"/>
        </w:rPr>
        <w:t>工艺流程图</w:t>
      </w:r>
      <w:r>
        <w:rPr>
          <w:color w:val="auto"/>
        </w:rPr>
        <w:t xml:space="preserve"> </w:t>
      </w:r>
      <w:r>
        <w:rPr>
          <w:rFonts w:hint="eastAsia"/>
          <w:color w:val="auto"/>
        </w:rPr>
        <w:t>按照配制工艺步骤提供完整、直观、简洁的工艺流程图，应涵盖所有的工艺步骤，标明主要工艺参数和所用提取溶剂等。</w:t>
      </w:r>
    </w:p>
    <w:p>
      <w:pPr>
        <w:rPr>
          <w:color w:val="auto"/>
        </w:rPr>
      </w:pPr>
      <w:r>
        <w:rPr>
          <w:rFonts w:hint="eastAsia"/>
          <w:color w:val="auto"/>
        </w:rPr>
        <w:t>详细生产工艺</w:t>
      </w:r>
      <w:r>
        <w:rPr>
          <w:color w:val="auto"/>
        </w:rPr>
        <w:t xml:space="preserve"> </w:t>
      </w:r>
      <w:r>
        <w:rPr>
          <w:rFonts w:hint="eastAsia"/>
          <w:color w:val="auto"/>
        </w:rPr>
        <w:t>对工艺过程进行规范描述（包括包装步骤），明确操作流程、工艺参数和范围。</w:t>
      </w:r>
    </w:p>
    <w:p>
      <w:pPr>
        <w:rPr>
          <w:color w:val="auto"/>
        </w:rPr>
      </w:pPr>
      <w:r>
        <w:rPr>
          <w:rFonts w:hint="eastAsia"/>
          <w:color w:val="auto"/>
        </w:rPr>
        <w:t>工艺研究</w:t>
      </w:r>
      <w:r>
        <w:rPr>
          <w:color w:val="auto"/>
        </w:rPr>
        <w:t xml:space="preserve"> 应</w:t>
      </w:r>
      <w:r>
        <w:rPr>
          <w:rFonts w:hint="eastAsia"/>
          <w:color w:val="auto"/>
        </w:rPr>
        <w:t>说</w:t>
      </w:r>
      <w:r>
        <w:rPr>
          <w:color w:val="auto"/>
        </w:rPr>
        <w:t>明工艺路线</w:t>
      </w:r>
      <w:r>
        <w:rPr>
          <w:rFonts w:hint="eastAsia"/>
          <w:color w:val="auto"/>
        </w:rPr>
        <w:t>选择</w:t>
      </w:r>
      <w:r>
        <w:rPr>
          <w:color w:val="auto"/>
        </w:rPr>
        <w:t>的合理性，剂型选择的理由及依据，</w:t>
      </w:r>
      <w:r>
        <w:rPr>
          <w:rFonts w:hint="eastAsia"/>
          <w:color w:val="auto"/>
        </w:rPr>
        <w:t>提供前处理</w:t>
      </w:r>
      <w:r>
        <w:rPr>
          <w:color w:val="auto"/>
        </w:rPr>
        <w:t>、提取、分离、纯化、浓缩、干燥及成型工艺</w:t>
      </w:r>
      <w:r>
        <w:rPr>
          <w:rFonts w:hint="eastAsia"/>
          <w:color w:val="auto"/>
        </w:rPr>
        <w:t>中主要工艺参数的确定依据及数据，明确关键工艺参数控制点</w:t>
      </w:r>
      <w:r>
        <w:rPr>
          <w:color w:val="auto"/>
        </w:rPr>
        <w:t>。</w:t>
      </w:r>
    </w:p>
    <w:p>
      <w:pPr>
        <w:rPr>
          <w:color w:val="auto"/>
        </w:rPr>
      </w:pPr>
      <w:r>
        <w:rPr>
          <w:rFonts w:hint="eastAsia"/>
          <w:color w:val="auto"/>
        </w:rPr>
        <w:t>中试研究</w:t>
      </w:r>
      <w:r>
        <w:rPr>
          <w:color w:val="auto"/>
        </w:rPr>
        <w:t xml:space="preserve"> 包括</w:t>
      </w:r>
      <w:r>
        <w:rPr>
          <w:rFonts w:hint="eastAsia"/>
          <w:color w:val="auto"/>
        </w:rPr>
        <w:t>批处方、工艺描述、</w:t>
      </w:r>
      <w:r>
        <w:rPr>
          <w:color w:val="auto"/>
        </w:rPr>
        <w:t>主要设备清单、中试用原料的鉴定与检验、</w:t>
      </w:r>
      <w:r>
        <w:rPr>
          <w:rFonts w:hint="eastAsia"/>
          <w:color w:val="auto"/>
        </w:rPr>
        <w:t>关键步骤和中间体的控制</w:t>
      </w:r>
      <w:r>
        <w:rPr>
          <w:color w:val="auto"/>
        </w:rPr>
        <w:t>、</w:t>
      </w:r>
      <w:r>
        <w:rPr>
          <w:rFonts w:hint="eastAsia"/>
          <w:color w:val="auto"/>
        </w:rPr>
        <w:t>生产数据和工艺验证资料</w:t>
      </w:r>
      <w:r>
        <w:rPr>
          <w:color w:val="auto"/>
        </w:rPr>
        <w:t>等。</w:t>
      </w:r>
    </w:p>
    <w:p>
      <w:pPr>
        <w:rPr>
          <w:color w:val="auto"/>
        </w:rPr>
      </w:pPr>
      <w:r>
        <w:rPr>
          <w:rFonts w:hint="eastAsia"/>
          <w:color w:val="auto"/>
        </w:rPr>
        <w:t>参考文献</w:t>
      </w:r>
      <w:r>
        <w:rPr>
          <w:color w:val="auto"/>
        </w:rPr>
        <w:t xml:space="preserve"> 按文中引用的顺序列出有关的参考文献目录，必要时附原文。</w:t>
      </w:r>
    </w:p>
    <w:p>
      <w:pPr>
        <w:rPr>
          <w:color w:val="auto"/>
        </w:rPr>
      </w:pPr>
      <w:r>
        <w:rPr>
          <w:rFonts w:hint="eastAsia"/>
          <w:color w:val="auto"/>
        </w:rPr>
        <w:t>（七）质量研究的试验资料及文献资料</w:t>
      </w:r>
    </w:p>
    <w:p>
      <w:pPr>
        <w:rPr>
          <w:color w:val="auto"/>
        </w:rPr>
      </w:pPr>
      <w:r>
        <w:rPr>
          <w:rFonts w:hint="eastAsia"/>
          <w:color w:val="auto"/>
        </w:rPr>
        <w:t>质量研究的试验资料主要阐述处方药味的理化性质及文献资料、与工艺质量有关的理化性质及文献资料、质量研究的试验项目及试验数据，并附相关照片及图谱。具体研究内容参见《质量标准研究技术指导原则》。</w:t>
      </w:r>
    </w:p>
    <w:p>
      <w:pPr>
        <w:rPr>
          <w:color w:val="auto"/>
        </w:rPr>
      </w:pPr>
      <w:r>
        <w:rPr>
          <w:rFonts w:hint="eastAsia"/>
          <w:color w:val="auto"/>
        </w:rPr>
        <w:t>（八）制剂的质量标准草案及起草说明</w:t>
      </w:r>
    </w:p>
    <w:p>
      <w:pPr>
        <w:rPr>
          <w:color w:val="auto"/>
        </w:rPr>
      </w:pPr>
      <w:r>
        <w:rPr>
          <w:rFonts w:hint="eastAsia"/>
          <w:color w:val="auto"/>
        </w:rPr>
        <w:t>质量标准草案</w:t>
      </w:r>
    </w:p>
    <w:p>
      <w:pPr>
        <w:rPr>
          <w:color w:val="auto"/>
        </w:rPr>
      </w:pPr>
      <w:r>
        <w:rPr>
          <w:rFonts w:hint="eastAsia"/>
          <w:color w:val="auto"/>
        </w:rPr>
        <w:t>医疗机构制剂（中药、民族药）质量标准草案是在处方固定和原料质量、制备工艺稳定的前提下拟定的，应能确实反应和控制最终产品质量。具体研究内容参见《制剂质量标准编写细则》。（质量标准草案格式见附件4）</w:t>
      </w:r>
    </w:p>
    <w:p>
      <w:pPr>
        <w:rPr>
          <w:color w:val="auto"/>
        </w:rPr>
      </w:pPr>
      <w:r>
        <w:rPr>
          <w:rFonts w:hint="eastAsia"/>
          <w:color w:val="auto"/>
        </w:rPr>
        <w:t>起草说明</w:t>
      </w:r>
    </w:p>
    <w:p>
      <w:pPr>
        <w:rPr>
          <w:color w:val="auto"/>
        </w:rPr>
      </w:pPr>
      <w:r>
        <w:rPr>
          <w:rFonts w:hint="eastAsia"/>
          <w:color w:val="auto"/>
        </w:rPr>
        <w:t>医疗机构制剂（中药、民族药）质量标准起草说明是说明标准起草过程中，制订各个项目的理由及规定各项指标和检测方法的依据；也是对该制剂从处方、制法，以及它们的理化鉴别，质量控制，临床应用，贮藏等方面资料的汇总，具体编写内容参照《制剂质量标准起草说明编写细则》实施。</w:t>
      </w:r>
    </w:p>
    <w:p>
      <w:pPr>
        <w:rPr>
          <w:color w:val="auto"/>
        </w:rPr>
      </w:pPr>
      <w:r>
        <w:rPr>
          <w:rFonts w:hint="eastAsia"/>
          <w:color w:val="auto"/>
        </w:rPr>
        <w:t>（九）制剂的稳定性试验资料</w:t>
      </w:r>
    </w:p>
    <w:p>
      <w:pPr>
        <w:rPr>
          <w:color w:val="auto"/>
        </w:rPr>
      </w:pPr>
      <w:r>
        <w:rPr>
          <w:rFonts w:hint="eastAsia"/>
          <w:color w:val="auto"/>
        </w:rPr>
        <w:t>将稳定性试验数据整理撰写资料，说明试验样品、试验条件、试验方法、试验项目、试验结果、确定制剂的贮存条件、包装材料</w:t>
      </w:r>
      <w:r>
        <w:rPr>
          <w:color w:val="auto"/>
        </w:rPr>
        <w:t>/容器、有效期、附相关照片及图谱。具体研究内容参见《稳定性研究技术指导原则》。</w:t>
      </w:r>
    </w:p>
    <w:p>
      <w:pPr>
        <w:rPr>
          <w:color w:val="auto"/>
        </w:rPr>
      </w:pPr>
      <w:r>
        <w:rPr>
          <w:rFonts w:hint="eastAsia"/>
          <w:color w:val="auto"/>
        </w:rPr>
        <w:t>（十）样品的自检报告书</w:t>
      </w:r>
    </w:p>
    <w:p>
      <w:pPr>
        <w:rPr>
          <w:color w:val="auto"/>
        </w:rPr>
      </w:pPr>
      <w:r>
        <w:rPr>
          <w:rFonts w:hint="eastAsia"/>
          <w:color w:val="auto"/>
        </w:rPr>
        <w:t>列出三批样品的检验报告书，一般应为中试或中试以上规模样品，并与现场核查抽检的样品批号一致。</w:t>
      </w:r>
    </w:p>
    <w:p>
      <w:pPr>
        <w:numPr>
          <w:ilvl w:val="0"/>
          <w:numId w:val="1"/>
        </w:numPr>
        <w:rPr>
          <w:color w:val="auto"/>
        </w:rPr>
      </w:pPr>
      <w:r>
        <w:rPr>
          <w:rFonts w:hint="eastAsia"/>
          <w:color w:val="auto"/>
        </w:rPr>
        <w:t>辅料的来源及质量标准</w:t>
      </w:r>
    </w:p>
    <w:p>
      <w:pPr>
        <w:rPr>
          <w:color w:val="auto"/>
        </w:rPr>
      </w:pPr>
      <w:r>
        <w:rPr>
          <w:rFonts w:hint="eastAsia"/>
          <w:color w:val="auto"/>
        </w:rPr>
        <w:t>所用辅料应符合药用要求并列表说明辅料执行标准（非《中国药典》收载品种应提交质量标准复印件）、在处方中的作用、登记信息。提供辅料生产商检验报告书等。</w:t>
      </w:r>
    </w:p>
    <w:p>
      <w:pPr>
        <w:rPr>
          <w:color w:val="auto"/>
        </w:rPr>
      </w:pPr>
      <w:r>
        <w:rPr>
          <w:rFonts w:hint="eastAsia"/>
          <w:color w:val="auto"/>
        </w:rPr>
        <w:t>（十二）直接接触制剂的包装材料和容器的选择依据及质量标准。</w:t>
      </w:r>
    </w:p>
    <w:p>
      <w:pPr>
        <w:ind w:firstLine="0" w:firstLineChars="0"/>
        <w:rPr>
          <w:color w:val="auto"/>
        </w:rPr>
      </w:pPr>
      <w:r>
        <w:rPr>
          <w:rFonts w:hint="eastAsia"/>
          <w:color w:val="auto"/>
        </w:rPr>
        <w:t>明确直接接触制剂的包装材料和容器组件，并结合包材应用情况、稳定性试验研究情况阐明选择依据，提供药包材的质量标准、生产商检验报告书、登记信息等。</w:t>
      </w:r>
    </w:p>
    <w:p>
      <w:pPr>
        <w:rPr>
          <w:color w:val="auto"/>
        </w:rPr>
      </w:pPr>
      <w:r>
        <w:rPr>
          <w:rFonts w:hint="eastAsia"/>
          <w:color w:val="auto"/>
        </w:rPr>
        <w:t>（十三）主要药效学试验资料及文献资料</w:t>
      </w:r>
    </w:p>
    <w:p>
      <w:pPr>
        <w:rPr>
          <w:color w:val="auto"/>
        </w:rPr>
      </w:pPr>
      <w:r>
        <w:rPr>
          <w:rFonts w:hint="eastAsia"/>
          <w:color w:val="auto"/>
        </w:rPr>
        <w:t>一般应撰写摘要、试验目的、试验材料、试验方法、试验结果、分析评价、参考文献等内容。具体研究内容参见《临床前药效学研究技术指导原则》。</w:t>
      </w:r>
    </w:p>
    <w:p>
      <w:pPr>
        <w:rPr>
          <w:color w:val="auto"/>
        </w:rPr>
      </w:pPr>
      <w:r>
        <w:rPr>
          <w:rFonts w:hint="eastAsia"/>
          <w:color w:val="auto"/>
        </w:rPr>
        <w:t>（十四）急性毒性试验资料及文献资料</w:t>
      </w:r>
    </w:p>
    <w:p>
      <w:pPr>
        <w:rPr>
          <w:color w:val="auto"/>
        </w:rPr>
      </w:pPr>
      <w:r>
        <w:rPr>
          <w:rFonts w:hint="eastAsia"/>
          <w:color w:val="auto"/>
        </w:rPr>
        <w:t>一般应撰写摘要、试验目的、试验材料、试验方法、试验结果、分析评价、参考文献等内容。具体研究内容参见《临床前安全性研究技术指导原则》。</w:t>
      </w:r>
    </w:p>
    <w:p>
      <w:pPr>
        <w:rPr>
          <w:color w:val="auto"/>
        </w:rPr>
      </w:pPr>
      <w:r>
        <w:rPr>
          <w:rFonts w:hint="eastAsia"/>
          <w:color w:val="auto"/>
        </w:rPr>
        <w:t>（十五）长期毒性试验资料及文献资料</w:t>
      </w:r>
    </w:p>
    <w:p>
      <w:pPr>
        <w:rPr>
          <w:color w:val="auto"/>
        </w:rPr>
      </w:pPr>
      <w:r>
        <w:rPr>
          <w:rFonts w:hint="eastAsia"/>
          <w:color w:val="auto"/>
        </w:rPr>
        <w:t>一般应撰写摘要、试验目的、试验材料、试验方法、试验结果、分析评价、参考文献等内容。具体研究内容参见《临床前安全性研究技术指导原则》。</w:t>
      </w:r>
    </w:p>
    <w:p>
      <w:pPr>
        <w:rPr>
          <w:color w:val="auto"/>
        </w:rPr>
      </w:pPr>
      <w:r>
        <w:rPr>
          <w:rFonts w:hint="eastAsia"/>
          <w:color w:val="auto"/>
        </w:rPr>
        <w:t>（十六）临床研究方案</w:t>
      </w:r>
    </w:p>
    <w:p>
      <w:pPr>
        <w:rPr>
          <w:color w:val="auto"/>
        </w:rPr>
      </w:pPr>
      <w:r>
        <w:rPr>
          <w:rFonts w:hint="eastAsia"/>
          <w:color w:val="auto"/>
        </w:rPr>
        <w:t>一般应撰写试验题目，试验背景，试验目的，试验设计，试验人群，治疗方案，药物包装、编盲、发放及清点，试验过程及访视，观测项目，疗效和安全性评价指标，不良事件的记录与报告，应急信件的拆阅与处理，试验的质量控制与保证，数据管理，统计分析，伦理原则，伦理学要求，资料保存，各方承担职责与论文发表规定，试验结束后的随访和医疗措施，试验总结，参考文献等内容。如为免临床研究，应阐明理由及依据。具体研究内容参见《临床研究技术指导原则》。</w:t>
      </w:r>
    </w:p>
    <w:p>
      <w:pPr>
        <w:rPr>
          <w:color w:val="auto"/>
        </w:rPr>
      </w:pPr>
      <w:r>
        <w:rPr>
          <w:rFonts w:hint="eastAsia"/>
          <w:color w:val="auto"/>
        </w:rPr>
        <w:t>（十七）临床研究总结</w:t>
      </w:r>
    </w:p>
    <w:p>
      <w:pPr>
        <w:rPr>
          <w:color w:val="auto"/>
        </w:rPr>
        <w:sectPr>
          <w:pgSz w:w="11906" w:h="16838"/>
          <w:pgMar w:top="1440" w:right="1800" w:bottom="1440" w:left="1800" w:header="851" w:footer="992" w:gutter="0"/>
          <w:cols w:space="425" w:num="1"/>
          <w:docGrid w:type="lines" w:linePitch="312" w:charSpace="0"/>
        </w:sectPr>
      </w:pPr>
      <w:r>
        <w:rPr>
          <w:rFonts w:hint="eastAsia"/>
          <w:color w:val="auto"/>
        </w:rPr>
        <w:t>一般应撰写摘要、前言、试验目的、试验方法、试验结果、讨论、结论、附件、参考文献等内容。如为免临床研究，应阐明理由及依据。具体研究内容参见《临床研究技术指导原则》。</w:t>
      </w:r>
    </w:p>
    <w:p>
      <w:pPr>
        <w:pStyle w:val="2"/>
        <w:rPr>
          <w:color w:val="auto"/>
        </w:rPr>
      </w:pPr>
      <w:bookmarkStart w:id="9" w:name="_Toc1906"/>
      <w:bookmarkStart w:id="10" w:name="_Toc23936"/>
      <w:bookmarkStart w:id="11" w:name="_Toc133164597"/>
      <w:r>
        <w:rPr>
          <w:rFonts w:hint="eastAsia"/>
          <w:color w:val="auto"/>
        </w:rPr>
        <w:t>制剂命名原则</w:t>
      </w:r>
      <w:bookmarkEnd w:id="9"/>
      <w:bookmarkEnd w:id="10"/>
      <w:bookmarkEnd w:id="11"/>
    </w:p>
    <w:p>
      <w:pPr>
        <w:rPr>
          <w:color w:val="auto"/>
        </w:rPr>
      </w:pPr>
      <w:r>
        <w:rPr>
          <w:rFonts w:hint="eastAsia"/>
          <w:color w:val="auto"/>
        </w:rPr>
        <w:t>一、基本命名原则</w:t>
      </w:r>
    </w:p>
    <w:p>
      <w:pPr>
        <w:rPr>
          <w:color w:val="auto"/>
        </w:rPr>
      </w:pPr>
      <w:r>
        <w:rPr>
          <w:rFonts w:hint="eastAsia"/>
          <w:color w:val="auto"/>
        </w:rPr>
        <w:t>制剂名称（包括中文名、汉语拼音名）应遵循《中成药通用名称命名技术指导原则》的相关规定：科学、明确、简短、不易产生歧义和误导，避免使用生涩用语。一般字数不超过</w:t>
      </w:r>
      <w:r>
        <w:rPr>
          <w:color w:val="auto"/>
        </w:rPr>
        <w:t>8个字（民族药除外，可采用约定俗成的汉译名）。不采用低俗、迷信用语。</w:t>
      </w:r>
    </w:p>
    <w:p>
      <w:pPr>
        <w:rPr>
          <w:color w:val="auto"/>
        </w:rPr>
      </w:pPr>
      <w:r>
        <w:rPr>
          <w:rFonts w:hint="eastAsia"/>
          <w:color w:val="auto"/>
        </w:rPr>
        <w:t>名称必须后缀剂型，剂型的表述应按现行版《中国药典》的规范表述。名称中除剂型外，制剂名称不应与现行国家药品标准所收载的品种或已批准的医疗机构制剂重名，避免同名异方、同方异名的产生。不得使用商品名。不应采用人名、地名、企业名称或濒危受保护动、植物名称命名。不采用代号、固有特定含义名词的谐音命名。如：</w:t>
      </w:r>
      <w:r>
        <w:rPr>
          <w:color w:val="auto"/>
        </w:rPr>
        <w:t>X0X、名人名字的谐音</w:t>
      </w:r>
      <w:r>
        <w:rPr>
          <w:rFonts w:hint="eastAsia"/>
          <w:color w:val="auto"/>
        </w:rPr>
        <w:t>、XXX一号</w:t>
      </w:r>
      <w:r>
        <w:rPr>
          <w:color w:val="auto"/>
        </w:rPr>
        <w:t>等。不采用现代医学药理学、解剖学、生理学、病理学或治疗学的相关用语命名。如：癌、消炎、降糖、降压、降脂等。不采用夸大、自诩、不切实际的用语。如：强力、速效、御制、秘制以及灵、宝、精等（名称中</w:t>
      </w:r>
      <w:r>
        <w:rPr>
          <w:rFonts w:hint="eastAsia"/>
          <w:color w:val="auto"/>
        </w:rPr>
        <w:t>含药材名全称及中医术语的除外）。可借鉴古方命名充分结合美学观念的优点，使中成药的名称既科学规范，又体现一定的中华传统文化底蕴。但是，名称中所采用的具有文化特色的用语应当具有明确的文献依据或公认的文化渊源，并避免夸大疗效。</w:t>
      </w:r>
    </w:p>
    <w:p>
      <w:pPr>
        <w:rPr>
          <w:color w:val="auto"/>
        </w:rPr>
      </w:pPr>
      <w:r>
        <w:rPr>
          <w:rFonts w:hint="eastAsia"/>
          <w:color w:val="auto"/>
        </w:rPr>
        <w:t>二、单味制剂命名</w:t>
      </w:r>
    </w:p>
    <w:p>
      <w:pPr>
        <w:rPr>
          <w:color w:val="auto"/>
        </w:rPr>
      </w:pPr>
      <w:r>
        <w:rPr>
          <w:rFonts w:hint="eastAsia"/>
          <w:color w:val="auto"/>
        </w:rPr>
        <w:t>一般采用中药材、中药饮片或提取物加剂型命名。</w:t>
      </w:r>
    </w:p>
    <w:p>
      <w:pPr>
        <w:rPr>
          <w:color w:val="auto"/>
        </w:rPr>
      </w:pPr>
      <w:r>
        <w:rPr>
          <w:rFonts w:hint="eastAsia"/>
          <w:color w:val="auto"/>
        </w:rPr>
        <w:t>三、复方制剂命名</w:t>
      </w:r>
    </w:p>
    <w:p>
      <w:pPr>
        <w:rPr>
          <w:color w:val="auto"/>
        </w:rPr>
      </w:pPr>
      <w:r>
        <w:rPr>
          <w:rFonts w:hint="eastAsia"/>
          <w:color w:val="auto"/>
        </w:rPr>
        <w:t>（一）采用处方主要药材名称的缩写加剂型命名，但其缩写不能组合成违反其他命名要求的含义。如：香连丸，由木香、黄连组成；桂附地黄丸由肉桂、附子、熟地黄、山药、山茱萸、茯苓、丹皮、泽泻组成；葛根芩连片由葛根、黄芩、黄连、甘草组成。</w:t>
      </w:r>
    </w:p>
    <w:p>
      <w:pPr>
        <w:rPr>
          <w:color w:val="auto"/>
        </w:rPr>
      </w:pPr>
      <w:r>
        <w:rPr>
          <w:rFonts w:hint="eastAsia"/>
          <w:color w:val="auto"/>
        </w:rPr>
        <w:t>（二）采用主要功能（只能采用中医术语表述功能，下同）加剂型命名。该类型命名中，可直接以功能命名，如：补中益气合剂、除痰止嗽丸、补心丹、定志丸等</w:t>
      </w:r>
    </w:p>
    <w:p>
      <w:pPr>
        <w:rPr>
          <w:color w:val="auto"/>
        </w:rPr>
      </w:pPr>
      <w:r>
        <w:rPr>
          <w:rFonts w:hint="eastAsia"/>
          <w:color w:val="auto"/>
        </w:rPr>
        <w:t>（三）采用药物味数加剂型命名。如：四物汤等。</w:t>
      </w:r>
    </w:p>
    <w:p>
      <w:pPr>
        <w:rPr>
          <w:color w:val="auto"/>
        </w:rPr>
      </w:pPr>
      <w:r>
        <w:rPr>
          <w:rFonts w:hint="eastAsia"/>
          <w:color w:val="auto"/>
        </w:rPr>
        <w:t>（四）可采用君药或主要药材名称加功能及剂型命名。如：龙胆泻肝丸、当归补血汤等。龙胆泻肝丸，具有泻肝胆经实火，除下焦湿热之功效。方中君药龙胆草，有泻肝胆实火作用。当归补血汤，具有补气生血之功效。方中主药当归，有益血和营作用。</w:t>
      </w:r>
    </w:p>
    <w:p>
      <w:pPr>
        <w:rPr>
          <w:color w:val="auto"/>
        </w:rPr>
      </w:pPr>
      <w:r>
        <w:rPr>
          <w:rFonts w:hint="eastAsia"/>
          <w:color w:val="auto"/>
        </w:rPr>
        <w:t>（五）可采用药味数与主要药材名称，或者药味数与功能或用法加剂型命名。如：五苓散等。五苓散，方中有猪苓、泽泻、白术、茯苓、桂枝，同时含两个“苓”，故名。</w:t>
      </w:r>
    </w:p>
    <w:p>
      <w:pPr>
        <w:rPr>
          <w:color w:val="auto"/>
        </w:rPr>
      </w:pPr>
      <w:r>
        <w:rPr>
          <w:rFonts w:hint="eastAsia"/>
          <w:color w:val="auto"/>
        </w:rPr>
        <w:t>（六）可采用处方来源（不包括朝代）与功能或药名加剂型命名。如：指迷茯苓丸等。名称中含“茯苓丸”的方剂数量较多。指迷茯苓丸，是指来自于《全生指迷方》的茯苓丸，缀以“指迷”，意在从方剂来源区分之。</w:t>
      </w:r>
    </w:p>
    <w:p>
      <w:pPr>
        <w:rPr>
          <w:color w:val="auto"/>
        </w:rPr>
      </w:pPr>
      <w:r>
        <w:rPr>
          <w:rFonts w:hint="eastAsia"/>
          <w:color w:val="auto"/>
        </w:rPr>
        <w:t>（七）可采用功能与药物作用的病位（中医术语）加剂型命名。如：温胆汤、养阴清肺丸、清热泻脾散、清胃散、少腹逐瘀汤、化滞柔肝胶囊等。</w:t>
      </w:r>
    </w:p>
    <w:p>
      <w:pPr>
        <w:rPr>
          <w:color w:val="auto"/>
        </w:rPr>
      </w:pPr>
      <w:r>
        <w:rPr>
          <w:rFonts w:hint="eastAsia"/>
          <w:color w:val="auto"/>
        </w:rPr>
        <w:t>（八）以服用时间加剂型命名。如：鸡鸣散等。</w:t>
      </w:r>
    </w:p>
    <w:p>
      <w:pPr>
        <w:rPr>
          <w:color w:val="auto"/>
        </w:rPr>
      </w:pPr>
      <w:r>
        <w:rPr>
          <w:rFonts w:hint="eastAsia"/>
          <w:color w:val="auto"/>
        </w:rPr>
        <w:t>鸡鸣散，所谓“鸡鸣”，是指鸡鸣时分，此方须在清晨空腹时服下，故名“鸡鸣散”。</w:t>
      </w:r>
    </w:p>
    <w:p>
      <w:pPr>
        <w:rPr>
          <w:color w:val="auto"/>
        </w:rPr>
      </w:pPr>
      <w:r>
        <w:rPr>
          <w:rFonts w:hint="eastAsia"/>
          <w:color w:val="auto"/>
        </w:rPr>
        <w:t>（九）可采用主要药材和药引结合并加剂型命名。如：川芎茶调散，以茶水调服，故名。</w:t>
      </w:r>
    </w:p>
    <w:p>
      <w:pPr>
        <w:rPr>
          <w:color w:val="auto"/>
        </w:rPr>
      </w:pPr>
      <w:r>
        <w:rPr>
          <w:rFonts w:hint="eastAsia"/>
          <w:color w:val="auto"/>
        </w:rPr>
        <w:t>（十）儿科用药可加该药临床所用的科名，如：小儿消食片等。</w:t>
      </w:r>
    </w:p>
    <w:p>
      <w:pPr>
        <w:rPr>
          <w:color w:val="auto"/>
        </w:rPr>
        <w:sectPr>
          <w:pgSz w:w="11906" w:h="16838"/>
          <w:pgMar w:top="1440" w:right="1800" w:bottom="1440" w:left="1800" w:header="851" w:footer="992" w:gutter="0"/>
          <w:cols w:space="425" w:num="1"/>
          <w:docGrid w:type="lines" w:linePitch="312" w:charSpace="0"/>
        </w:sectPr>
      </w:pPr>
      <w:r>
        <w:rPr>
          <w:rFonts w:hint="eastAsia"/>
          <w:color w:val="auto"/>
        </w:rPr>
        <w:t>（十一）可在命名中加该药的用法，如：小儿敷脐止泻散、含化上清片、外用紫金锭等。</w:t>
      </w:r>
    </w:p>
    <w:p>
      <w:pPr>
        <w:pStyle w:val="2"/>
        <w:rPr>
          <w:color w:val="auto"/>
        </w:rPr>
      </w:pPr>
      <w:bookmarkStart w:id="12" w:name="_Toc133164598"/>
      <w:bookmarkStart w:id="13" w:name="_Toc19181"/>
      <w:bookmarkStart w:id="14" w:name="_Toc23340"/>
      <w:r>
        <w:rPr>
          <w:rFonts w:hint="eastAsia"/>
          <w:color w:val="auto"/>
        </w:rPr>
        <w:t>配制工艺研究技术指导原则</w:t>
      </w:r>
      <w:bookmarkEnd w:id="12"/>
      <w:bookmarkEnd w:id="13"/>
      <w:bookmarkEnd w:id="14"/>
    </w:p>
    <w:p>
      <w:pPr>
        <w:rPr>
          <w:color w:val="auto"/>
        </w:rPr>
      </w:pPr>
      <w:r>
        <w:rPr>
          <w:color w:val="auto"/>
        </w:rPr>
        <w:t>根据《医疗机构制剂注册管理办法》（试行）</w:t>
      </w:r>
      <w:r>
        <w:rPr>
          <w:rFonts w:hint="eastAsia"/>
          <w:color w:val="auto"/>
        </w:rPr>
        <w:t>、《云南省医疗机构制剂注册管理实施细则</w:t>
      </w:r>
      <w:r>
        <w:rPr>
          <w:color w:val="auto"/>
        </w:rPr>
        <w:t>》和</w:t>
      </w:r>
      <w:r>
        <w:rPr>
          <w:rFonts w:hint="eastAsia"/>
          <w:color w:val="auto"/>
        </w:rPr>
        <w:t>《云南省医疗机构应用传统工艺配制中药（民族药）制剂备案实施细则》</w:t>
      </w:r>
      <w:r>
        <w:rPr>
          <w:color w:val="auto"/>
        </w:rPr>
        <w:t>，参照国家药品监督管理局颁布的中药、天然药物研究相关技术指导原则，结合云南省医疗机构中药</w:t>
      </w:r>
      <w:r>
        <w:rPr>
          <w:rFonts w:hint="eastAsia"/>
          <w:color w:val="auto"/>
        </w:rPr>
        <w:t>（</w:t>
      </w:r>
      <w:r>
        <w:rPr>
          <w:color w:val="auto"/>
        </w:rPr>
        <w:t>民族药</w:t>
      </w:r>
      <w:r>
        <w:rPr>
          <w:rFonts w:hint="eastAsia"/>
          <w:color w:val="auto"/>
        </w:rPr>
        <w:t>）</w:t>
      </w:r>
      <w:r>
        <w:rPr>
          <w:color w:val="auto"/>
        </w:rPr>
        <w:t>制剂研究、注册</w:t>
      </w:r>
      <w:r>
        <w:rPr>
          <w:rFonts w:hint="eastAsia"/>
          <w:color w:val="auto"/>
        </w:rPr>
        <w:t>、备案</w:t>
      </w:r>
      <w:r>
        <w:rPr>
          <w:color w:val="auto"/>
        </w:rPr>
        <w:t>的实际情况，制定本技术指导原则，目的是对医疗机构中药制剂配制工艺的研究与评价提供明确统一的要求，力求做到剂型选择合理、配制工艺可行，工艺参数明确、质量稳定可控。</w:t>
      </w:r>
    </w:p>
    <w:p>
      <w:pPr>
        <w:rPr>
          <w:color w:val="auto"/>
        </w:rPr>
      </w:pPr>
      <w:r>
        <w:rPr>
          <w:color w:val="auto"/>
        </w:rPr>
        <w:t>配制工艺研究技术指导原则包括剂型选择、工艺路线选择、药材的前处理、提取工艺研究、成型工艺研究、中试研究的要求、附注。</w:t>
      </w:r>
    </w:p>
    <w:p>
      <w:pPr>
        <w:rPr>
          <w:color w:val="auto"/>
        </w:rPr>
      </w:pPr>
      <w:r>
        <w:rPr>
          <w:color w:val="auto"/>
        </w:rPr>
        <w:t>一、剂型选择</w:t>
      </w:r>
    </w:p>
    <w:p>
      <w:pPr>
        <w:rPr>
          <w:color w:val="auto"/>
        </w:rPr>
      </w:pPr>
      <w:r>
        <w:rPr>
          <w:color w:val="auto"/>
        </w:rPr>
        <w:t>药物必须</w:t>
      </w:r>
      <w:r>
        <w:rPr>
          <w:rFonts w:hint="eastAsia"/>
          <w:color w:val="auto"/>
        </w:rPr>
        <w:t>依据用药需求</w:t>
      </w:r>
      <w:r>
        <w:rPr>
          <w:color w:val="auto"/>
        </w:rPr>
        <w:t>制成适宜的剂型才能</w:t>
      </w:r>
      <w:r>
        <w:rPr>
          <w:rFonts w:hint="eastAsia"/>
          <w:color w:val="auto"/>
        </w:rPr>
        <w:t>用于临床</w:t>
      </w:r>
      <w:r>
        <w:rPr>
          <w:color w:val="auto"/>
        </w:rPr>
        <w:t>。剂型的不同，可能导致药物作用效果的不同，从而关系到药物的临床疗效及不良反应。</w:t>
      </w:r>
    </w:p>
    <w:p>
      <w:pPr>
        <w:rPr>
          <w:color w:val="auto"/>
        </w:rPr>
      </w:pPr>
      <w:r>
        <w:rPr>
          <w:color w:val="auto"/>
        </w:rPr>
        <w:t>中药、民族药剂型的选择，应通过文献研究或预试验，从以下几方面进行分析，充分阐述剂型选择的科学性、合理性和必要性，说明剂型选择的理由及依据。所选剂型的用法应与前期临床用法相同或相近。</w:t>
      </w:r>
    </w:p>
    <w:p>
      <w:pPr>
        <w:rPr>
          <w:color w:val="auto"/>
        </w:rPr>
      </w:pPr>
      <w:r>
        <w:rPr>
          <w:color w:val="auto"/>
        </w:rPr>
        <w:t>（一）临床需要及用药对象</w:t>
      </w:r>
    </w:p>
    <w:p>
      <w:pPr>
        <w:rPr>
          <w:color w:val="auto"/>
        </w:rPr>
      </w:pPr>
      <w:r>
        <w:rPr>
          <w:color w:val="auto"/>
        </w:rPr>
        <w:t>根据不同的临床病症需要，考虑临床适应症、临床定位、以往用药经验，以及用药对象的顺应性和生理情况进行。如儿童用药多考虑颗粒剂、糖浆剂。</w:t>
      </w:r>
    </w:p>
    <w:p>
      <w:pPr>
        <w:rPr>
          <w:color w:val="auto"/>
        </w:rPr>
      </w:pPr>
      <w:r>
        <w:rPr>
          <w:color w:val="auto"/>
        </w:rPr>
        <w:t>（二）药物性质及处方剂量</w:t>
      </w:r>
    </w:p>
    <w:p>
      <w:pPr>
        <w:rPr>
          <w:color w:val="auto"/>
        </w:rPr>
      </w:pPr>
      <w:r>
        <w:rPr>
          <w:color w:val="auto"/>
        </w:rPr>
        <w:t>中药、民族药有效成分复杂，应根据药物的性质等因素选择适宜的剂型。选择剂型时应考虑临床适应症、临床定位、既往用药经验、处方量、中间体量及性质、临床用药剂量，以及不同剂型的载药量。如用药量大、临床主要使用汤剂入药的，可以考虑选择颗粒剂、合剂、糖浆剂、膏滋剂、酊剂等载药量大、全提取的剂型；对用药量小、活性强、临床主要使用粉剂用药的可以考虑全生粉剂型，如丸剂、散剂</w:t>
      </w:r>
      <w:r>
        <w:rPr>
          <w:rFonts w:hint="eastAsia"/>
          <w:color w:val="auto"/>
        </w:rPr>
        <w:t>、片</w:t>
      </w:r>
      <w:r>
        <w:rPr>
          <w:color w:val="auto"/>
        </w:rPr>
        <w:t>剂、胶囊剂等；也可以根据药物性质考虑部分提取，部分生粉的胶囊剂、片剂</w:t>
      </w:r>
      <w:r>
        <w:rPr>
          <w:rFonts w:hint="eastAsia"/>
          <w:color w:val="auto"/>
        </w:rPr>
        <w:t>、</w:t>
      </w:r>
      <w:r>
        <w:rPr>
          <w:color w:val="auto"/>
        </w:rPr>
        <w:t>浓缩丸等。</w:t>
      </w:r>
    </w:p>
    <w:p>
      <w:pPr>
        <w:rPr>
          <w:color w:val="auto"/>
        </w:rPr>
      </w:pPr>
      <w:r>
        <w:rPr>
          <w:color w:val="auto"/>
        </w:rPr>
        <w:t>（三）药物的安全性</w:t>
      </w:r>
    </w:p>
    <w:p>
      <w:pPr>
        <w:rPr>
          <w:color w:val="auto"/>
        </w:rPr>
      </w:pPr>
      <w:r>
        <w:rPr>
          <w:color w:val="auto"/>
        </w:rPr>
        <w:t>在选择剂型时需充分考虑药物安全性，并考虑以往用药经验和研究结果，不宜采用</w:t>
      </w:r>
      <w:r>
        <w:rPr>
          <w:rFonts w:hint="eastAsia"/>
          <w:color w:val="auto"/>
        </w:rPr>
        <w:t>可能</w:t>
      </w:r>
      <w:r>
        <w:rPr>
          <w:color w:val="auto"/>
        </w:rPr>
        <w:t>增加</w:t>
      </w:r>
      <w:r>
        <w:rPr>
          <w:rFonts w:hint="eastAsia"/>
          <w:color w:val="auto"/>
        </w:rPr>
        <w:t>用药</w:t>
      </w:r>
      <w:r>
        <w:rPr>
          <w:color w:val="auto"/>
        </w:rPr>
        <w:t>风险的剂型。如前期临床是外用制剂的不宜为口服制剂。</w:t>
      </w:r>
    </w:p>
    <w:p>
      <w:pPr>
        <w:rPr>
          <w:color w:val="auto"/>
        </w:rPr>
      </w:pPr>
      <w:r>
        <w:rPr>
          <w:color w:val="auto"/>
        </w:rPr>
        <w:t>二、工艺路线选择</w:t>
      </w:r>
    </w:p>
    <w:p>
      <w:pPr>
        <w:rPr>
          <w:color w:val="auto"/>
        </w:rPr>
      </w:pPr>
      <w:r>
        <w:rPr>
          <w:color w:val="auto"/>
        </w:rPr>
        <w:t>根据选择的剂型、药材的性质、临床用药要求，规模化生产的可行性以及环保要求等进行工艺路线设计或预实验，说明所拟定工艺路线的合理性。工艺路线一般涉及</w:t>
      </w:r>
      <w:r>
        <w:rPr>
          <w:rFonts w:hint="eastAsia"/>
          <w:color w:val="auto"/>
        </w:rPr>
        <w:t>前处理、</w:t>
      </w:r>
      <w:r>
        <w:rPr>
          <w:color w:val="auto"/>
        </w:rPr>
        <w:t>提取</w:t>
      </w:r>
      <w:r>
        <w:rPr>
          <w:rFonts w:hint="eastAsia"/>
          <w:color w:val="auto"/>
        </w:rPr>
        <w:t>、纯化</w:t>
      </w:r>
      <w:r>
        <w:rPr>
          <w:color w:val="auto"/>
        </w:rPr>
        <w:t>、浓缩</w:t>
      </w:r>
      <w:r>
        <w:rPr>
          <w:rFonts w:hint="eastAsia"/>
          <w:color w:val="auto"/>
        </w:rPr>
        <w:t>、</w:t>
      </w:r>
      <w:r>
        <w:rPr>
          <w:color w:val="auto"/>
        </w:rPr>
        <w:t>干燥、粉碎、制剂</w:t>
      </w:r>
      <w:r>
        <w:rPr>
          <w:rFonts w:hint="eastAsia"/>
          <w:color w:val="auto"/>
        </w:rPr>
        <w:t>成型、包装选择</w:t>
      </w:r>
      <w:r>
        <w:rPr>
          <w:color w:val="auto"/>
        </w:rPr>
        <w:t>等。</w:t>
      </w:r>
    </w:p>
    <w:p>
      <w:pPr>
        <w:rPr>
          <w:color w:val="auto"/>
        </w:rPr>
      </w:pPr>
      <w:r>
        <w:rPr>
          <w:color w:val="auto"/>
        </w:rPr>
        <w:t>提取</w:t>
      </w:r>
      <w:r>
        <w:rPr>
          <w:rFonts w:hint="eastAsia"/>
          <w:color w:val="auto"/>
        </w:rPr>
        <w:t>纯化</w:t>
      </w:r>
      <w:r>
        <w:rPr>
          <w:color w:val="auto"/>
        </w:rPr>
        <w:t>工艺应尽可能多地提取出有效成分，或根据某一成分或某类成分的性质提取目的物。提取溶剂选择应尽量避免使用一、二类有机溶剂，中药、民族药医疗机构制剂主要以水或不同浓度的乙醇为溶剂。</w:t>
      </w:r>
    </w:p>
    <w:p>
      <w:pPr>
        <w:rPr>
          <w:color w:val="auto"/>
        </w:rPr>
      </w:pPr>
      <w:r>
        <w:rPr>
          <w:color w:val="auto"/>
        </w:rPr>
        <w:t>浓缩、干燥工艺应依据物料的理化性质、制剂的要求，影响浓缩、干燥效果的因素，选择相应工艺路线和工艺设备，使所得物达到要求的相对密度或含水量，以便于制剂成型。</w:t>
      </w:r>
    </w:p>
    <w:p>
      <w:pPr>
        <w:rPr>
          <w:color w:val="auto"/>
        </w:rPr>
      </w:pPr>
      <w:r>
        <w:rPr>
          <w:color w:val="auto"/>
        </w:rPr>
        <w:t>粉碎主要是将干燥提取物、有效成分或直接进入制剂的饮片粉碎成粉末的过程。根据药物性质，粉碎部分可以是贵细药、可以是不宜提取的药物，或用于制剂赋形，减少辅料用量。</w:t>
      </w:r>
    </w:p>
    <w:p>
      <w:pPr>
        <w:rPr>
          <w:color w:val="auto"/>
        </w:rPr>
      </w:pPr>
      <w:r>
        <w:rPr>
          <w:color w:val="auto"/>
        </w:rPr>
        <w:t>制剂成型工艺应注意实验室条件与中试和生产的衔接，考虑大生产制剂设备的可行性、适应性。</w:t>
      </w:r>
    </w:p>
    <w:p>
      <w:pPr>
        <w:rPr>
          <w:color w:val="auto"/>
        </w:rPr>
      </w:pPr>
      <w:r>
        <w:rPr>
          <w:color w:val="auto"/>
        </w:rPr>
        <w:t>三、药材的前处理</w:t>
      </w:r>
    </w:p>
    <w:p>
      <w:pPr>
        <w:rPr>
          <w:color w:val="auto"/>
        </w:rPr>
      </w:pPr>
      <w:r>
        <w:rPr>
          <w:color w:val="auto"/>
        </w:rPr>
        <w:t>中药、民族药制剂的原料包括饮片、提取物和有效成分。为保证中药、民族药制剂的安全性、有效性和质量可控性，应对原料进行必要的前处理。原料的前处理包括鉴定与检验、炮制与加工。</w:t>
      </w:r>
    </w:p>
    <w:p>
      <w:pPr>
        <w:rPr>
          <w:color w:val="auto"/>
        </w:rPr>
      </w:pPr>
      <w:r>
        <w:rPr>
          <w:color w:val="auto"/>
        </w:rPr>
        <w:t>医疗机构中药、民族药制剂应以经检验合格的中药饮片、提取物和有效成分投料。需炮制的药材应按现行版《中国药典》</w:t>
      </w:r>
      <w:r>
        <w:rPr>
          <w:rFonts w:hint="eastAsia"/>
          <w:color w:val="auto"/>
        </w:rPr>
        <w:t>、《国家中药饮片炮制规范》</w:t>
      </w:r>
      <w:r>
        <w:rPr>
          <w:color w:val="auto"/>
        </w:rPr>
        <w:t>、</w:t>
      </w:r>
      <w:r>
        <w:rPr>
          <w:rFonts w:hint="eastAsia"/>
          <w:color w:val="auto"/>
        </w:rPr>
        <w:t>地方</w:t>
      </w:r>
      <w:r>
        <w:rPr>
          <w:color w:val="auto"/>
        </w:rPr>
        <w:t>中药饮片炮制规范、或各民族医药典籍中记载的炮制方法进行炮制，</w:t>
      </w:r>
      <w:r>
        <w:rPr>
          <w:rFonts w:hint="eastAsia"/>
          <w:color w:val="auto"/>
        </w:rPr>
        <w:t>并</w:t>
      </w:r>
      <w:r>
        <w:rPr>
          <w:color w:val="auto"/>
        </w:rPr>
        <w:t>提供方法来源。凡需特殊炮制的药材，应说明炮制目的，提供方法依据。</w:t>
      </w:r>
    </w:p>
    <w:p>
      <w:pPr>
        <w:rPr>
          <w:color w:val="auto"/>
        </w:rPr>
      </w:pPr>
      <w:r>
        <w:rPr>
          <w:color w:val="auto"/>
        </w:rPr>
        <w:t>中药饮片必须从具有合法资质的企业购进。对市场上没有供应的中药饮片，医疗机构可以根据制剂配制研究的需要，在本医疗机构内炮制；医疗机构也可以根据制剂配制研究需要，对中药饮片进行再加工。医疗机构炮制、再加工的中药饮片，只能专门用于制剂配制研究。医疗机构应当遵守中药饮片炮制的有关规定，对其炮制或再加工的中药饮片的质量负责，保证饮片安全。</w:t>
      </w:r>
    </w:p>
    <w:p>
      <w:pPr>
        <w:rPr>
          <w:color w:val="auto"/>
        </w:rPr>
      </w:pPr>
      <w:r>
        <w:rPr>
          <w:color w:val="auto"/>
        </w:rPr>
        <w:t>（一）鉴定与检验</w:t>
      </w:r>
    </w:p>
    <w:p>
      <w:pPr>
        <w:rPr>
          <w:color w:val="auto"/>
        </w:rPr>
      </w:pPr>
      <w:r>
        <w:rPr>
          <w:color w:val="auto"/>
        </w:rPr>
        <w:t>药材品种繁多，来源复杂，即使同一品种，由于产地、生态环境、栽培技术、加工方法等不同，其质量也会有差别；中药饮片、提取物、有效成分等原料也可能存在一定的质量问题。为了保证制剂质量，应对原料进行鉴定和全项检验。检验合格方可投料。原料鉴定与检验的依据为法定标准或不低于法定标准的内控标准，药材和中药饮片的法定标准为现行</w:t>
      </w:r>
      <w:r>
        <w:rPr>
          <w:rFonts w:hint="eastAsia"/>
          <w:color w:val="auto"/>
        </w:rPr>
        <w:t>《中国药典》、《国家中药饮片炮制规范》</w:t>
      </w:r>
      <w:r>
        <w:rPr>
          <w:color w:val="auto"/>
        </w:rPr>
        <w:t>、</w:t>
      </w:r>
      <w:r>
        <w:rPr>
          <w:rFonts w:hint="eastAsia"/>
          <w:color w:val="auto"/>
        </w:rPr>
        <w:t>地方</w:t>
      </w:r>
      <w:r>
        <w:rPr>
          <w:color w:val="auto"/>
        </w:rPr>
        <w:t>中药材标准和饮片炮制规范；提取物或有效成分单体的法定标准仅为国家药品标准。取样、测定方法等通用性规定则应执行现行版《中国药典》的凡例与通则。</w:t>
      </w:r>
    </w:p>
    <w:p>
      <w:pPr>
        <w:rPr>
          <w:color w:val="auto"/>
        </w:rPr>
      </w:pPr>
      <w:r>
        <w:rPr>
          <w:color w:val="auto"/>
        </w:rPr>
        <w:t>原料的法定标准若难以满足制剂质量要求时，应制定相应的检测项目。如药材标准未收载制剂中所测成分的含量测定项时，应研究建立含量测定方法，并制定含量限度。完善后的标准可作为医疗机构的内控标准。</w:t>
      </w:r>
    </w:p>
    <w:p>
      <w:pPr>
        <w:rPr>
          <w:color w:val="auto"/>
        </w:rPr>
      </w:pPr>
      <w:r>
        <w:rPr>
          <w:color w:val="auto"/>
        </w:rPr>
        <w:t>无法定标准的药材或饮片，应按照相关规定与程序</w:t>
      </w:r>
      <w:r>
        <w:rPr>
          <w:rFonts w:hint="eastAsia"/>
          <w:color w:val="auto"/>
        </w:rPr>
        <w:t>研究</w:t>
      </w:r>
      <w:r>
        <w:rPr>
          <w:color w:val="auto"/>
        </w:rPr>
        <w:t>制定</w:t>
      </w:r>
      <w:r>
        <w:rPr>
          <w:rFonts w:hint="eastAsia"/>
          <w:color w:val="auto"/>
        </w:rPr>
        <w:t>法定</w:t>
      </w:r>
      <w:r>
        <w:rPr>
          <w:color w:val="auto"/>
        </w:rPr>
        <w:t>标准，</w:t>
      </w:r>
      <w:r>
        <w:rPr>
          <w:rFonts w:hint="eastAsia"/>
          <w:color w:val="auto"/>
        </w:rPr>
        <w:t>或与</w:t>
      </w:r>
      <w:r>
        <w:rPr>
          <w:color w:val="auto"/>
        </w:rPr>
        <w:t>制剂一同申报为</w:t>
      </w:r>
      <w:r>
        <w:rPr>
          <w:rFonts w:hint="eastAsia"/>
          <w:color w:val="auto"/>
        </w:rPr>
        <w:t>制剂专属</w:t>
      </w:r>
      <w:r>
        <w:rPr>
          <w:color w:val="auto"/>
        </w:rPr>
        <w:t>标准，</w:t>
      </w:r>
      <w:r>
        <w:rPr>
          <w:rFonts w:hint="eastAsia"/>
          <w:color w:val="auto"/>
        </w:rPr>
        <w:t>并</w:t>
      </w:r>
      <w:r>
        <w:rPr>
          <w:color w:val="auto"/>
        </w:rPr>
        <w:t>按照制定的质量标准进行鉴定与检验。</w:t>
      </w:r>
    </w:p>
    <w:p>
      <w:pPr>
        <w:rPr>
          <w:color w:val="auto"/>
        </w:rPr>
      </w:pPr>
      <w:r>
        <w:rPr>
          <w:color w:val="auto"/>
        </w:rPr>
        <w:t>多</w:t>
      </w:r>
      <w:r>
        <w:rPr>
          <w:rFonts w:hint="eastAsia"/>
          <w:color w:val="auto"/>
        </w:rPr>
        <w:t>基原的药</w:t>
      </w:r>
      <w:r>
        <w:rPr>
          <w:color w:val="auto"/>
        </w:rPr>
        <w:t>材除必须符合质量标准的要求外，应固定来源。对品种不同而质量差异较大的药材，宜固定品种，并提供品种选用的依据。药材质量随产地不同而有较大变化时，宜固定产地；药材质量随采收期不同而明显变化时，宜注意采收期。</w:t>
      </w:r>
    </w:p>
    <w:p>
      <w:pPr>
        <w:rPr>
          <w:color w:val="auto"/>
        </w:rPr>
      </w:pPr>
      <w:r>
        <w:rPr>
          <w:color w:val="auto"/>
        </w:rPr>
        <w:t>投料用原料应留样备查，留样期限至少至所配制制剂的有效期后1年，包括原药材样本、饮片样本、提取物样品和有效成分样品等，研究者自己采集的药材应留存原植物蜡叶标本。投料所用的原料还应有合法来源的证明性文件，如购货发票、销货清单、销售证明、购货合同、检验报告书等文件，或者研究者自己采集药材的采集地、采集时的照片、采集人和鉴定人以及原植物蜡叶标本等，外购的提取物、有效成分</w:t>
      </w:r>
      <w:r>
        <w:rPr>
          <w:rFonts w:hint="eastAsia"/>
          <w:color w:val="auto"/>
        </w:rPr>
        <w:t>应符合提取物备案要求，</w:t>
      </w:r>
      <w:r>
        <w:rPr>
          <w:color w:val="auto"/>
        </w:rPr>
        <w:t>还应提供其制备方法和法定质量标准，无法定标准的提取物不得外购用于投料，实施</w:t>
      </w:r>
      <w:r>
        <w:rPr>
          <w:rFonts w:hint="eastAsia"/>
          <w:color w:val="auto"/>
        </w:rPr>
        <w:t>备案管理的</w:t>
      </w:r>
      <w:r>
        <w:rPr>
          <w:color w:val="auto"/>
        </w:rPr>
        <w:t>提取物，</w:t>
      </w:r>
      <w:r>
        <w:rPr>
          <w:rFonts w:hint="eastAsia"/>
          <w:color w:val="auto"/>
        </w:rPr>
        <w:t>应提交中药提取物生产备案资料，以及中药提取物使用企业的使用备案资料。</w:t>
      </w:r>
    </w:p>
    <w:p>
      <w:pPr>
        <w:rPr>
          <w:color w:val="auto"/>
        </w:rPr>
      </w:pPr>
      <w:r>
        <w:rPr>
          <w:color w:val="auto"/>
        </w:rPr>
        <w:t>涉及濒危物种的药材应符合国家的有关规定，并特别注意来源的合法性并提供相关证明文件。</w:t>
      </w:r>
    </w:p>
    <w:p>
      <w:pPr>
        <w:rPr>
          <w:color w:val="auto"/>
        </w:rPr>
      </w:pPr>
      <w:r>
        <w:rPr>
          <w:color w:val="auto"/>
        </w:rPr>
        <w:t>（二）炮制与加工</w:t>
      </w:r>
    </w:p>
    <w:p>
      <w:pPr>
        <w:rPr>
          <w:color w:val="auto"/>
        </w:rPr>
      </w:pPr>
      <w:r>
        <w:rPr>
          <w:color w:val="auto"/>
        </w:rPr>
        <w:t>药材需经过炮制才能用于制剂的生产，在完成药材的鉴定与检验之后，应根据既往临床用药经验，以及处方对药材的要求和药材质地、特性的不同和提取方法的需要，对药材进行必要的炮制与加工，即净制、切制、炮炙、粉碎（破碎）等。炮制与加工后的药材称为饮片，检验合格后即可直接用于制剂生产。</w:t>
      </w:r>
    </w:p>
    <w:p>
      <w:pPr>
        <w:rPr>
          <w:color w:val="auto"/>
        </w:rPr>
      </w:pPr>
      <w:r>
        <w:rPr>
          <w:color w:val="auto"/>
        </w:rPr>
        <w:t>1.净制</w:t>
      </w:r>
    </w:p>
    <w:p>
      <w:pPr>
        <w:rPr>
          <w:color w:val="auto"/>
        </w:rPr>
      </w:pPr>
      <w:r>
        <w:rPr>
          <w:color w:val="auto"/>
        </w:rPr>
        <w:t>净选加工是药材的初步加工过程。药材中有时会含有泥沙、灰屑、非药用部位等杂质，甚至会混有霉烂品、虫蛀品，必须通过净制除去，以符合药用要求。常用的方法有挑选、风选、水选、筛选、剪、切、刮、削、剔除、刷、擦、碾、撞、抽、压榨等。</w:t>
      </w:r>
    </w:p>
    <w:p>
      <w:pPr>
        <w:rPr>
          <w:color w:val="auto"/>
        </w:rPr>
      </w:pPr>
      <w:r>
        <w:rPr>
          <w:color w:val="auto"/>
        </w:rPr>
        <w:t>2.切制</w:t>
      </w:r>
    </w:p>
    <w:p>
      <w:pPr>
        <w:rPr>
          <w:color w:val="auto"/>
        </w:rPr>
      </w:pPr>
      <w:r>
        <w:rPr>
          <w:color w:val="auto"/>
        </w:rPr>
        <w:t>指将净药材切成适于生产的片、段、块等，其类型和规格应综合考虑药材质地、炮炙加工方法、制剂提取工艺等。除少数药材鲜切、干切外，一般需经过软化处理，使药材利于切制。软化时，需控制时间、吸水量、温度等影响因素，做到“药透水净”以避免有效成分损失或破坏。</w:t>
      </w:r>
    </w:p>
    <w:p>
      <w:pPr>
        <w:rPr>
          <w:color w:val="auto"/>
        </w:rPr>
      </w:pPr>
      <w:r>
        <w:rPr>
          <w:color w:val="auto"/>
        </w:rPr>
        <w:t>3.炮炙</w:t>
      </w:r>
    </w:p>
    <w:p>
      <w:pPr>
        <w:rPr>
          <w:color w:val="auto"/>
        </w:rPr>
      </w:pPr>
      <w:r>
        <w:rPr>
          <w:color w:val="auto"/>
        </w:rPr>
        <w:t>是指将净制、切制后的药材进行火制、水制或水火共制等。常用的方法有炒、炙、煨、煅、蒸、煮、烫、炖、</w:t>
      </w:r>
      <w:r>
        <w:rPr>
          <w:rFonts w:hint="eastAsia"/>
          <w:color w:val="auto"/>
        </w:rPr>
        <w:t>燀</w:t>
      </w:r>
      <w:r>
        <w:rPr>
          <w:color w:val="auto"/>
        </w:rPr>
        <w:t>、水飞等。炮炙方法应符合国家标准或</w:t>
      </w:r>
      <w:r>
        <w:rPr>
          <w:rFonts w:hint="eastAsia"/>
          <w:color w:val="auto"/>
        </w:rPr>
        <w:t>地方</w:t>
      </w:r>
      <w:r>
        <w:rPr>
          <w:color w:val="auto"/>
        </w:rPr>
        <w:t>制定的炮制规范、或各民族医药典籍中记载的炮制方法。如炮炙方法不为上述标准、规范所收载，应自行制定炮炙方法和炮炙品的规格标准，提供相应的研究资料。制定的炮炙方法应具有科学性和可行性。</w:t>
      </w:r>
    </w:p>
    <w:p>
      <w:pPr>
        <w:rPr>
          <w:color w:val="auto"/>
        </w:rPr>
      </w:pPr>
      <w:r>
        <w:rPr>
          <w:color w:val="auto"/>
        </w:rPr>
        <w:t>4.粉碎及破碎</w:t>
      </w:r>
    </w:p>
    <w:p>
      <w:pPr>
        <w:rPr>
          <w:color w:val="auto"/>
        </w:rPr>
      </w:pPr>
      <w:r>
        <w:rPr>
          <w:color w:val="auto"/>
        </w:rPr>
        <w:t>是指将药材加工成一定粒度的粉粒，或一定规格的块、条、丝，其粒度大小应根据制剂生产需求确定。对质地坚硬、不易切制的药材，一般应</w:t>
      </w:r>
      <w:r>
        <w:rPr>
          <w:rFonts w:hint="eastAsia"/>
          <w:color w:val="auto"/>
        </w:rPr>
        <w:t>粗碎</w:t>
      </w:r>
      <w:r>
        <w:rPr>
          <w:color w:val="auto"/>
        </w:rPr>
        <w:t>后提取；一些贵重药材常粉碎成细粉直接入药，以避免损失；另有一些药材粉碎成细粉后参与制剂成型，兼具赋形剂的作用。经粉碎的药材应说明粉碎粒度及依据，并</w:t>
      </w:r>
      <w:r>
        <w:rPr>
          <w:rFonts w:hint="eastAsia"/>
          <w:color w:val="auto"/>
        </w:rPr>
        <w:t>明确收</w:t>
      </w:r>
      <w:r>
        <w:rPr>
          <w:color w:val="auto"/>
        </w:rPr>
        <w:t>率。含挥发性成分的药材应注意粉碎温度；含糖或胶质较多且质地柔软的药材应注意粉碎方法；毒性药材应单独粉碎。</w:t>
      </w:r>
    </w:p>
    <w:p>
      <w:pPr>
        <w:rPr>
          <w:color w:val="auto"/>
        </w:rPr>
      </w:pPr>
      <w:r>
        <w:rPr>
          <w:color w:val="auto"/>
        </w:rPr>
        <w:t>四、提取工艺研究</w:t>
      </w:r>
    </w:p>
    <w:p>
      <w:pPr>
        <w:rPr>
          <w:color w:val="auto"/>
        </w:rPr>
      </w:pPr>
      <w:r>
        <w:rPr>
          <w:color w:val="auto"/>
        </w:rPr>
        <w:t>中药、民族药提取工艺研究是指根据临床用药和制剂要求，用适宜溶剂和方法从饮片中富集有效物质、除去杂质的过程。中药、民族药成分复杂，为了提高疗效、减小剂量、便于制剂，药材一般需要经过提取、纯化处理。提取、纯化工艺的合理、技术的正确运用直接关系到药材的充分利用和制剂疗效的充分发挥。在提取、纯化及其后续的制剂过程中，浓缩、干燥也是必要的工艺环节，亦属本技术指导原则的内容。</w:t>
      </w:r>
    </w:p>
    <w:p>
      <w:pPr>
        <w:rPr>
          <w:color w:val="auto"/>
        </w:rPr>
      </w:pPr>
      <w:r>
        <w:rPr>
          <w:color w:val="auto"/>
        </w:rPr>
        <w:t>由于提取纯化工艺的方法与技术繁多，以及新方法与新技术的不断涌现，致使应用不同方法与技术所应考虑的重点、研究的难点和技术参数</w:t>
      </w:r>
      <w:r>
        <w:rPr>
          <w:rFonts w:hint="eastAsia"/>
          <w:color w:val="auto"/>
        </w:rPr>
        <w:t>等</w:t>
      </w:r>
      <w:r>
        <w:rPr>
          <w:color w:val="auto"/>
        </w:rPr>
        <w:t>可能不同。因此，中药、民族药的提取、纯化、浓缩、干燥等工艺的研究，既要遵循药品研究的一般规律，注重对其个性特征的研究，又要根据用药理论与经验，在分析处方组成和复方中各药味之间的关系，参考各药味所含成分的理化性质和药理作用的研究基础上，结合制剂工艺和大生产的实际、环境保护的要求，采用合理的试验设计和评价指标，确定工艺路线，优选工艺条件。本指导原则为此提供技术指导。</w:t>
      </w:r>
    </w:p>
    <w:p>
      <w:pPr>
        <w:rPr>
          <w:color w:val="auto"/>
        </w:rPr>
      </w:pPr>
      <w:r>
        <w:rPr>
          <w:color w:val="auto"/>
        </w:rPr>
        <w:t>（一）工艺路线</w:t>
      </w:r>
    </w:p>
    <w:p>
      <w:pPr>
        <w:rPr>
          <w:color w:val="auto"/>
        </w:rPr>
      </w:pPr>
      <w:r>
        <w:rPr>
          <w:color w:val="auto"/>
        </w:rPr>
        <w:t>中药、民族药提取纯化的工艺路线是中药、民族药生产工艺科学性、合理性和可行性的基础和核心。工艺路线的设计应以保证其安全性和有效性为前提，一般应考虑处方的特点和药味的性质，制剂的类型和临床用药要求，规模化生产的可行性和生产成本，以及安全环境保护的要求。在此基础上，还要充分注意工艺的科学性和先进性。</w:t>
      </w:r>
    </w:p>
    <w:p>
      <w:pPr>
        <w:rPr>
          <w:color w:val="auto"/>
        </w:rPr>
      </w:pPr>
      <w:r>
        <w:rPr>
          <w:color w:val="auto"/>
        </w:rPr>
        <w:t>在工艺路线的设计、试验筛选过程中，要重视传统用药经验，充分考虑基础研究比较薄弱、对药物作用的物质基础和机理不清楚的现状，不宜盲目纯化。鼓励采用与以往既有用药经验相同或基本相同的工艺，鼓励采用传统工艺。</w:t>
      </w:r>
    </w:p>
    <w:p>
      <w:pPr>
        <w:rPr>
          <w:color w:val="auto"/>
        </w:rPr>
      </w:pPr>
      <w:r>
        <w:rPr>
          <w:color w:val="auto"/>
        </w:rPr>
        <w:t>1.提取与纯化工艺</w:t>
      </w:r>
    </w:p>
    <w:p>
      <w:pPr>
        <w:rPr>
          <w:color w:val="auto"/>
        </w:rPr>
      </w:pPr>
      <w:r>
        <w:rPr>
          <w:color w:val="auto"/>
        </w:rPr>
        <w:t>中药、民族药的提取应尽可能多地提取出有效成分，同时，提取出来的无用成分、毒性成分应尽可能的少，或根据某一成分或某类成分的性质提取目的物。</w:t>
      </w:r>
    </w:p>
    <w:p>
      <w:pPr>
        <w:rPr>
          <w:color w:val="auto"/>
        </w:rPr>
      </w:pPr>
      <w:r>
        <w:rPr>
          <w:color w:val="auto"/>
        </w:rPr>
        <w:t>中药、民族药的纯化应依据中药传统用药经验或根据提取物中已确认的一些有效成分的存在状态、极性、溶解性等特性设计科学、合理、稳定、可行的工艺，采用一系列纯化技术尽可能多地富集有效成分，除去无效成分。</w:t>
      </w:r>
    </w:p>
    <w:p>
      <w:pPr>
        <w:rPr>
          <w:color w:val="auto"/>
        </w:rPr>
      </w:pPr>
      <w:r>
        <w:rPr>
          <w:color w:val="auto"/>
        </w:rPr>
        <w:t>不同的提取纯化方法均有其特点与使用范围，应根据以往用药经验，以及与治疗作用相关的有效成分（或有效部位）的理化性质，或药效研究结果，通过试验对比，选择适宜的工艺路线与方法。</w:t>
      </w:r>
    </w:p>
    <w:p>
      <w:pPr>
        <w:rPr>
          <w:color w:val="auto"/>
        </w:rPr>
      </w:pPr>
      <w:r>
        <w:rPr>
          <w:color w:val="auto"/>
        </w:rPr>
        <w:t>一般而言，提取溶剂和提取温度是两个最大的影响因素。</w:t>
      </w:r>
    </w:p>
    <w:p>
      <w:pPr>
        <w:rPr>
          <w:color w:val="auto"/>
        </w:rPr>
      </w:pPr>
      <w:r>
        <w:rPr>
          <w:color w:val="auto"/>
        </w:rPr>
        <w:t>2.浓缩与干燥工艺</w:t>
      </w:r>
    </w:p>
    <w:p>
      <w:pPr>
        <w:rPr>
          <w:color w:val="auto"/>
        </w:rPr>
      </w:pPr>
      <w:r>
        <w:rPr>
          <w:color w:val="auto"/>
        </w:rPr>
        <w:t>对含有热不稳定成分、易熔化物料的浓缩与干燥，尤其需要注意方法的选择，以保障浓缩物或干燥物的质量。</w:t>
      </w:r>
      <w:r>
        <w:rPr>
          <w:rFonts w:hint="eastAsia"/>
          <w:color w:val="auto"/>
        </w:rPr>
        <w:t>应考察主要成份，关注不稳定成份。</w:t>
      </w:r>
    </w:p>
    <w:p>
      <w:pPr>
        <w:rPr>
          <w:color w:val="auto"/>
        </w:rPr>
      </w:pPr>
      <w:r>
        <w:rPr>
          <w:color w:val="auto"/>
        </w:rPr>
        <w:t>微波会促进水解、酯化和氧化等有机反应，对极性成分的影响很大，如对槲皮苷等氧苷类成分的破坏明显大于减压干燥，应慎重选择。</w:t>
      </w:r>
    </w:p>
    <w:p>
      <w:pPr>
        <w:rPr>
          <w:color w:val="auto"/>
        </w:rPr>
      </w:pPr>
      <w:r>
        <w:rPr>
          <w:color w:val="auto"/>
        </w:rPr>
        <w:t>3.生药粉直接入药</w:t>
      </w:r>
    </w:p>
    <w:p>
      <w:pPr>
        <w:rPr>
          <w:color w:val="auto"/>
        </w:rPr>
      </w:pPr>
      <w:r>
        <w:rPr>
          <w:color w:val="auto"/>
        </w:rPr>
        <w:t>采用生药粉或部分生药粉直接入药时，应加强原料及生产全过程的微生物控制，严格原料药材的挑选、清洁、炮制等加工环节，各个生产环节应设置降低微生物负载的措施，应进行充分的试验研究，合理选用灭菌工艺及工艺参数。</w:t>
      </w:r>
      <w:r>
        <w:rPr>
          <w:rFonts w:hint="eastAsia"/>
          <w:color w:val="auto"/>
        </w:rPr>
        <w:t>高温灭菌应关注对药味有效成分的影响。</w:t>
      </w:r>
    </w:p>
    <w:p>
      <w:pPr>
        <w:rPr>
          <w:color w:val="auto"/>
        </w:rPr>
      </w:pPr>
      <w:r>
        <w:rPr>
          <w:color w:val="auto"/>
        </w:rPr>
        <w:t>选择辐照灭菌的工艺应</w:t>
      </w:r>
      <w:r>
        <w:rPr>
          <w:rFonts w:hint="eastAsia"/>
          <w:color w:val="auto"/>
        </w:rPr>
        <w:t>十分</w:t>
      </w:r>
      <w:r>
        <w:rPr>
          <w:color w:val="auto"/>
        </w:rPr>
        <w:t>慎重，</w:t>
      </w:r>
      <w:r>
        <w:rPr>
          <w:rFonts w:hint="eastAsia"/>
          <w:color w:val="auto"/>
        </w:rPr>
        <w:t>需</w:t>
      </w:r>
      <w:r>
        <w:rPr>
          <w:color w:val="auto"/>
        </w:rPr>
        <w:t>参照《中药辐照灭菌技术指导原则》进行相关研究，遵守其原则规定，提供研究资料，说明采用辐照灭菌的必要性、科学性和合理性。在其他常用灭菌方法无法满足要求的情况下方可采用辐照灭菌，并尽可能采用低剂量辐照灭菌，若辐照剂量超过10kGy，或采用3kGy以上的剂量对紫菀、锦灯笼、乳香、天竺黄、补骨脂等原料药材、饮片、药粉，以及含有上述一种或多种原料的中药半成品或成品进行辐照灭菌，或对龙胆、秦艽原料药材、饮片、药粉及含有龙胆、秦艽的半成品或成品进行辐照灭菌，或对处方药味含有结构不稳定成分的中药半成品或成品进行辐照灭菌，应进行辐照前后的对比研究，包括采用指纹图谱等方法，尽可能全面地反映辐照灭菌前后药品所含成分种类或含量的变化情况。必要时，应采用与适应症相关的药效指标，比较辐照灭菌前后药品有效性的差异，或开展安全性研究。</w:t>
      </w:r>
    </w:p>
    <w:p>
      <w:pPr>
        <w:rPr>
          <w:color w:val="auto"/>
        </w:rPr>
      </w:pPr>
      <w:r>
        <w:rPr>
          <w:color w:val="auto"/>
        </w:rPr>
        <w:t>（二）工艺条件</w:t>
      </w:r>
    </w:p>
    <w:p>
      <w:pPr>
        <w:rPr>
          <w:color w:val="auto"/>
        </w:rPr>
      </w:pPr>
      <w:r>
        <w:rPr>
          <w:color w:val="auto"/>
        </w:rPr>
        <w:t>工艺路线初步确定后，对采用的工艺方法，应进行科学、合理的试验设计，对工艺条件进行优化。影响工艺的因素通常是多方面的，因此，工艺的优选应采用准确、简便、具有代表性、可量化的综合性评价指标与合理的方法，对多因素、多水平同时进行考察。鼓励新技术、新方法的应用，但对于新建立的方法，应进行方法的可行性、安全性研究。应根据具体品种的情况选择适宜的工艺及设备。为了保证工艺的稳定、减少批间质量差异，应固定工艺流程及相应设备。</w:t>
      </w:r>
    </w:p>
    <w:p>
      <w:pPr>
        <w:rPr>
          <w:color w:val="auto"/>
        </w:rPr>
      </w:pPr>
      <w:r>
        <w:rPr>
          <w:color w:val="auto"/>
        </w:rPr>
        <w:t>1.提取工艺条件的研究</w:t>
      </w:r>
    </w:p>
    <w:p>
      <w:pPr>
        <w:rPr>
          <w:color w:val="auto"/>
        </w:rPr>
      </w:pPr>
      <w:r>
        <w:rPr>
          <w:color w:val="auto"/>
        </w:rPr>
        <w:t>采用的提取方法不同，影响提取效果的因素有别，因此应根据所采用的提取方法与设备，考虑影响因素的选择和工艺参数的确定。一般需对溶媒、工艺条件进行选择、优化。</w:t>
      </w:r>
    </w:p>
    <w:p>
      <w:pPr>
        <w:rPr>
          <w:color w:val="auto"/>
        </w:rPr>
      </w:pPr>
      <w:r>
        <w:rPr>
          <w:color w:val="auto"/>
        </w:rPr>
        <w:t>中药、民族药的纯化工艺，应根据纯化的目的、可采用方法的原理和影响因素进行选择。一般应考虑：拟制成的剂型与服用量、有效成分与去除成分的性质、后续制剂成型工艺的需要、生产的可行性、安全、环保问题等。并通过有针对性的试验，考察各步骤有关指标的情况，以评价各步骤工艺的合理性，选择可行的工艺条件，确定适宜的工艺参数，从而确保生产工艺和药品质量的稳定。</w:t>
      </w:r>
    </w:p>
    <w:p>
      <w:pPr>
        <w:rPr>
          <w:color w:val="auto"/>
        </w:rPr>
      </w:pPr>
      <w:r>
        <w:rPr>
          <w:color w:val="auto"/>
        </w:rPr>
        <w:t>2.浓缩与干燥工艺条件的优化</w:t>
      </w:r>
    </w:p>
    <w:p>
      <w:pPr>
        <w:rPr>
          <w:color w:val="auto"/>
        </w:rPr>
      </w:pPr>
      <w:r>
        <w:rPr>
          <w:color w:val="auto"/>
        </w:rPr>
        <w:t>浓缩与干燥的方法和程度、设备和工艺参数等因素都直接影响着物料中成分的稳定。在物料浓缩与干燥工艺过程中应结合制剂的要求对工艺条件进行研究和优化。</w:t>
      </w:r>
    </w:p>
    <w:p>
      <w:pPr>
        <w:rPr>
          <w:color w:val="auto"/>
        </w:rPr>
      </w:pPr>
      <w:r>
        <w:rPr>
          <w:color w:val="auto"/>
        </w:rPr>
        <w:t>（三）评价指标</w:t>
      </w:r>
    </w:p>
    <w:p>
      <w:pPr>
        <w:rPr>
          <w:color w:val="auto"/>
        </w:rPr>
      </w:pPr>
      <w:r>
        <w:rPr>
          <w:color w:val="auto"/>
        </w:rPr>
        <w:t>工艺研究过程中，对试验结果作出合理判断的评价指标应该是科学、客观、可量化的。在具体评价指标的选择上，应结合中药、民族药的特点，从化学成分、生物学指标以及环保、工艺成本等多方面综合考虑。</w:t>
      </w:r>
    </w:p>
    <w:p>
      <w:pPr>
        <w:rPr>
          <w:color w:val="auto"/>
        </w:rPr>
      </w:pPr>
      <w:r>
        <w:rPr>
          <w:color w:val="auto"/>
        </w:rPr>
        <w:t>1.提取与纯化工艺评价指标</w:t>
      </w:r>
    </w:p>
    <w:p>
      <w:pPr>
        <w:rPr>
          <w:color w:val="auto"/>
        </w:rPr>
      </w:pPr>
      <w:r>
        <w:rPr>
          <w:color w:val="auto"/>
        </w:rPr>
        <w:t>有效成分提取、纯化的评价指标主要是得率、纯度。</w:t>
      </w:r>
    </w:p>
    <w:p>
      <w:pPr>
        <w:rPr>
          <w:color w:val="auto"/>
        </w:rPr>
      </w:pPr>
      <w:r>
        <w:rPr>
          <w:color w:val="auto"/>
        </w:rPr>
        <w:t>有效部位提取、纯化的评价指标除得率、含量等外，还应关注有效部位主要成分组成的基本稳定。</w:t>
      </w:r>
    </w:p>
    <w:p>
      <w:pPr>
        <w:rPr>
          <w:color w:val="auto"/>
        </w:rPr>
      </w:pPr>
      <w:r>
        <w:rPr>
          <w:color w:val="auto"/>
        </w:rPr>
        <w:t>提取纯化的评价指标应考虑其多成分作用的特点，既要重视传统用药经验、组方理论，充分考虑药物作用的物质基础不清楚的现状；又要尽量改善制剂状况，以满足临床用药要求。在评价指标选择上，应结合品种的具体情况，探讨能够对其安全、有效、质量可控作出合理判断的综合评价指标，必要时可采用生物学指标等。</w:t>
      </w:r>
    </w:p>
    <w:p>
      <w:pPr>
        <w:rPr>
          <w:color w:val="auto"/>
        </w:rPr>
      </w:pPr>
      <w:r>
        <w:rPr>
          <w:color w:val="auto"/>
        </w:rPr>
        <w:t>在提取纯化研究过程中，有可能引起安全性隐患的成分应纳入评价指标。</w:t>
      </w:r>
    </w:p>
    <w:p>
      <w:pPr>
        <w:rPr>
          <w:color w:val="auto"/>
        </w:rPr>
      </w:pPr>
      <w:r>
        <w:rPr>
          <w:color w:val="auto"/>
        </w:rPr>
        <w:t>一般情况下，与既往用药经验一致的传统工艺，或水提、水提醇沉（多糖等大分子化合物为非活性成分的）、乙醇提取等常规工艺，可考虑以性状、浸膏得率等为评价指标，浸膏得率宜折干计算；采用大孔吸附树脂、聚酰胺树脂、硅胶、或有机溶剂萃取等材料、手段进行分离纯化的，除采用得率、含量、转移率、主要成分组成等化学评价指标外，还应采用药效学等生物学指标进行评价，以评价方法的必要性、可行性、安全性等，并提供相应的研究资料；使用毒性药材，并且毒性成分又是有效成分时，毒性成分的得率、含量、转移率应作为评价指标。</w:t>
      </w:r>
    </w:p>
    <w:p>
      <w:pPr>
        <w:rPr>
          <w:color w:val="auto"/>
        </w:rPr>
      </w:pPr>
      <w:r>
        <w:rPr>
          <w:color w:val="auto"/>
        </w:rPr>
        <w:t>2.浓缩与干燥工艺评价指标</w:t>
      </w:r>
    </w:p>
    <w:p>
      <w:pPr>
        <w:rPr>
          <w:color w:val="auto"/>
        </w:rPr>
      </w:pPr>
      <w:r>
        <w:rPr>
          <w:color w:val="auto"/>
        </w:rPr>
        <w:t>应根据具体品种的情况，结合工艺、设备等特点，选择相应的评价指标。除沿用提取纯化的评价指标之外，对含有有效成分为挥发性、热敏性成分的物料在浓缩、干燥时还应考察挥发性、热敏性成分的保留情况。</w:t>
      </w:r>
    </w:p>
    <w:p>
      <w:pPr>
        <w:rPr>
          <w:color w:val="auto"/>
        </w:rPr>
      </w:pPr>
      <w:r>
        <w:rPr>
          <w:color w:val="auto"/>
        </w:rPr>
        <w:t>五、成型工艺研究</w:t>
      </w:r>
    </w:p>
    <w:p>
      <w:pPr>
        <w:rPr>
          <w:color w:val="auto"/>
        </w:rPr>
      </w:pPr>
      <w:r>
        <w:rPr>
          <w:color w:val="auto"/>
        </w:rPr>
        <w:t>（一）制剂处方研究</w:t>
      </w:r>
    </w:p>
    <w:p>
      <w:pPr>
        <w:rPr>
          <w:color w:val="auto"/>
        </w:rPr>
      </w:pPr>
      <w:r>
        <w:rPr>
          <w:color w:val="auto"/>
        </w:rPr>
        <w:t>制剂处方研究是根据制剂原料性质、剂型特点、临床用药要求等，筛选适宜的辅料，确定制剂处方的过程。</w:t>
      </w:r>
    </w:p>
    <w:p>
      <w:pPr>
        <w:rPr>
          <w:color w:val="auto"/>
        </w:rPr>
      </w:pPr>
      <w:r>
        <w:rPr>
          <w:color w:val="auto"/>
        </w:rPr>
        <w:t>1.制剂原料性质的研究</w:t>
      </w:r>
    </w:p>
    <w:p>
      <w:pPr>
        <w:rPr>
          <w:color w:val="auto"/>
        </w:rPr>
      </w:pPr>
      <w:r>
        <w:rPr>
          <w:color w:val="auto"/>
        </w:rPr>
        <w:t>制剂原料可以是提取液、提取物、清膏、浸膏粉、半浸膏粉、生粉等。原料的性质对制剂工艺、辅料、设备的选择有较大的影响，在很大程度上决定了制剂成型的难易。因此，应了解制剂原料的性质。例如，用于制备固体制剂的原料，应主要了解其溶解性、吸湿性、流动性、稳定性、可压性、堆密度等内容；用于制备口服液体制剂的原料，应主要了解其溶解性、酸碱性、稳定性以及嗅、色、味等内容，并提供文献或试验研究资料或进行说明。</w:t>
      </w:r>
    </w:p>
    <w:p>
      <w:pPr>
        <w:rPr>
          <w:color w:val="auto"/>
        </w:rPr>
      </w:pPr>
      <w:r>
        <w:rPr>
          <w:color w:val="auto"/>
        </w:rPr>
        <w:t>2.辅料的选择</w:t>
      </w:r>
    </w:p>
    <w:p>
      <w:pPr>
        <w:rPr>
          <w:color w:val="auto"/>
        </w:rPr>
      </w:pPr>
      <w:r>
        <w:rPr>
          <w:color w:val="auto"/>
        </w:rPr>
        <w:t>所用辅料应符合药用要求。辅料选择一般应考虑以下原则：满足制剂成型、稳定、作用特点的要求，不与药物发生不良相互作用，避免影响药品的检测。制剂处方应在尽可能少的辅料用量下获得良好的制剂成型性。</w:t>
      </w:r>
    </w:p>
    <w:p>
      <w:pPr>
        <w:rPr>
          <w:color w:val="auto"/>
        </w:rPr>
      </w:pPr>
      <w:r>
        <w:rPr>
          <w:color w:val="auto"/>
        </w:rPr>
        <w:t>3.制剂处方筛选研究</w:t>
      </w:r>
    </w:p>
    <w:p>
      <w:pPr>
        <w:rPr>
          <w:color w:val="auto"/>
        </w:rPr>
      </w:pPr>
      <w:r>
        <w:rPr>
          <w:color w:val="auto"/>
        </w:rPr>
        <w:t>制剂处方量应以1000个制剂单位计（丸剂、散剂除外），并写出辅料名称及用量等，明确制剂分剂量与使用量确定的依据。最终应提供包括选择辅料的目的、试验方法、试验数据、结果和结论等在内的研究资料。</w:t>
      </w:r>
      <w:r>
        <w:rPr>
          <w:rFonts w:hint="eastAsia"/>
          <w:color w:val="auto"/>
        </w:rPr>
        <w:t>一般情况下作为填充剂的辅料用量可为一范围参数，用于调整制成总量。</w:t>
      </w:r>
    </w:p>
    <w:p>
      <w:pPr>
        <w:rPr>
          <w:color w:val="auto"/>
        </w:rPr>
      </w:pPr>
      <w:r>
        <w:rPr>
          <w:color w:val="auto"/>
        </w:rPr>
        <w:t>选择辅料种类和数量的试验研究可根据药物、辅料的性质，结合剂型特点，采用单因素试验或正交试验等方法进行。</w:t>
      </w:r>
    </w:p>
    <w:p>
      <w:pPr>
        <w:rPr>
          <w:color w:val="auto"/>
        </w:rPr>
      </w:pPr>
      <w:r>
        <w:rPr>
          <w:color w:val="auto"/>
        </w:rPr>
        <w:t>考察指标：</w:t>
      </w:r>
    </w:p>
    <w:p>
      <w:pPr>
        <w:rPr>
          <w:color w:val="auto"/>
        </w:rPr>
      </w:pPr>
      <w:r>
        <w:rPr>
          <w:color w:val="auto"/>
        </w:rPr>
        <w:t>固体制剂：外观，制粒难易，成型性，崩解时限，重（装）量差异，吸湿性等。</w:t>
      </w:r>
    </w:p>
    <w:p>
      <w:pPr>
        <w:rPr>
          <w:color w:val="auto"/>
        </w:rPr>
      </w:pPr>
      <w:r>
        <w:rPr>
          <w:color w:val="auto"/>
        </w:rPr>
        <w:t>半固体制剂：流动性、均匀度、相对密度等。</w:t>
      </w:r>
    </w:p>
    <w:p>
      <w:pPr>
        <w:rPr>
          <w:color w:val="auto"/>
        </w:rPr>
      </w:pPr>
      <w:r>
        <w:rPr>
          <w:color w:val="auto"/>
        </w:rPr>
        <w:t>液体制剂：澄清度，稳定性，pH值等。</w:t>
      </w:r>
    </w:p>
    <w:p>
      <w:pPr>
        <w:rPr>
          <w:color w:val="auto"/>
        </w:rPr>
      </w:pPr>
      <w:r>
        <w:rPr>
          <w:color w:val="auto"/>
        </w:rPr>
        <w:t>（二）制剂成型工艺研究</w:t>
      </w:r>
    </w:p>
    <w:p>
      <w:pPr>
        <w:rPr>
          <w:color w:val="auto"/>
        </w:rPr>
      </w:pPr>
      <w:r>
        <w:rPr>
          <w:color w:val="auto"/>
        </w:rPr>
        <w:t>制剂成型工艺研究是按照制剂处方研究的内容，将制剂原料与辅料进行加工处理，采用客观、合理的评价指标进行筛选，确定适宜的辅料、工艺和设备，制成一定的剂型并形成最终产品的过程。通过制剂成型研究进一步改进和完善处方设计，最终确定制剂处方、工艺和设备。</w:t>
      </w:r>
    </w:p>
    <w:p>
      <w:pPr>
        <w:rPr>
          <w:color w:val="auto"/>
        </w:rPr>
      </w:pPr>
      <w:r>
        <w:rPr>
          <w:color w:val="auto"/>
        </w:rPr>
        <w:t>制剂成型工艺研究一般应考虑成型工艺路线和制备技术的选择，应注意实验室条件与中试和生产的衔接，考虑规模化生产制剂设备的可行性、适应性。对关键工序工艺参数进行试验研究。提供详细的制剂成型工艺流程及关键工序技术条件试验资料等。在制剂过程中，对于含有有毒药物以及用量小而活性强的药物，应特别注意其均匀性。试验研究可以采取单因素试验或正交试验等方法。</w:t>
      </w:r>
    </w:p>
    <w:p>
      <w:pPr>
        <w:rPr>
          <w:color w:val="auto"/>
        </w:rPr>
      </w:pPr>
      <w:r>
        <w:rPr>
          <w:color w:val="auto"/>
        </w:rPr>
        <w:t>工艺参数和评价指标</w:t>
      </w:r>
    </w:p>
    <w:p>
      <w:pPr>
        <w:rPr>
          <w:color w:val="auto"/>
        </w:rPr>
      </w:pPr>
      <w:r>
        <w:rPr>
          <w:color w:val="auto"/>
        </w:rPr>
        <w:t>固体制剂：</w:t>
      </w:r>
    </w:p>
    <w:p>
      <w:pPr>
        <w:rPr>
          <w:color w:val="auto"/>
        </w:rPr>
      </w:pPr>
      <w:r>
        <w:rPr>
          <w:color w:val="auto"/>
        </w:rPr>
        <w:t>工艺参数：筛网目数，干燥温度，水分，制粒方式及参数等。</w:t>
      </w:r>
    </w:p>
    <w:p>
      <w:pPr>
        <w:rPr>
          <w:color w:val="auto"/>
        </w:rPr>
      </w:pPr>
      <w:r>
        <w:rPr>
          <w:color w:val="auto"/>
        </w:rPr>
        <w:t>评价指标：粒度，堆密度，崩解（溶散）时限，重（装）量差异，软硬度，含量等。</w:t>
      </w:r>
    </w:p>
    <w:p>
      <w:pPr>
        <w:rPr>
          <w:color w:val="auto"/>
        </w:rPr>
      </w:pPr>
      <w:r>
        <w:rPr>
          <w:color w:val="auto"/>
        </w:rPr>
        <w:t>半固体制剂：</w:t>
      </w:r>
    </w:p>
    <w:p>
      <w:pPr>
        <w:rPr>
          <w:color w:val="auto"/>
        </w:rPr>
      </w:pPr>
      <w:r>
        <w:rPr>
          <w:color w:val="auto"/>
        </w:rPr>
        <w:t>工艺参数：配制温度、静置时间、过滤目数或过滤方式及参数等。</w:t>
      </w:r>
    </w:p>
    <w:p>
      <w:pPr>
        <w:rPr>
          <w:color w:val="auto"/>
        </w:rPr>
      </w:pPr>
      <w:r>
        <w:rPr>
          <w:color w:val="auto"/>
        </w:rPr>
        <w:t>评价指标：流动性、均匀度、粒度、相对密度等。</w:t>
      </w:r>
    </w:p>
    <w:p>
      <w:pPr>
        <w:rPr>
          <w:color w:val="auto"/>
        </w:rPr>
      </w:pPr>
      <w:r>
        <w:rPr>
          <w:color w:val="auto"/>
        </w:rPr>
        <w:t>液体制剂：</w:t>
      </w:r>
    </w:p>
    <w:p>
      <w:pPr>
        <w:rPr>
          <w:color w:val="auto"/>
        </w:rPr>
      </w:pPr>
      <w:r>
        <w:rPr>
          <w:color w:val="auto"/>
        </w:rPr>
        <w:t>工艺参数：配制温度、静置时间、过滤目数或过滤方式及参数等。</w:t>
      </w:r>
    </w:p>
    <w:p>
      <w:pPr>
        <w:rPr>
          <w:color w:val="auto"/>
        </w:rPr>
      </w:pPr>
      <w:r>
        <w:rPr>
          <w:color w:val="auto"/>
        </w:rPr>
        <w:t>评价指标：澄清度、pH值、相对密度等。</w:t>
      </w:r>
    </w:p>
    <w:p>
      <w:pPr>
        <w:rPr>
          <w:color w:val="auto"/>
        </w:rPr>
      </w:pPr>
      <w:r>
        <w:rPr>
          <w:color w:val="auto"/>
        </w:rPr>
        <w:t>（三）直接接触药品的包装材料的选择</w:t>
      </w:r>
    </w:p>
    <w:p>
      <w:pPr>
        <w:rPr>
          <w:color w:val="auto"/>
        </w:rPr>
      </w:pPr>
      <w:r>
        <w:rPr>
          <w:color w:val="auto"/>
        </w:rPr>
        <w:t>中药、民族药制剂所用药包材应符合国家</w:t>
      </w:r>
      <w:r>
        <w:rPr>
          <w:rFonts w:hint="eastAsia"/>
          <w:color w:val="auto"/>
        </w:rPr>
        <w:t>管理审评的相关管理</w:t>
      </w:r>
      <w:r>
        <w:rPr>
          <w:color w:val="auto"/>
        </w:rPr>
        <w:t>要求。应提供相应的</w:t>
      </w:r>
      <w:r>
        <w:rPr>
          <w:rFonts w:hint="eastAsia"/>
          <w:color w:val="auto"/>
        </w:rPr>
        <w:t>登记信息</w:t>
      </w:r>
      <w:r>
        <w:rPr>
          <w:color w:val="auto"/>
        </w:rPr>
        <w:t>和质量标准。在选择直接接触药品的包装材料时，应对同类药品及其包装材料进行相应的文献调研，证明选择的可行性，并结合药品稳定性研究进行相应的考察。</w:t>
      </w:r>
    </w:p>
    <w:p>
      <w:pPr>
        <w:rPr>
          <w:color w:val="auto"/>
        </w:rPr>
      </w:pPr>
      <w:r>
        <w:rPr>
          <w:color w:val="auto"/>
        </w:rPr>
        <w:t>在某些特殊情况或文献资料不充分的情况下，应加强药品与直接接触药品的包装材料的相容性考察。采用新的包装材料，或特定剂型，在包装材料的选择研究中除应进行稳定性实验需要进行的项目外，还应增加相应的特殊考察项目。</w:t>
      </w:r>
    </w:p>
    <w:p>
      <w:pPr>
        <w:rPr>
          <w:color w:val="auto"/>
        </w:rPr>
      </w:pPr>
      <w:r>
        <w:rPr>
          <w:color w:val="auto"/>
        </w:rPr>
        <w:t>六、中试研究</w:t>
      </w:r>
    </w:p>
    <w:p>
      <w:pPr>
        <w:rPr>
          <w:color w:val="auto"/>
        </w:rPr>
      </w:pPr>
      <w:r>
        <w:rPr>
          <w:color w:val="auto"/>
        </w:rPr>
        <w:t>（一）概述</w:t>
      </w:r>
    </w:p>
    <w:p>
      <w:pPr>
        <w:rPr>
          <w:color w:val="auto"/>
        </w:rPr>
      </w:pPr>
      <w:r>
        <w:rPr>
          <w:color w:val="auto"/>
        </w:rPr>
        <w:t>中药、民族药制剂的中试研究是指在实验室完成系列工艺研究后，采用与生产基本相符的条件进行工艺放大研究的过程。</w:t>
      </w:r>
    </w:p>
    <w:p>
      <w:pPr>
        <w:rPr>
          <w:color w:val="auto"/>
        </w:rPr>
      </w:pPr>
      <w:r>
        <w:rPr>
          <w:color w:val="auto"/>
        </w:rPr>
        <w:t>中试研究是对实验室工艺合理性的验证与完善，是保证工艺达到生产稳定性、可操作性，保证批准上市后制剂产品不同批次间质量的稳定均一的必经环节，是药物研究工作的重要内容之一，直接关系到药品的安全、有效和质量可控。因此，无论何种情况，均应进行中试研究。</w:t>
      </w:r>
    </w:p>
    <w:p>
      <w:pPr>
        <w:rPr>
          <w:color w:val="auto"/>
        </w:rPr>
      </w:pPr>
      <w:r>
        <w:rPr>
          <w:color w:val="auto"/>
        </w:rPr>
        <w:t>（二）基本内容</w:t>
      </w:r>
    </w:p>
    <w:p>
      <w:pPr>
        <w:rPr>
          <w:color w:val="auto"/>
        </w:rPr>
      </w:pPr>
      <w:r>
        <w:rPr>
          <w:color w:val="auto"/>
        </w:rPr>
        <w:t>1.中试研究的作用</w:t>
      </w:r>
    </w:p>
    <w:p>
      <w:pPr>
        <w:rPr>
          <w:color w:val="auto"/>
        </w:rPr>
      </w:pPr>
      <w:r>
        <w:rPr>
          <w:color w:val="auto"/>
        </w:rPr>
        <w:t>为保证质量标准的制订、稳定性考察、药理毒理和临床研究结果的可靠，所用样品都应经中试研究确定的工艺制备而成。</w:t>
      </w:r>
    </w:p>
    <w:p>
      <w:pPr>
        <w:rPr>
          <w:color w:val="auto"/>
        </w:rPr>
      </w:pPr>
      <w:r>
        <w:rPr>
          <w:color w:val="auto"/>
        </w:rPr>
        <w:t>通过中试研究，可发现工艺可行性、劳动保护、环保、生产成本等方面存在的问题，以减少制剂研发的风险。</w:t>
      </w:r>
    </w:p>
    <w:p>
      <w:pPr>
        <w:rPr>
          <w:color w:val="auto"/>
        </w:rPr>
      </w:pPr>
      <w:r>
        <w:rPr>
          <w:color w:val="auto"/>
        </w:rPr>
        <w:t>2.中试研究的有关问题</w:t>
      </w:r>
    </w:p>
    <w:p>
      <w:pPr>
        <w:rPr>
          <w:color w:val="auto"/>
        </w:rPr>
      </w:pPr>
      <w:r>
        <w:rPr>
          <w:color w:val="auto"/>
        </w:rPr>
        <w:t>中试研究设备与生产用制剂配制设备的技术原理、技术参数应基本相符。中试样品如用于临床研究，应当在符合《药品生产质量管理规范》条件的场所制备。应确保批准使用后的制剂产品与申报样品、临床试验用样品质量的一致性。</w:t>
      </w:r>
    </w:p>
    <w:p>
      <w:pPr>
        <w:rPr>
          <w:color w:val="auto"/>
        </w:rPr>
      </w:pPr>
      <w:r>
        <w:rPr>
          <w:color w:val="auto"/>
        </w:rPr>
        <w:t>由于药品剂型不同，所用生产工艺、设备、生产场所条件、辅料、包装等有很大差异，因此在中试研究中要结合剂型，特别要考虑如何适应生产的特点开展工作，注意以下问题。</w:t>
      </w:r>
    </w:p>
    <w:p>
      <w:pPr>
        <w:rPr>
          <w:color w:val="auto"/>
        </w:rPr>
      </w:pPr>
      <w:r>
        <w:rPr>
          <w:color w:val="auto"/>
        </w:rPr>
        <w:t>(1)规模与批次</w:t>
      </w:r>
    </w:p>
    <w:p>
      <w:pPr>
        <w:rPr>
          <w:color w:val="auto"/>
        </w:rPr>
      </w:pPr>
      <w:r>
        <w:rPr>
          <w:color w:val="auto"/>
        </w:rPr>
        <w:t>投料量、半成品率、成品率是衡量中试研究可行性、稳定性的重要指标。一般情况下，中试研究的投料量应为制剂处方量（以制成1000个制剂单位计算）的10倍以上（含10倍）。装量大于或等于100mL的液体制剂应适当扩大中试规模；以有效成分、有效部位为原料或以全生药粉入药的制剂，可适当降低中试研究的投料量，但均要与配制设备相匹配，达到中试研究的目的，半成品率、成品率应相对稳定。</w:t>
      </w:r>
    </w:p>
    <w:p>
      <w:pPr>
        <w:rPr>
          <w:color w:val="auto"/>
        </w:rPr>
      </w:pPr>
      <w:r>
        <w:rPr>
          <w:color w:val="auto"/>
        </w:rPr>
        <w:t>中试研究一般需经过多批次试验，以达到工艺稳定的目的。申报临床研究时，应提供至少</w:t>
      </w:r>
      <w:r>
        <w:rPr>
          <w:rFonts w:hint="eastAsia"/>
          <w:color w:val="auto"/>
        </w:rPr>
        <w:t>3</w:t>
      </w:r>
      <w:r>
        <w:rPr>
          <w:color w:val="auto"/>
        </w:rPr>
        <w:t>批稳定的中试研究数据，包括完整的工艺过程和实际工艺控制参数，起始原料数量、饮片数量，以及提取的批号、投料量、中间体数量、半成品数量、辅料用量，还有饮片、中间体，特别是半成品的检验数据，如粒度和粒度分布、水分（干燥失重）、相对密度、pH值、浸出物、含量、微生物限度等，应按照拟定的（内控）质量标准和现行版《中国药典》制剂通则项下的要求对中试产品进行全项检验。申报生产时，应提供至少3批稳定的中试研究数据，并列出中试设备清单，包括名称、规格型号等，提供起始原料信息，包括原药材、饮片的来源、产地、购入信息、鉴定情况、性状特征等等，提供前处理信息、数据。</w:t>
      </w:r>
    </w:p>
    <w:p>
      <w:pPr>
        <w:rPr>
          <w:color w:val="auto"/>
        </w:rPr>
      </w:pPr>
      <w:r>
        <w:rPr>
          <w:color w:val="auto"/>
        </w:rPr>
        <w:t>(2)质量控制</w:t>
      </w:r>
    </w:p>
    <w:p>
      <w:pPr>
        <w:rPr>
          <w:color w:val="auto"/>
        </w:rPr>
      </w:pPr>
      <w:r>
        <w:rPr>
          <w:color w:val="auto"/>
        </w:rPr>
        <w:t>中试研究应在原料鉴定与检验合格后进行。中试研究之前，应依据实验室工艺研究结果等，拟定中试研究方案。</w:t>
      </w:r>
    </w:p>
    <w:p>
      <w:pPr>
        <w:rPr>
          <w:color w:val="auto"/>
        </w:rPr>
      </w:pPr>
      <w:r>
        <w:rPr>
          <w:color w:val="auto"/>
        </w:rPr>
        <w:t>中试研究过程中，应仔细观察整个过程及各种现象，认真、深入分析、研判相关工艺、方法、参数放大生产的可行性。有些问题，在实验室小试研究时不显露、不突出，在中试研究过程中就会暴露出来，在规模化生产中可能就会成为大问题，甚至是很难解决的问题。</w:t>
      </w:r>
    </w:p>
    <w:p>
      <w:pPr>
        <w:rPr>
          <w:color w:val="auto"/>
        </w:rPr>
      </w:pPr>
      <w:r>
        <w:rPr>
          <w:color w:val="auto"/>
        </w:rPr>
        <w:t>中试研究过程中，应认真、深入的整理、总结分析中试过程及相关数据，以及原料、中间体、半成品和成品的检测数据，必要时对方案中拟定的工艺过程及控制参数、参数的限度幅度等进行适当的修订，并提供理由和依据。关键工艺和/或工艺参数变更后，应再进行3批稳定的中试研究。</w:t>
      </w:r>
    </w:p>
    <w:p>
      <w:pPr>
        <w:rPr>
          <w:color w:val="auto"/>
        </w:rPr>
      </w:pPr>
      <w:r>
        <w:rPr>
          <w:color w:val="auto"/>
        </w:rPr>
        <w:t>中试研究过程中，应记录、收集各关键工序的工艺参数及相关的检测数据，如重量、体积、温度、时间等工艺参数，和水分、相对密度、粒度等检测数据，并对收集到的参数、数据进行分析评价，根据中试情况修订和完善制备方法，确定适宜的工艺参数，建立中间体的内控质量标准。</w:t>
      </w:r>
    </w:p>
    <w:p>
      <w:pPr>
        <w:rPr>
          <w:color w:val="auto"/>
        </w:rPr>
      </w:pPr>
      <w:r>
        <w:rPr>
          <w:color w:val="auto"/>
        </w:rPr>
        <w:t>质量标准中建立有含量测定项的制剂，应检测并提供所用相应药材及中间体、半成品和中试样品的含量测定数据，计算并提供转移率数据。鼓励在药材和制剂质量标准的基础上，研究建立与有效性、安全性有关的多指标的检测方法，检测并计算转移率，对中试生产过程进行全面的评价。</w:t>
      </w:r>
    </w:p>
    <w:p>
      <w:pPr>
        <w:rPr>
          <w:color w:val="auto"/>
        </w:rPr>
      </w:pPr>
      <w:r>
        <w:rPr>
          <w:color w:val="auto"/>
        </w:rPr>
        <w:t>七、附注</w:t>
      </w:r>
    </w:p>
    <w:p>
      <w:pPr>
        <w:rPr>
          <w:color w:val="auto"/>
        </w:rPr>
      </w:pPr>
      <w:r>
        <w:rPr>
          <w:color w:val="auto"/>
        </w:rPr>
        <w:t>使用传统工艺配制的中药、民族药医疗机构制剂，可提供相关文献资料，简化工艺研究的资料。采用传统工艺与传统剂型、配制工艺和剂型与既往临床应用基本保持一致的，可只提供相应说明；采用传统工艺和现代剂型的，可仅对与传统剂型有差异的部分进行研究，提供研究资料。但无论何种情况，都必须进行中试研究，并提供处方、制法、工艺流程图、详细生产工艺、药材的基原及标准来源、药材或饮片的检验报告书、中试研究资料等。</w:t>
      </w:r>
    </w:p>
    <w:p>
      <w:pPr>
        <w:rPr>
          <w:color w:val="auto"/>
        </w:rPr>
        <w:sectPr>
          <w:pgSz w:w="11906" w:h="16838"/>
          <w:pgMar w:top="1440" w:right="1800" w:bottom="1440" w:left="1800" w:header="851" w:footer="992" w:gutter="0"/>
          <w:cols w:space="425" w:num="1"/>
          <w:docGrid w:type="lines" w:linePitch="312" w:charSpace="0"/>
        </w:sectPr>
      </w:pPr>
      <w:r>
        <w:rPr>
          <w:color w:val="auto"/>
        </w:rPr>
        <w:t>民族药制剂的配制工艺研究，应根据各民族医药的实际情况、具体特点，参照上述原则，在民族医药理论的指导下进行，尊重民族传统用药经验、习惯。</w:t>
      </w:r>
    </w:p>
    <w:p>
      <w:pPr>
        <w:rPr>
          <w:color w:val="auto"/>
        </w:rPr>
      </w:pPr>
      <w:r>
        <w:rPr>
          <w:rFonts w:hint="eastAsia"/>
          <w:color w:val="auto"/>
        </w:rPr>
        <w:t>附件：中药制剂生产工艺通用格式和撰写指南</w:t>
      </w:r>
    </w:p>
    <w:p>
      <w:pPr>
        <w:rPr>
          <w:color w:val="auto"/>
        </w:rPr>
      </w:pPr>
      <w:r>
        <w:rPr>
          <w:rFonts w:hint="eastAsia"/>
          <w:color w:val="auto"/>
        </w:rPr>
        <w:t>一、处方</w:t>
      </w:r>
    </w:p>
    <w:p>
      <w:pPr>
        <w:rPr>
          <w:color w:val="auto"/>
        </w:rPr>
      </w:pPr>
      <w:r>
        <w:rPr>
          <w:rFonts w:hint="eastAsia"/>
          <w:color w:val="auto"/>
        </w:rPr>
        <w:t>列出所用全部原料的种类及用量，标明投料形式。</w:t>
      </w:r>
    </w:p>
    <w:p>
      <w:pPr>
        <w:rPr>
          <w:color w:val="auto"/>
        </w:rPr>
      </w:pPr>
      <w:r>
        <w:rPr>
          <w:rFonts w:hint="eastAsia"/>
          <w:color w:val="auto"/>
        </w:rPr>
        <w:t>表1 中药处方</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2916"/>
        <w:gridCol w:w="2616"/>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ind w:firstLine="0" w:firstLineChars="0"/>
              <w:jc w:val="center"/>
              <w:rPr>
                <w:color w:val="auto"/>
                <w:sz w:val="24"/>
                <w:szCs w:val="24"/>
              </w:rPr>
            </w:pPr>
            <w:r>
              <w:rPr>
                <w:rFonts w:hint="eastAsia"/>
                <w:color w:val="auto"/>
                <w:sz w:val="24"/>
                <w:szCs w:val="24"/>
              </w:rPr>
              <w:t>名称</w:t>
            </w:r>
            <w:r>
              <w:rPr>
                <w:rFonts w:hint="eastAsia"/>
                <w:color w:val="auto"/>
                <w:sz w:val="24"/>
                <w:szCs w:val="24"/>
                <w:vertAlign w:val="superscript"/>
              </w:rPr>
              <w:t>1</w:t>
            </w:r>
          </w:p>
        </w:tc>
        <w:tc>
          <w:tcPr>
            <w:tcW w:w="0" w:type="auto"/>
            <w:vAlign w:val="center"/>
          </w:tcPr>
          <w:p>
            <w:pPr>
              <w:ind w:firstLine="0" w:firstLineChars="0"/>
              <w:jc w:val="center"/>
              <w:rPr>
                <w:color w:val="auto"/>
                <w:sz w:val="24"/>
                <w:szCs w:val="24"/>
              </w:rPr>
            </w:pPr>
            <w:r>
              <w:rPr>
                <w:rFonts w:hint="eastAsia"/>
                <w:color w:val="auto"/>
                <w:sz w:val="24"/>
                <w:szCs w:val="24"/>
              </w:rPr>
              <w:t>1000个制剂单位处方剂量</w:t>
            </w:r>
          </w:p>
        </w:tc>
        <w:tc>
          <w:tcPr>
            <w:tcW w:w="0" w:type="auto"/>
            <w:vAlign w:val="center"/>
          </w:tcPr>
          <w:p>
            <w:pPr>
              <w:ind w:firstLine="0" w:firstLineChars="0"/>
              <w:jc w:val="center"/>
              <w:rPr>
                <w:color w:val="auto"/>
                <w:sz w:val="24"/>
                <w:szCs w:val="24"/>
              </w:rPr>
            </w:pPr>
            <w:r>
              <w:rPr>
                <w:rFonts w:hint="eastAsia"/>
                <w:color w:val="auto"/>
                <w:sz w:val="24"/>
                <w:szCs w:val="24"/>
              </w:rPr>
              <w:t>拟定商业规模处方剂量</w:t>
            </w:r>
          </w:p>
        </w:tc>
        <w:tc>
          <w:tcPr>
            <w:tcW w:w="0" w:type="auto"/>
            <w:vAlign w:val="center"/>
          </w:tcPr>
          <w:p>
            <w:pPr>
              <w:ind w:firstLine="0" w:firstLineChars="0"/>
              <w:jc w:val="center"/>
              <w:rPr>
                <w:color w:val="auto"/>
                <w:sz w:val="24"/>
                <w:szCs w:val="24"/>
              </w:rPr>
            </w:pPr>
            <w:r>
              <w:rPr>
                <w:rFonts w:hint="eastAsia"/>
                <w:color w:val="auto"/>
                <w:sz w:val="24"/>
                <w:szCs w:val="24"/>
              </w:rPr>
              <w:t>备注</w:t>
            </w:r>
            <w:r>
              <w:rPr>
                <w:rFonts w:hint="eastAsia"/>
                <w:color w:val="auto"/>
                <w:sz w:val="24"/>
                <w:szCs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ind w:firstLine="0" w:firstLineChars="0"/>
              <w:jc w:val="center"/>
              <w:rPr>
                <w:color w:val="auto"/>
                <w:sz w:val="24"/>
                <w:szCs w:val="24"/>
              </w:rPr>
            </w:pPr>
            <w:r>
              <w:rPr>
                <w:rFonts w:hint="eastAsia"/>
                <w:color w:val="auto"/>
                <w:sz w:val="24"/>
                <w:szCs w:val="24"/>
              </w:rPr>
              <w:t>原料1</w:t>
            </w:r>
          </w:p>
        </w:tc>
        <w:tc>
          <w:tcPr>
            <w:tcW w:w="0" w:type="auto"/>
            <w:vAlign w:val="center"/>
          </w:tcPr>
          <w:p>
            <w:pPr>
              <w:ind w:firstLine="0" w:firstLineChars="0"/>
              <w:jc w:val="center"/>
              <w:rPr>
                <w:color w:val="auto"/>
                <w:sz w:val="24"/>
                <w:szCs w:val="24"/>
              </w:rPr>
            </w:pPr>
          </w:p>
        </w:tc>
        <w:tc>
          <w:tcPr>
            <w:tcW w:w="0" w:type="auto"/>
            <w:vAlign w:val="center"/>
          </w:tcPr>
          <w:p>
            <w:pPr>
              <w:ind w:firstLine="0" w:firstLineChars="0"/>
              <w:jc w:val="center"/>
              <w:rPr>
                <w:color w:val="auto"/>
                <w:sz w:val="24"/>
                <w:szCs w:val="24"/>
              </w:rPr>
            </w:pPr>
          </w:p>
        </w:tc>
        <w:tc>
          <w:tcPr>
            <w:tcW w:w="0" w:type="auto"/>
            <w:vAlign w:val="center"/>
          </w:tcPr>
          <w:p>
            <w:pPr>
              <w:ind w:firstLine="0" w:firstLineChars="0"/>
              <w:jc w:val="cente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ind w:firstLine="0" w:firstLineChars="0"/>
              <w:jc w:val="center"/>
              <w:rPr>
                <w:color w:val="auto"/>
                <w:sz w:val="24"/>
                <w:szCs w:val="24"/>
              </w:rPr>
            </w:pPr>
            <w:r>
              <w:rPr>
                <w:rFonts w:hint="eastAsia"/>
                <w:color w:val="auto"/>
                <w:sz w:val="24"/>
                <w:szCs w:val="24"/>
              </w:rPr>
              <w:t>原料2</w:t>
            </w:r>
          </w:p>
        </w:tc>
        <w:tc>
          <w:tcPr>
            <w:tcW w:w="0" w:type="auto"/>
            <w:vAlign w:val="center"/>
          </w:tcPr>
          <w:p>
            <w:pPr>
              <w:ind w:firstLine="0" w:firstLineChars="0"/>
              <w:jc w:val="center"/>
              <w:rPr>
                <w:color w:val="auto"/>
                <w:sz w:val="24"/>
                <w:szCs w:val="24"/>
              </w:rPr>
            </w:pPr>
          </w:p>
        </w:tc>
        <w:tc>
          <w:tcPr>
            <w:tcW w:w="0" w:type="auto"/>
            <w:vAlign w:val="center"/>
          </w:tcPr>
          <w:p>
            <w:pPr>
              <w:ind w:firstLine="0" w:firstLineChars="0"/>
              <w:jc w:val="center"/>
              <w:rPr>
                <w:color w:val="auto"/>
                <w:sz w:val="24"/>
                <w:szCs w:val="24"/>
              </w:rPr>
            </w:pPr>
          </w:p>
        </w:tc>
        <w:tc>
          <w:tcPr>
            <w:tcW w:w="0" w:type="auto"/>
            <w:vAlign w:val="center"/>
          </w:tcPr>
          <w:p>
            <w:pPr>
              <w:ind w:firstLine="0" w:firstLineChars="0"/>
              <w:jc w:val="cente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ind w:firstLine="0" w:firstLineChars="0"/>
              <w:jc w:val="center"/>
              <w:rPr>
                <w:color w:val="auto"/>
                <w:sz w:val="24"/>
                <w:szCs w:val="24"/>
              </w:rPr>
            </w:pPr>
            <w:r>
              <w:rPr>
                <w:rFonts w:hint="eastAsia"/>
                <w:color w:val="auto"/>
                <w:sz w:val="24"/>
                <w:szCs w:val="24"/>
              </w:rPr>
              <w:t>……</w:t>
            </w:r>
          </w:p>
        </w:tc>
        <w:tc>
          <w:tcPr>
            <w:tcW w:w="0" w:type="auto"/>
            <w:vAlign w:val="center"/>
          </w:tcPr>
          <w:p>
            <w:pPr>
              <w:ind w:firstLine="0" w:firstLineChars="0"/>
              <w:jc w:val="center"/>
              <w:rPr>
                <w:color w:val="auto"/>
                <w:sz w:val="24"/>
                <w:szCs w:val="24"/>
              </w:rPr>
            </w:pPr>
          </w:p>
        </w:tc>
        <w:tc>
          <w:tcPr>
            <w:tcW w:w="0" w:type="auto"/>
            <w:vAlign w:val="center"/>
          </w:tcPr>
          <w:p>
            <w:pPr>
              <w:ind w:firstLine="0" w:firstLineChars="0"/>
              <w:jc w:val="center"/>
              <w:rPr>
                <w:color w:val="auto"/>
                <w:sz w:val="24"/>
                <w:szCs w:val="24"/>
              </w:rPr>
            </w:pPr>
          </w:p>
        </w:tc>
        <w:tc>
          <w:tcPr>
            <w:tcW w:w="0" w:type="auto"/>
            <w:vAlign w:val="center"/>
          </w:tcPr>
          <w:p>
            <w:pPr>
              <w:ind w:firstLine="0" w:firstLineChars="0"/>
              <w:jc w:val="cente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ind w:firstLine="0" w:firstLineChars="0"/>
              <w:jc w:val="center"/>
              <w:rPr>
                <w:color w:val="auto"/>
                <w:sz w:val="24"/>
                <w:szCs w:val="24"/>
              </w:rPr>
            </w:pPr>
            <w:r>
              <w:rPr>
                <w:rFonts w:hint="eastAsia"/>
                <w:color w:val="auto"/>
                <w:sz w:val="24"/>
                <w:szCs w:val="24"/>
              </w:rPr>
              <w:t>制成总量</w:t>
            </w:r>
          </w:p>
        </w:tc>
        <w:tc>
          <w:tcPr>
            <w:tcW w:w="0" w:type="auto"/>
            <w:vAlign w:val="center"/>
          </w:tcPr>
          <w:p>
            <w:pPr>
              <w:ind w:firstLine="0" w:firstLineChars="0"/>
              <w:jc w:val="center"/>
              <w:rPr>
                <w:color w:val="auto"/>
                <w:sz w:val="24"/>
                <w:szCs w:val="24"/>
              </w:rPr>
            </w:pPr>
          </w:p>
        </w:tc>
        <w:tc>
          <w:tcPr>
            <w:tcW w:w="0" w:type="auto"/>
            <w:vAlign w:val="center"/>
          </w:tcPr>
          <w:p>
            <w:pPr>
              <w:ind w:firstLine="0" w:firstLineChars="0"/>
              <w:jc w:val="center"/>
              <w:rPr>
                <w:color w:val="auto"/>
                <w:sz w:val="24"/>
                <w:szCs w:val="24"/>
              </w:rPr>
            </w:pPr>
          </w:p>
        </w:tc>
        <w:tc>
          <w:tcPr>
            <w:tcW w:w="0" w:type="auto"/>
            <w:vAlign w:val="center"/>
          </w:tcPr>
          <w:p>
            <w:pPr>
              <w:ind w:firstLine="0" w:firstLineChars="0"/>
              <w:jc w:val="center"/>
              <w:rPr>
                <w:color w:val="auto"/>
                <w:sz w:val="24"/>
                <w:szCs w:val="24"/>
              </w:rPr>
            </w:pPr>
          </w:p>
        </w:tc>
      </w:tr>
    </w:tbl>
    <w:p>
      <w:pPr>
        <w:rPr>
          <w:rFonts w:cs="_GB2312"/>
          <w:color w:val="auto"/>
        </w:rPr>
      </w:pPr>
      <w:r>
        <w:rPr>
          <w:rFonts w:hint="eastAsia" w:cs="_GB2312"/>
          <w:color w:val="auto"/>
        </w:rPr>
        <w:t>注：1、原料包含饮片、提取物等。</w:t>
      </w:r>
    </w:p>
    <w:p>
      <w:pPr>
        <w:rPr>
          <w:rFonts w:cs="_GB2312"/>
          <w:color w:val="auto"/>
        </w:rPr>
      </w:pPr>
      <w:r>
        <w:rPr>
          <w:rFonts w:hint="eastAsia" w:cs="_GB2312"/>
          <w:color w:val="auto"/>
        </w:rPr>
        <w:t>2、结合工艺中药材（饮片）前处理部分，注明处方原料的投料形式，如饮片、药粉等。处方的撰写一般可参照《中国药典》的相关规定。</w:t>
      </w:r>
    </w:p>
    <w:p>
      <w:pPr>
        <w:rPr>
          <w:color w:val="auto"/>
        </w:rPr>
      </w:pPr>
      <w:r>
        <w:rPr>
          <w:rFonts w:hint="eastAsia"/>
          <w:color w:val="auto"/>
        </w:rPr>
        <w:t>二、原辅料、制备过程中所用材料、直接接触药品的包装材料</w:t>
      </w:r>
    </w:p>
    <w:p>
      <w:pPr>
        <w:rPr>
          <w:color w:val="auto"/>
        </w:rPr>
      </w:pPr>
      <w:r>
        <w:rPr>
          <w:rFonts w:hint="eastAsia"/>
          <w:color w:val="auto"/>
        </w:rPr>
        <w:t>表2</w:t>
      </w:r>
      <w:r>
        <w:rPr>
          <w:color w:val="auto"/>
        </w:rPr>
        <w:t xml:space="preserve"> </w:t>
      </w:r>
      <w:r>
        <w:rPr>
          <w:rFonts w:hint="eastAsia"/>
          <w:color w:val="auto"/>
        </w:rPr>
        <w:t>原辅料及包材信息表</w:t>
      </w:r>
    </w:p>
    <w:tbl>
      <w:tblPr>
        <w:tblStyle w:val="13"/>
        <w:tblW w:w="0" w:type="auto"/>
        <w:jc w:val="center"/>
        <w:tblLayout w:type="autofit"/>
        <w:tblCellMar>
          <w:top w:w="0" w:type="dxa"/>
          <w:left w:w="108" w:type="dxa"/>
          <w:bottom w:w="0" w:type="dxa"/>
          <w:right w:w="108" w:type="dxa"/>
        </w:tblCellMar>
      </w:tblPr>
      <w:tblGrid>
        <w:gridCol w:w="2243"/>
        <w:gridCol w:w="594"/>
        <w:gridCol w:w="1384"/>
        <w:gridCol w:w="1419"/>
        <w:gridCol w:w="869"/>
        <w:gridCol w:w="1419"/>
        <w:gridCol w:w="594"/>
      </w:tblGrid>
      <w:tr>
        <w:tblPrEx>
          <w:tblCellMar>
            <w:top w:w="0" w:type="dxa"/>
            <w:left w:w="108" w:type="dxa"/>
            <w:bottom w:w="0" w:type="dxa"/>
            <w:right w:w="108" w:type="dxa"/>
          </w:tblCellMar>
        </w:tblPrEx>
        <w:trPr>
          <w:trHeight w:val="484" w:hRule="atLeast"/>
          <w:jc w:val="center"/>
        </w:trPr>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原料</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名称</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药材产地</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饮片等的生产企业</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执行标准</w:t>
            </w:r>
          </w:p>
        </w:tc>
        <w:tc>
          <w:tcPr>
            <w:tcW w:w="0" w:type="auto"/>
            <w:gridSpan w:val="2"/>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备注</w:t>
            </w:r>
            <w:r>
              <w:rPr>
                <w:rFonts w:hint="eastAsia"/>
                <w:color w:val="auto"/>
                <w:sz w:val="24"/>
                <w:szCs w:val="24"/>
                <w:vertAlign w:val="superscript"/>
              </w:rPr>
              <w:t>1</w:t>
            </w:r>
          </w:p>
        </w:tc>
      </w:tr>
      <w:tr>
        <w:tblPrEx>
          <w:tblCellMar>
            <w:top w:w="0" w:type="dxa"/>
            <w:left w:w="108" w:type="dxa"/>
            <w:bottom w:w="0" w:type="dxa"/>
            <w:right w:w="108" w:type="dxa"/>
          </w:tblCellMar>
        </w:tblPrEx>
        <w:trPr>
          <w:trHeight w:val="484" w:hRule="atLeast"/>
          <w:jc w:val="center"/>
        </w:trPr>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gridSpan w:val="2"/>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r>
      <w:tr>
        <w:tblPrEx>
          <w:tblCellMar>
            <w:top w:w="0" w:type="dxa"/>
            <w:left w:w="108" w:type="dxa"/>
            <w:bottom w:w="0" w:type="dxa"/>
            <w:right w:w="108" w:type="dxa"/>
          </w:tblCellMar>
        </w:tblPrEx>
        <w:trPr>
          <w:trHeight w:val="484" w:hRule="atLeast"/>
          <w:jc w:val="center"/>
        </w:trPr>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gridSpan w:val="2"/>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r>
      <w:tr>
        <w:tblPrEx>
          <w:tblCellMar>
            <w:top w:w="0" w:type="dxa"/>
            <w:left w:w="108" w:type="dxa"/>
            <w:bottom w:w="0" w:type="dxa"/>
            <w:right w:w="108" w:type="dxa"/>
          </w:tblCellMar>
        </w:tblPrEx>
        <w:trPr>
          <w:trHeight w:val="484" w:hRule="atLeast"/>
          <w:jc w:val="center"/>
        </w:trPr>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辅料</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名称</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规格（或型号）</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生产企业</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执行标准</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登记号及登记状态</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备注</w:t>
            </w:r>
          </w:p>
        </w:tc>
      </w:tr>
      <w:tr>
        <w:tblPrEx>
          <w:tblCellMar>
            <w:top w:w="0" w:type="dxa"/>
            <w:left w:w="108" w:type="dxa"/>
            <w:bottom w:w="0" w:type="dxa"/>
            <w:right w:w="108" w:type="dxa"/>
          </w:tblCellMar>
        </w:tblPrEx>
        <w:trPr>
          <w:trHeight w:val="484" w:hRule="atLeast"/>
          <w:jc w:val="center"/>
        </w:trPr>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auto" w:sz="4" w:space="0"/>
            </w:tcBorders>
            <w:vAlign w:val="center"/>
          </w:tcPr>
          <w:p>
            <w:pPr>
              <w:ind w:firstLine="0" w:firstLineChars="0"/>
              <w:jc w:val="center"/>
              <w:rPr>
                <w:color w:val="auto"/>
                <w:sz w:val="24"/>
                <w:szCs w:val="24"/>
              </w:rPr>
            </w:pPr>
          </w:p>
        </w:tc>
        <w:tc>
          <w:tcPr>
            <w:tcW w:w="0" w:type="auto"/>
            <w:tcBorders>
              <w:top w:val="single" w:color="000000" w:sz="6" w:space="0"/>
              <w:left w:val="single" w:color="auto" w:sz="4"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r>
      <w:tr>
        <w:tblPrEx>
          <w:tblCellMar>
            <w:top w:w="0" w:type="dxa"/>
            <w:left w:w="108" w:type="dxa"/>
            <w:bottom w:w="0" w:type="dxa"/>
            <w:right w:w="108" w:type="dxa"/>
          </w:tblCellMar>
        </w:tblPrEx>
        <w:trPr>
          <w:trHeight w:val="484" w:hRule="atLeast"/>
          <w:jc w:val="center"/>
        </w:trPr>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auto" w:sz="4" w:space="0"/>
            </w:tcBorders>
            <w:vAlign w:val="center"/>
          </w:tcPr>
          <w:p>
            <w:pPr>
              <w:ind w:firstLine="0" w:firstLineChars="0"/>
              <w:jc w:val="center"/>
              <w:rPr>
                <w:color w:val="auto"/>
                <w:sz w:val="24"/>
                <w:szCs w:val="24"/>
              </w:rPr>
            </w:pPr>
          </w:p>
        </w:tc>
        <w:tc>
          <w:tcPr>
            <w:tcW w:w="0" w:type="auto"/>
            <w:tcBorders>
              <w:top w:val="single" w:color="000000" w:sz="6" w:space="0"/>
              <w:left w:val="single" w:color="auto" w:sz="4"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r>
      <w:tr>
        <w:tblPrEx>
          <w:tblCellMar>
            <w:top w:w="0" w:type="dxa"/>
            <w:left w:w="108" w:type="dxa"/>
            <w:bottom w:w="0" w:type="dxa"/>
            <w:right w:w="108" w:type="dxa"/>
          </w:tblCellMar>
        </w:tblPrEx>
        <w:trPr>
          <w:trHeight w:val="484" w:hRule="atLeast"/>
          <w:jc w:val="center"/>
        </w:trPr>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生产过程所用材料</w:t>
            </w:r>
            <w:r>
              <w:rPr>
                <w:rFonts w:hint="eastAsia"/>
                <w:color w:val="auto"/>
                <w:sz w:val="24"/>
                <w:szCs w:val="24"/>
                <w:vertAlign w:val="superscript"/>
              </w:rPr>
              <w:t>2</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名称</w:t>
            </w:r>
          </w:p>
        </w:tc>
        <w:tc>
          <w:tcPr>
            <w:tcW w:w="0" w:type="auto"/>
            <w:tcBorders>
              <w:top w:val="single" w:color="000000" w:sz="6" w:space="0"/>
              <w:left w:val="single" w:color="000000" w:sz="6" w:space="0"/>
              <w:right w:val="single" w:color="auto" w:sz="4" w:space="0"/>
            </w:tcBorders>
            <w:vAlign w:val="center"/>
          </w:tcPr>
          <w:p>
            <w:pPr>
              <w:ind w:firstLine="0" w:firstLineChars="0"/>
              <w:jc w:val="center"/>
              <w:rPr>
                <w:color w:val="auto"/>
                <w:sz w:val="24"/>
                <w:szCs w:val="24"/>
              </w:rPr>
            </w:pPr>
            <w:r>
              <w:rPr>
                <w:rFonts w:hint="eastAsia"/>
                <w:color w:val="auto"/>
                <w:sz w:val="24"/>
                <w:szCs w:val="24"/>
              </w:rPr>
              <w:t>规格（或型号）</w:t>
            </w:r>
          </w:p>
        </w:tc>
        <w:tc>
          <w:tcPr>
            <w:tcW w:w="0" w:type="auto"/>
            <w:tcBorders>
              <w:top w:val="single" w:color="000000" w:sz="6" w:space="0"/>
              <w:left w:val="single" w:color="auto" w:sz="4" w:space="0"/>
              <w:right w:val="single" w:color="000000" w:sz="6" w:space="0"/>
            </w:tcBorders>
            <w:vAlign w:val="center"/>
          </w:tcPr>
          <w:p>
            <w:pPr>
              <w:ind w:firstLine="0" w:firstLineChars="0"/>
              <w:jc w:val="center"/>
              <w:rPr>
                <w:color w:val="auto"/>
                <w:sz w:val="24"/>
                <w:szCs w:val="24"/>
              </w:rPr>
            </w:pPr>
            <w:r>
              <w:rPr>
                <w:rFonts w:hint="eastAsia"/>
                <w:color w:val="auto"/>
                <w:sz w:val="24"/>
                <w:szCs w:val="24"/>
              </w:rPr>
              <w:t>生产企业</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执行标准</w:t>
            </w:r>
          </w:p>
        </w:tc>
        <w:tc>
          <w:tcPr>
            <w:tcW w:w="0" w:type="auto"/>
            <w:gridSpan w:val="2"/>
            <w:tcBorders>
              <w:top w:val="single" w:color="000000" w:sz="6" w:space="0"/>
              <w:left w:val="single" w:color="000000" w:sz="6" w:space="0"/>
              <w:bottom w:val="single" w:color="auto" w:sz="4" w:space="0"/>
              <w:right w:val="single" w:color="000000" w:sz="6" w:space="0"/>
            </w:tcBorders>
            <w:vAlign w:val="center"/>
          </w:tcPr>
          <w:p>
            <w:pPr>
              <w:ind w:firstLine="0" w:firstLineChars="0"/>
              <w:jc w:val="center"/>
              <w:rPr>
                <w:color w:val="auto"/>
                <w:sz w:val="24"/>
                <w:szCs w:val="24"/>
              </w:rPr>
            </w:pPr>
            <w:r>
              <w:rPr>
                <w:rFonts w:hint="eastAsia"/>
                <w:color w:val="auto"/>
                <w:sz w:val="24"/>
                <w:szCs w:val="24"/>
              </w:rPr>
              <w:t>备注</w:t>
            </w:r>
          </w:p>
        </w:tc>
      </w:tr>
      <w:tr>
        <w:tblPrEx>
          <w:tblCellMar>
            <w:top w:w="0" w:type="dxa"/>
            <w:left w:w="108" w:type="dxa"/>
            <w:bottom w:w="0" w:type="dxa"/>
            <w:right w:w="108" w:type="dxa"/>
          </w:tblCellMar>
        </w:tblPrEx>
        <w:trPr>
          <w:trHeight w:val="484" w:hRule="atLeast"/>
          <w:jc w:val="center"/>
        </w:trPr>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auto" w:sz="4" w:space="0"/>
            </w:tcBorders>
            <w:vAlign w:val="center"/>
          </w:tcPr>
          <w:p>
            <w:pPr>
              <w:ind w:firstLine="0" w:firstLineChars="0"/>
              <w:jc w:val="center"/>
              <w:rPr>
                <w:color w:val="auto"/>
                <w:sz w:val="24"/>
                <w:szCs w:val="24"/>
              </w:rPr>
            </w:pPr>
          </w:p>
        </w:tc>
        <w:tc>
          <w:tcPr>
            <w:tcW w:w="0" w:type="auto"/>
            <w:tcBorders>
              <w:top w:val="single" w:color="000000" w:sz="6" w:space="0"/>
              <w:left w:val="single" w:color="auto" w:sz="4"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right w:val="single" w:color="auto" w:sz="4" w:space="0"/>
            </w:tcBorders>
            <w:vAlign w:val="center"/>
          </w:tcPr>
          <w:p>
            <w:pPr>
              <w:ind w:firstLine="0" w:firstLineChars="0"/>
              <w:jc w:val="center"/>
              <w:rPr>
                <w:color w:val="auto"/>
                <w:sz w:val="24"/>
                <w:szCs w:val="24"/>
              </w:rPr>
            </w:pP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color w:val="auto"/>
                <w:sz w:val="24"/>
                <w:szCs w:val="24"/>
              </w:rPr>
            </w:pPr>
          </w:p>
        </w:tc>
      </w:tr>
      <w:tr>
        <w:tblPrEx>
          <w:tblCellMar>
            <w:top w:w="0" w:type="dxa"/>
            <w:left w:w="108" w:type="dxa"/>
            <w:bottom w:w="0" w:type="dxa"/>
            <w:right w:w="108" w:type="dxa"/>
          </w:tblCellMar>
        </w:tblPrEx>
        <w:trPr>
          <w:trHeight w:val="484" w:hRule="atLeast"/>
          <w:jc w:val="center"/>
        </w:trPr>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直接接触药品的包装材料和容器</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名称</w:t>
            </w:r>
          </w:p>
        </w:tc>
        <w:tc>
          <w:tcPr>
            <w:tcW w:w="0" w:type="auto"/>
            <w:tcBorders>
              <w:top w:val="single" w:color="000000" w:sz="6" w:space="0"/>
              <w:left w:val="single" w:color="000000" w:sz="6" w:space="0"/>
              <w:right w:val="single" w:color="auto" w:sz="4" w:space="0"/>
            </w:tcBorders>
            <w:vAlign w:val="center"/>
          </w:tcPr>
          <w:p>
            <w:pPr>
              <w:ind w:firstLine="0" w:firstLineChars="0"/>
              <w:jc w:val="center"/>
              <w:rPr>
                <w:color w:val="auto"/>
                <w:sz w:val="24"/>
                <w:szCs w:val="24"/>
              </w:rPr>
            </w:pPr>
            <w:r>
              <w:rPr>
                <w:rFonts w:hint="eastAsia"/>
                <w:color w:val="auto"/>
                <w:sz w:val="24"/>
                <w:szCs w:val="24"/>
              </w:rPr>
              <w:t>规格（或型号）</w:t>
            </w:r>
          </w:p>
        </w:tc>
        <w:tc>
          <w:tcPr>
            <w:tcW w:w="0" w:type="auto"/>
            <w:tcBorders>
              <w:top w:val="single" w:color="000000" w:sz="6" w:space="0"/>
              <w:left w:val="single" w:color="auto" w:sz="4" w:space="0"/>
              <w:right w:val="single" w:color="000000" w:sz="6" w:space="0"/>
            </w:tcBorders>
            <w:vAlign w:val="center"/>
          </w:tcPr>
          <w:p>
            <w:pPr>
              <w:ind w:firstLine="0" w:firstLineChars="0"/>
              <w:jc w:val="center"/>
              <w:rPr>
                <w:color w:val="auto"/>
                <w:sz w:val="24"/>
                <w:szCs w:val="24"/>
              </w:rPr>
            </w:pPr>
            <w:r>
              <w:rPr>
                <w:rFonts w:hint="eastAsia"/>
                <w:color w:val="auto"/>
                <w:sz w:val="24"/>
                <w:szCs w:val="24"/>
              </w:rPr>
              <w:t>生产企业</w:t>
            </w:r>
          </w:p>
        </w:tc>
        <w:tc>
          <w:tcPr>
            <w:tcW w:w="0" w:type="auto"/>
            <w:tcBorders>
              <w:top w:val="single" w:color="000000" w:sz="6"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执行标准</w:t>
            </w:r>
          </w:p>
        </w:tc>
        <w:tc>
          <w:tcPr>
            <w:tcW w:w="0" w:type="auto"/>
            <w:tcBorders>
              <w:top w:val="single" w:color="auto" w:sz="4"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登记号及登记状态</w:t>
            </w:r>
          </w:p>
        </w:tc>
        <w:tc>
          <w:tcPr>
            <w:tcW w:w="0" w:type="auto"/>
            <w:tcBorders>
              <w:top w:val="single" w:color="auto" w:sz="4" w:space="0"/>
              <w:left w:val="single" w:color="000000" w:sz="6" w:space="0"/>
              <w:right w:val="single" w:color="000000" w:sz="6" w:space="0"/>
            </w:tcBorders>
            <w:vAlign w:val="center"/>
          </w:tcPr>
          <w:p>
            <w:pPr>
              <w:ind w:firstLine="0" w:firstLineChars="0"/>
              <w:jc w:val="center"/>
              <w:rPr>
                <w:color w:val="auto"/>
                <w:sz w:val="24"/>
                <w:szCs w:val="24"/>
              </w:rPr>
            </w:pPr>
            <w:r>
              <w:rPr>
                <w:rFonts w:hint="eastAsia"/>
                <w:color w:val="auto"/>
                <w:sz w:val="24"/>
                <w:szCs w:val="24"/>
              </w:rPr>
              <w:t>备注</w:t>
            </w:r>
          </w:p>
        </w:tc>
      </w:tr>
      <w:tr>
        <w:tblPrEx>
          <w:tblCellMar>
            <w:top w:w="0" w:type="dxa"/>
            <w:left w:w="108" w:type="dxa"/>
            <w:bottom w:w="0" w:type="dxa"/>
            <w:right w:w="108" w:type="dxa"/>
          </w:tblCellMar>
        </w:tblPrEx>
        <w:trPr>
          <w:trHeight w:val="484" w:hRule="atLeast"/>
          <w:jc w:val="center"/>
        </w:trPr>
        <w:tc>
          <w:tcPr>
            <w:tcW w:w="0" w:type="auto"/>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bottom w:val="single" w:color="000000" w:sz="6" w:space="0"/>
              <w:right w:val="single" w:color="auto" w:sz="4" w:space="0"/>
            </w:tcBorders>
            <w:vAlign w:val="center"/>
          </w:tcPr>
          <w:p>
            <w:pPr>
              <w:ind w:firstLine="0" w:firstLineChars="0"/>
              <w:jc w:val="center"/>
              <w:rPr>
                <w:color w:val="auto"/>
                <w:sz w:val="24"/>
                <w:szCs w:val="24"/>
              </w:rPr>
            </w:pPr>
          </w:p>
        </w:tc>
        <w:tc>
          <w:tcPr>
            <w:tcW w:w="0" w:type="auto"/>
            <w:tcBorders>
              <w:top w:val="single" w:color="000000" w:sz="6" w:space="0"/>
              <w:left w:val="single" w:color="auto" w:sz="4" w:space="0"/>
              <w:bottom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p>
        </w:tc>
      </w:tr>
      <w:tr>
        <w:tblPrEx>
          <w:tblCellMar>
            <w:top w:w="0" w:type="dxa"/>
            <w:left w:w="108" w:type="dxa"/>
            <w:bottom w:w="0" w:type="dxa"/>
            <w:right w:w="108" w:type="dxa"/>
          </w:tblCellMar>
        </w:tblPrEx>
        <w:trPr>
          <w:trHeight w:val="484" w:hRule="atLeast"/>
          <w:jc w:val="center"/>
        </w:trPr>
        <w:tc>
          <w:tcPr>
            <w:tcW w:w="0" w:type="auto"/>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bottom w:val="single" w:color="000000" w:sz="6" w:space="0"/>
              <w:right w:val="single" w:color="auto" w:sz="4" w:space="0"/>
            </w:tcBorders>
            <w:vAlign w:val="center"/>
          </w:tcPr>
          <w:p>
            <w:pPr>
              <w:ind w:firstLine="0" w:firstLineChars="0"/>
              <w:jc w:val="center"/>
              <w:rPr>
                <w:color w:val="auto"/>
                <w:sz w:val="24"/>
                <w:szCs w:val="24"/>
              </w:rPr>
            </w:pPr>
          </w:p>
        </w:tc>
        <w:tc>
          <w:tcPr>
            <w:tcW w:w="0" w:type="auto"/>
            <w:tcBorders>
              <w:top w:val="single" w:color="000000" w:sz="6" w:space="0"/>
              <w:left w:val="single" w:color="auto" w:sz="4" w:space="0"/>
              <w:bottom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p>
        </w:tc>
        <w:tc>
          <w:tcPr>
            <w:tcW w:w="0" w:type="auto"/>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p>
        </w:tc>
      </w:tr>
    </w:tbl>
    <w:p>
      <w:pPr>
        <w:rPr>
          <w:rFonts w:cs="_GB2312"/>
          <w:color w:val="auto"/>
        </w:rPr>
      </w:pPr>
      <w:r>
        <w:rPr>
          <w:rFonts w:hint="eastAsia" w:cs="_GB2312"/>
          <w:color w:val="auto"/>
        </w:rPr>
        <w:t>注：1、药材基原、采收期、质量要求等内容可以附件的形式分别列出。</w:t>
      </w:r>
    </w:p>
    <w:p>
      <w:pPr>
        <w:rPr>
          <w:rFonts w:cs="_GB2312"/>
          <w:color w:val="auto"/>
        </w:rPr>
      </w:pPr>
      <w:r>
        <w:rPr>
          <w:rFonts w:hint="eastAsia" w:cs="_GB2312"/>
          <w:color w:val="auto"/>
        </w:rPr>
        <w:t>2、如生产过程中使用到的大孔吸附树脂、硅藻土等。</w:t>
      </w:r>
    </w:p>
    <w:p>
      <w:pPr>
        <w:rPr>
          <w:color w:val="auto"/>
        </w:rPr>
      </w:pPr>
      <w:r>
        <w:rPr>
          <w:rFonts w:hint="eastAsia"/>
          <w:color w:val="auto"/>
        </w:rPr>
        <w:t>三、制备工艺</w:t>
      </w:r>
    </w:p>
    <w:p>
      <w:pPr>
        <w:rPr>
          <w:color w:val="auto"/>
        </w:rPr>
      </w:pPr>
      <w:r>
        <w:rPr>
          <w:rFonts w:hint="eastAsia"/>
          <w:color w:val="auto"/>
        </w:rPr>
        <w:t>由于具体品种的实际工艺情况不同，以下仅举例说明部分常见工艺步骤的方法、参数、条件及要求等。</w:t>
      </w:r>
    </w:p>
    <w:p>
      <w:pPr>
        <w:rPr>
          <w:color w:val="auto"/>
        </w:rPr>
      </w:pPr>
      <w:r>
        <w:rPr>
          <w:rFonts w:hint="eastAsia"/>
          <w:color w:val="auto"/>
        </w:rPr>
        <w:t>1.工艺流程图</w:t>
      </w:r>
    </w:p>
    <w:p>
      <w:pPr>
        <w:rPr>
          <w:color w:val="auto"/>
        </w:rPr>
      </w:pPr>
      <w:r>
        <w:rPr>
          <w:rFonts w:hint="eastAsia"/>
          <w:color w:val="auto"/>
        </w:rPr>
        <w:t>工艺流程图应完整、直观、简洁。建议以矩形文本框加箭头的形式提供产品的工艺流程图。</w:t>
      </w:r>
    </w:p>
    <w:p>
      <w:pPr>
        <w:rPr>
          <w:color w:val="auto"/>
        </w:rPr>
      </w:pPr>
      <w:r>
        <w:rPr>
          <w:rFonts w:hint="eastAsia"/>
          <w:color w:val="auto"/>
        </w:rPr>
        <w:t>2.原辅料处理</w:t>
      </w:r>
    </w:p>
    <w:p>
      <w:pPr>
        <w:rPr>
          <w:color w:val="auto"/>
        </w:rPr>
      </w:pPr>
      <w:r>
        <w:rPr>
          <w:rFonts w:hint="eastAsia"/>
          <w:color w:val="auto"/>
        </w:rPr>
        <w:t>（1）原料的前处理：明确药材（饮片）前处理的方法和条件，明确处理后原料的保存时间和条件等。如需经过浸润或软化等处理后切制的，应明确浸润或软化等处理的方法和条件，及切制规格等；需粉碎后投料的，应明确粉碎方法、粒径或粒度等；需破碎的应明确破碎方法、破碎后药材大小等；需炮炙的，应明确炮炙方法和条件（注明炮炙的依据），如加热温度、时间、辅料用量等。</w:t>
      </w:r>
    </w:p>
    <w:p>
      <w:pPr>
        <w:rPr>
          <w:color w:val="auto"/>
        </w:rPr>
      </w:pPr>
      <w:r>
        <w:rPr>
          <w:rFonts w:hint="eastAsia"/>
          <w:color w:val="auto"/>
        </w:rPr>
        <w:t>（2）辅料及所用材料的处理：辅料及所用材料需处理的，应明确处理方法和条件，说明处理的操作流程和工艺参数，明确处理后辅料及所用材料的保存时间和条件等，并提供处理后辅料及所用材料的质量标准。</w:t>
      </w:r>
    </w:p>
    <w:p>
      <w:pPr>
        <w:rPr>
          <w:color w:val="auto"/>
        </w:rPr>
      </w:pPr>
      <w:r>
        <w:rPr>
          <w:rFonts w:hint="eastAsia"/>
          <w:color w:val="auto"/>
        </w:rPr>
        <w:t>3.提取</w:t>
      </w:r>
    </w:p>
    <w:p>
      <w:pPr>
        <w:rPr>
          <w:color w:val="auto"/>
        </w:rPr>
      </w:pPr>
      <w:r>
        <w:rPr>
          <w:rFonts w:hint="eastAsia"/>
          <w:color w:val="auto"/>
        </w:rPr>
        <w:t>明确提取方法及条件，提取用溶媒、用量，提取次数，提取温度、时间，提取液过滤的方法及条件，以及提取液的贮存条件和期限等。如采用质量均一化方法处理后投料的，应明确相应的方法、条件、质量指标及要求。</w:t>
      </w:r>
    </w:p>
    <w:p>
      <w:pPr>
        <w:rPr>
          <w:color w:val="auto"/>
        </w:rPr>
      </w:pPr>
      <w:r>
        <w:rPr>
          <w:rFonts w:hint="eastAsia"/>
          <w:color w:val="auto"/>
        </w:rPr>
        <w:t>4.浓缩</w:t>
      </w:r>
    </w:p>
    <w:p>
      <w:pPr>
        <w:rPr>
          <w:color w:val="auto"/>
        </w:rPr>
      </w:pPr>
      <w:r>
        <w:rPr>
          <w:rFonts w:hint="eastAsia"/>
          <w:color w:val="auto"/>
        </w:rPr>
        <w:t>明确浓缩的方法、条件，如温度、压力、时间，浓缩液的贮存条件和期限等。明确浓缩液的相对密度或浓缩液重量（体积）与饮片的比例，明确浓缩液或浸膏的得率范围。</w:t>
      </w:r>
    </w:p>
    <w:p>
      <w:pPr>
        <w:rPr>
          <w:color w:val="auto"/>
        </w:rPr>
      </w:pPr>
      <w:r>
        <w:rPr>
          <w:rFonts w:hint="eastAsia"/>
          <w:color w:val="auto"/>
        </w:rPr>
        <w:t>5.纯化</w:t>
      </w:r>
    </w:p>
    <w:p>
      <w:pPr>
        <w:rPr>
          <w:color w:val="auto"/>
        </w:rPr>
      </w:pPr>
      <w:r>
        <w:rPr>
          <w:rFonts w:hint="eastAsia"/>
          <w:color w:val="auto"/>
        </w:rPr>
        <w:t>明确纯化的方法及条件，详述相关工艺参数。如醇沉，需明确醇沉用乙醇的浓度，醇沉前浸膏的相对密度（明确测定温度）或浓缩液重量（体积）与饮片的比例，醇沉前浸膏的温度，搅拌方法和条件，醇沉需达到的含醇量，醇沉静置时间和温度等，并明确醇沉液的贮存条件和期限等。</w:t>
      </w:r>
    </w:p>
    <w:p>
      <w:pPr>
        <w:rPr>
          <w:color w:val="auto"/>
        </w:rPr>
      </w:pPr>
      <w:r>
        <w:rPr>
          <w:rFonts w:hint="eastAsia"/>
          <w:color w:val="auto"/>
        </w:rPr>
        <w:t>6.干燥</w:t>
      </w:r>
    </w:p>
    <w:p>
      <w:pPr>
        <w:rPr>
          <w:color w:val="auto"/>
        </w:rPr>
      </w:pPr>
      <w:r>
        <w:rPr>
          <w:rFonts w:hint="eastAsia"/>
          <w:color w:val="auto"/>
        </w:rPr>
        <w:t>明确干燥的方法、条件及设备等，明确干浸膏得率范围。</w:t>
      </w:r>
    </w:p>
    <w:p>
      <w:pPr>
        <w:rPr>
          <w:color w:val="auto"/>
        </w:rPr>
      </w:pPr>
      <w:r>
        <w:rPr>
          <w:rFonts w:hint="eastAsia"/>
          <w:color w:val="auto"/>
        </w:rPr>
        <w:t>7.其他处理</w:t>
      </w:r>
    </w:p>
    <w:p>
      <w:pPr>
        <w:rPr>
          <w:color w:val="auto"/>
        </w:rPr>
      </w:pPr>
      <w:r>
        <w:rPr>
          <w:rFonts w:hint="eastAsia"/>
          <w:color w:val="auto"/>
        </w:rPr>
        <w:t>需根据具体品种的实际工艺情况，列出各单元操作步骤的相关方法、条件及要求。对各环节易出现的问题及处理方法，可以附件的形式进行补充。如滤材阻塞、损坏时更换滤材或维修处理的相关规定和质控方法等。生产中如有在线检测与控制的，应明确相关指标、方法及要求。</w:t>
      </w:r>
    </w:p>
    <w:p>
      <w:pPr>
        <w:rPr>
          <w:color w:val="auto"/>
        </w:rPr>
      </w:pPr>
      <w:r>
        <w:rPr>
          <w:rFonts w:hint="eastAsia"/>
          <w:color w:val="auto"/>
        </w:rPr>
        <w:t>8.制剂处方</w:t>
      </w:r>
    </w:p>
    <w:p>
      <w:pPr>
        <w:rPr>
          <w:color w:val="auto"/>
        </w:rPr>
      </w:pPr>
      <w:r>
        <w:rPr>
          <w:rFonts w:hint="eastAsia"/>
          <w:color w:val="auto"/>
        </w:rPr>
        <w:t>应明确辅料种类及用量。具体见表3。</w:t>
      </w:r>
    </w:p>
    <w:p>
      <w:pPr>
        <w:rPr>
          <w:color w:val="auto"/>
        </w:rPr>
      </w:pPr>
      <w:r>
        <w:rPr>
          <w:rFonts w:hint="eastAsia"/>
          <w:color w:val="auto"/>
        </w:rPr>
        <w:t>表3 制剂处方</w:t>
      </w:r>
    </w:p>
    <w:tbl>
      <w:tblPr>
        <w:tblStyle w:val="13"/>
        <w:tblW w:w="8715" w:type="dxa"/>
        <w:tblInd w:w="213" w:type="dxa"/>
        <w:tblLayout w:type="fixed"/>
        <w:tblCellMar>
          <w:top w:w="0" w:type="dxa"/>
          <w:left w:w="108" w:type="dxa"/>
          <w:bottom w:w="0" w:type="dxa"/>
          <w:right w:w="108" w:type="dxa"/>
        </w:tblCellMar>
      </w:tblPr>
      <w:tblGrid>
        <w:gridCol w:w="2520"/>
        <w:gridCol w:w="3045"/>
        <w:gridCol w:w="3150"/>
      </w:tblGrid>
      <w:tr>
        <w:tblPrEx>
          <w:tblCellMar>
            <w:top w:w="0" w:type="dxa"/>
            <w:left w:w="108" w:type="dxa"/>
            <w:bottom w:w="0" w:type="dxa"/>
            <w:right w:w="108" w:type="dxa"/>
          </w:tblCellMar>
        </w:tblPrEx>
        <w:tc>
          <w:tcPr>
            <w:tcW w:w="2520" w:type="dxa"/>
            <w:tcBorders>
              <w:top w:val="single" w:color="000000" w:sz="6" w:space="0"/>
              <w:left w:val="single" w:color="000000" w:sz="6" w:space="0"/>
              <w:right w:val="single" w:color="000000" w:sz="6" w:space="0"/>
            </w:tcBorders>
            <w:vAlign w:val="center"/>
          </w:tcPr>
          <w:p>
            <w:pPr>
              <w:ind w:firstLine="0" w:firstLineChars="0"/>
              <w:jc w:val="center"/>
              <w:rPr>
                <w:rFonts w:cs="_GB2312"/>
                <w:color w:val="auto"/>
                <w:sz w:val="24"/>
                <w:szCs w:val="24"/>
              </w:rPr>
            </w:pPr>
            <w:r>
              <w:rPr>
                <w:rFonts w:hint="eastAsia" w:cs="_GB2312"/>
                <w:color w:val="auto"/>
                <w:sz w:val="24"/>
                <w:szCs w:val="24"/>
              </w:rPr>
              <w:t>名称</w:t>
            </w:r>
            <w:r>
              <w:rPr>
                <w:rFonts w:hint="eastAsia" w:cs="_GB2312"/>
                <w:color w:val="auto"/>
                <w:sz w:val="24"/>
                <w:szCs w:val="24"/>
                <w:vertAlign w:val="superscript"/>
              </w:rPr>
              <w:t>1</w:t>
            </w:r>
          </w:p>
        </w:tc>
        <w:tc>
          <w:tcPr>
            <w:tcW w:w="3045" w:type="dxa"/>
            <w:tcBorders>
              <w:top w:val="single" w:color="000000" w:sz="6" w:space="0"/>
              <w:left w:val="single" w:color="000000" w:sz="6" w:space="0"/>
              <w:right w:val="single" w:color="000000" w:sz="6" w:space="0"/>
            </w:tcBorders>
            <w:vAlign w:val="center"/>
          </w:tcPr>
          <w:p>
            <w:pPr>
              <w:ind w:firstLine="0" w:firstLineChars="0"/>
              <w:jc w:val="center"/>
              <w:rPr>
                <w:rFonts w:cs="_GB2312"/>
                <w:color w:val="auto"/>
                <w:sz w:val="24"/>
                <w:szCs w:val="24"/>
              </w:rPr>
            </w:pPr>
            <w:r>
              <w:rPr>
                <w:rFonts w:hint="eastAsia" w:cs="_GB2312"/>
                <w:color w:val="auto"/>
                <w:sz w:val="24"/>
                <w:szCs w:val="24"/>
              </w:rPr>
              <w:t>1000个制剂单位的剂量</w:t>
            </w:r>
          </w:p>
        </w:tc>
        <w:tc>
          <w:tcPr>
            <w:tcW w:w="3150" w:type="dxa"/>
            <w:tcBorders>
              <w:top w:val="single" w:color="000000" w:sz="6" w:space="0"/>
              <w:left w:val="single" w:color="000000" w:sz="6" w:space="0"/>
              <w:right w:val="single" w:color="000000" w:sz="6" w:space="0"/>
            </w:tcBorders>
            <w:vAlign w:val="center"/>
          </w:tcPr>
          <w:p>
            <w:pPr>
              <w:ind w:firstLine="0" w:firstLineChars="0"/>
              <w:jc w:val="center"/>
              <w:rPr>
                <w:rFonts w:cs="_GB2312"/>
                <w:color w:val="auto"/>
                <w:sz w:val="24"/>
                <w:szCs w:val="24"/>
              </w:rPr>
            </w:pPr>
            <w:r>
              <w:rPr>
                <w:rFonts w:hint="eastAsia" w:cs="_GB2312"/>
                <w:color w:val="auto"/>
                <w:sz w:val="24"/>
                <w:szCs w:val="24"/>
              </w:rPr>
              <w:t>拟定商业规模的剂量</w:t>
            </w:r>
          </w:p>
        </w:tc>
      </w:tr>
      <w:tr>
        <w:tblPrEx>
          <w:tblCellMar>
            <w:top w:w="0" w:type="dxa"/>
            <w:left w:w="108" w:type="dxa"/>
            <w:bottom w:w="0" w:type="dxa"/>
            <w:right w:w="108" w:type="dxa"/>
          </w:tblCellMar>
        </w:tblPrEx>
        <w:tc>
          <w:tcPr>
            <w:tcW w:w="2520" w:type="dxa"/>
            <w:tcBorders>
              <w:top w:val="single" w:color="000000" w:sz="6" w:space="0"/>
              <w:left w:val="single" w:color="000000" w:sz="6" w:space="0"/>
              <w:right w:val="single" w:color="000000" w:sz="6" w:space="0"/>
            </w:tcBorders>
            <w:vAlign w:val="center"/>
          </w:tcPr>
          <w:p>
            <w:pPr>
              <w:ind w:firstLine="0" w:firstLineChars="0"/>
              <w:jc w:val="center"/>
              <w:rPr>
                <w:rFonts w:cs="_GB2312"/>
                <w:color w:val="auto"/>
                <w:sz w:val="24"/>
                <w:szCs w:val="24"/>
              </w:rPr>
            </w:pPr>
            <w:r>
              <w:rPr>
                <w:rFonts w:hint="eastAsia" w:cs="_GB2312"/>
                <w:color w:val="auto"/>
                <w:sz w:val="24"/>
                <w:szCs w:val="24"/>
              </w:rPr>
              <w:t>中间体1</w:t>
            </w:r>
          </w:p>
        </w:tc>
        <w:tc>
          <w:tcPr>
            <w:tcW w:w="3045" w:type="dxa"/>
            <w:tcBorders>
              <w:top w:val="single" w:color="000000" w:sz="6" w:space="0"/>
              <w:left w:val="single" w:color="000000" w:sz="6" w:space="0"/>
              <w:right w:val="single" w:color="000000" w:sz="6" w:space="0"/>
            </w:tcBorders>
            <w:vAlign w:val="center"/>
          </w:tcPr>
          <w:p>
            <w:pPr>
              <w:ind w:firstLine="0" w:firstLineChars="0"/>
              <w:jc w:val="center"/>
              <w:rPr>
                <w:rFonts w:cs="_GB2312"/>
                <w:color w:val="auto"/>
                <w:sz w:val="24"/>
                <w:szCs w:val="24"/>
              </w:rPr>
            </w:pPr>
          </w:p>
        </w:tc>
        <w:tc>
          <w:tcPr>
            <w:tcW w:w="3150" w:type="dxa"/>
            <w:tcBorders>
              <w:top w:val="single" w:color="000000" w:sz="6" w:space="0"/>
              <w:left w:val="single" w:color="000000" w:sz="6" w:space="0"/>
              <w:right w:val="single" w:color="000000" w:sz="6" w:space="0"/>
            </w:tcBorders>
            <w:vAlign w:val="center"/>
          </w:tcPr>
          <w:p>
            <w:pPr>
              <w:ind w:firstLine="0" w:firstLineChars="0"/>
              <w:jc w:val="center"/>
              <w:rPr>
                <w:rFonts w:cs="_GB2312"/>
                <w:color w:val="auto"/>
                <w:sz w:val="24"/>
                <w:szCs w:val="24"/>
              </w:rPr>
            </w:pPr>
          </w:p>
        </w:tc>
      </w:tr>
      <w:tr>
        <w:tblPrEx>
          <w:tblCellMar>
            <w:top w:w="0" w:type="dxa"/>
            <w:left w:w="108" w:type="dxa"/>
            <w:bottom w:w="0" w:type="dxa"/>
            <w:right w:w="108" w:type="dxa"/>
          </w:tblCellMar>
        </w:tblPrEx>
        <w:tc>
          <w:tcPr>
            <w:tcW w:w="2520" w:type="dxa"/>
            <w:tcBorders>
              <w:top w:val="single" w:color="000000" w:sz="6" w:space="0"/>
              <w:left w:val="single" w:color="000000" w:sz="6" w:space="0"/>
              <w:right w:val="single" w:color="000000" w:sz="6" w:space="0"/>
            </w:tcBorders>
            <w:vAlign w:val="center"/>
          </w:tcPr>
          <w:p>
            <w:pPr>
              <w:ind w:firstLine="0" w:firstLineChars="0"/>
              <w:jc w:val="center"/>
              <w:rPr>
                <w:rFonts w:cs="_GB2312"/>
                <w:color w:val="auto"/>
                <w:sz w:val="24"/>
                <w:szCs w:val="24"/>
              </w:rPr>
            </w:pPr>
            <w:r>
              <w:rPr>
                <w:rFonts w:hint="eastAsia" w:cs="_GB2312"/>
                <w:color w:val="auto"/>
                <w:sz w:val="24"/>
                <w:szCs w:val="24"/>
              </w:rPr>
              <w:t>中间体2</w:t>
            </w:r>
          </w:p>
        </w:tc>
        <w:tc>
          <w:tcPr>
            <w:tcW w:w="3045" w:type="dxa"/>
            <w:tcBorders>
              <w:top w:val="single" w:color="000000" w:sz="6" w:space="0"/>
              <w:left w:val="single" w:color="000000" w:sz="6" w:space="0"/>
              <w:right w:val="single" w:color="000000" w:sz="6" w:space="0"/>
            </w:tcBorders>
            <w:vAlign w:val="center"/>
          </w:tcPr>
          <w:p>
            <w:pPr>
              <w:ind w:firstLine="0" w:firstLineChars="0"/>
              <w:jc w:val="center"/>
              <w:rPr>
                <w:rFonts w:cs="_GB2312"/>
                <w:color w:val="auto"/>
                <w:sz w:val="24"/>
                <w:szCs w:val="24"/>
              </w:rPr>
            </w:pPr>
          </w:p>
        </w:tc>
        <w:tc>
          <w:tcPr>
            <w:tcW w:w="3150" w:type="dxa"/>
            <w:tcBorders>
              <w:top w:val="single" w:color="000000" w:sz="6" w:space="0"/>
              <w:left w:val="single" w:color="000000" w:sz="6" w:space="0"/>
              <w:right w:val="single" w:color="000000" w:sz="6" w:space="0"/>
            </w:tcBorders>
            <w:vAlign w:val="center"/>
          </w:tcPr>
          <w:p>
            <w:pPr>
              <w:ind w:firstLine="0" w:firstLineChars="0"/>
              <w:jc w:val="center"/>
              <w:rPr>
                <w:rFonts w:cs="_GB2312"/>
                <w:color w:val="auto"/>
                <w:sz w:val="24"/>
                <w:szCs w:val="24"/>
              </w:rPr>
            </w:pPr>
          </w:p>
        </w:tc>
      </w:tr>
      <w:tr>
        <w:tblPrEx>
          <w:tblCellMar>
            <w:top w:w="0" w:type="dxa"/>
            <w:left w:w="108" w:type="dxa"/>
            <w:bottom w:w="0" w:type="dxa"/>
            <w:right w:w="108" w:type="dxa"/>
          </w:tblCellMar>
        </w:tblPrEx>
        <w:tc>
          <w:tcPr>
            <w:tcW w:w="2520" w:type="dxa"/>
            <w:tcBorders>
              <w:top w:val="single" w:color="000000" w:sz="6" w:space="0"/>
              <w:left w:val="single" w:color="000000" w:sz="6" w:space="0"/>
              <w:right w:val="single" w:color="000000" w:sz="6" w:space="0"/>
            </w:tcBorders>
            <w:vAlign w:val="center"/>
          </w:tcPr>
          <w:p>
            <w:pPr>
              <w:ind w:firstLine="0" w:firstLineChars="0"/>
              <w:jc w:val="center"/>
              <w:rPr>
                <w:rFonts w:cs="_GB2312"/>
                <w:color w:val="auto"/>
                <w:sz w:val="24"/>
                <w:szCs w:val="24"/>
              </w:rPr>
            </w:pPr>
            <w:r>
              <w:rPr>
                <w:rFonts w:hint="eastAsia" w:cs="_GB2312"/>
                <w:color w:val="auto"/>
                <w:sz w:val="24"/>
                <w:szCs w:val="24"/>
              </w:rPr>
              <w:t>辅料1</w:t>
            </w:r>
          </w:p>
        </w:tc>
        <w:tc>
          <w:tcPr>
            <w:tcW w:w="3045" w:type="dxa"/>
            <w:tcBorders>
              <w:top w:val="single" w:color="000000" w:sz="6" w:space="0"/>
              <w:left w:val="single" w:color="000000" w:sz="6" w:space="0"/>
              <w:right w:val="single" w:color="000000" w:sz="6" w:space="0"/>
            </w:tcBorders>
            <w:vAlign w:val="center"/>
          </w:tcPr>
          <w:p>
            <w:pPr>
              <w:ind w:firstLine="0" w:firstLineChars="0"/>
              <w:jc w:val="center"/>
              <w:rPr>
                <w:rFonts w:cs="_GB2312"/>
                <w:color w:val="auto"/>
                <w:sz w:val="24"/>
                <w:szCs w:val="24"/>
              </w:rPr>
            </w:pPr>
          </w:p>
        </w:tc>
        <w:tc>
          <w:tcPr>
            <w:tcW w:w="3150" w:type="dxa"/>
            <w:tcBorders>
              <w:top w:val="single" w:color="000000" w:sz="6" w:space="0"/>
              <w:left w:val="single" w:color="000000" w:sz="6" w:space="0"/>
              <w:right w:val="single" w:color="000000" w:sz="6" w:space="0"/>
            </w:tcBorders>
            <w:vAlign w:val="center"/>
          </w:tcPr>
          <w:p>
            <w:pPr>
              <w:ind w:firstLine="0" w:firstLineChars="0"/>
              <w:jc w:val="center"/>
              <w:rPr>
                <w:rFonts w:cs="_GB2312"/>
                <w:color w:val="auto"/>
                <w:sz w:val="24"/>
                <w:szCs w:val="24"/>
              </w:rPr>
            </w:pPr>
          </w:p>
        </w:tc>
      </w:tr>
      <w:tr>
        <w:tblPrEx>
          <w:tblCellMar>
            <w:top w:w="0" w:type="dxa"/>
            <w:left w:w="108" w:type="dxa"/>
            <w:bottom w:w="0" w:type="dxa"/>
            <w:right w:w="108" w:type="dxa"/>
          </w:tblCellMar>
        </w:tblPrEx>
        <w:tc>
          <w:tcPr>
            <w:tcW w:w="2520" w:type="dxa"/>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r>
              <w:rPr>
                <w:rFonts w:hint="eastAsia" w:cs="_GB2312"/>
                <w:color w:val="auto"/>
                <w:sz w:val="24"/>
                <w:szCs w:val="24"/>
              </w:rPr>
              <w:t>辅料</w:t>
            </w:r>
            <w:r>
              <w:rPr>
                <w:rFonts w:hint="eastAsia"/>
                <w:color w:val="auto"/>
                <w:sz w:val="24"/>
                <w:szCs w:val="24"/>
              </w:rPr>
              <w:t>……</w:t>
            </w:r>
          </w:p>
        </w:tc>
        <w:tc>
          <w:tcPr>
            <w:tcW w:w="3045" w:type="dxa"/>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p>
        </w:tc>
        <w:tc>
          <w:tcPr>
            <w:tcW w:w="3150" w:type="dxa"/>
            <w:tcBorders>
              <w:top w:val="single" w:color="000000" w:sz="6" w:space="0"/>
              <w:left w:val="single" w:color="000000" w:sz="6" w:space="0"/>
              <w:bottom w:val="single" w:color="000000" w:sz="6" w:space="0"/>
              <w:right w:val="single" w:color="000000" w:sz="6" w:space="0"/>
            </w:tcBorders>
            <w:vAlign w:val="center"/>
          </w:tcPr>
          <w:p>
            <w:pPr>
              <w:ind w:firstLine="0" w:firstLineChars="0"/>
              <w:jc w:val="center"/>
              <w:rPr>
                <w:color w:val="auto"/>
                <w:sz w:val="24"/>
                <w:szCs w:val="24"/>
              </w:rPr>
            </w:pPr>
          </w:p>
        </w:tc>
      </w:tr>
    </w:tbl>
    <w:p>
      <w:pPr>
        <w:rPr>
          <w:rFonts w:cs="_GB2312"/>
          <w:color w:val="auto"/>
        </w:rPr>
      </w:pPr>
      <w:r>
        <w:rPr>
          <w:rFonts w:hint="eastAsia" w:cs="_GB2312"/>
          <w:color w:val="auto"/>
        </w:rPr>
        <w:t>注：1、制剂处方中的中间体指制剂成型前的浸膏、干浸膏、挥发油等。如有直接用于制剂的提取物、药粉等也列入制剂处方，可根据实际情况确定合理的辅料用量范围。</w:t>
      </w:r>
    </w:p>
    <w:p>
      <w:pPr>
        <w:rPr>
          <w:color w:val="auto"/>
        </w:rPr>
      </w:pPr>
      <w:r>
        <w:rPr>
          <w:rFonts w:hint="eastAsia"/>
          <w:color w:val="auto"/>
        </w:rPr>
        <w:t>9.制剂工艺</w:t>
      </w:r>
    </w:p>
    <w:p>
      <w:pPr>
        <w:rPr>
          <w:color w:val="auto"/>
        </w:rPr>
      </w:pPr>
      <w:r>
        <w:rPr>
          <w:rFonts w:hint="eastAsia"/>
          <w:color w:val="auto"/>
        </w:rPr>
        <w:t>明确制剂处方，详述成型工艺的方法及参数，包括原辅料的加入方法、条件和投料顺序，以及成型方法及条件。</w:t>
      </w:r>
    </w:p>
    <w:p>
      <w:pPr>
        <w:rPr>
          <w:color w:val="auto"/>
        </w:rPr>
      </w:pPr>
      <w:r>
        <w:rPr>
          <w:rFonts w:hint="eastAsia"/>
          <w:color w:val="auto"/>
        </w:rPr>
        <w:t>如颗粒剂应明确制粒的方法和条件、辅料的种类及加入方法、干燥方法及条件、颗粒粒度等。</w:t>
      </w:r>
    </w:p>
    <w:p>
      <w:pPr>
        <w:rPr>
          <w:color w:val="auto"/>
        </w:rPr>
      </w:pPr>
      <w:r>
        <w:rPr>
          <w:rFonts w:hint="eastAsia"/>
          <w:color w:val="auto"/>
        </w:rPr>
        <w:t>四、主要设备</w:t>
      </w:r>
    </w:p>
    <w:p>
      <w:pPr>
        <w:rPr>
          <w:color w:val="auto"/>
        </w:rPr>
      </w:pPr>
      <w:r>
        <w:rPr>
          <w:rFonts w:hint="eastAsia"/>
          <w:color w:val="auto"/>
        </w:rPr>
        <w:t>应提供生产工艺中各单元操作（如粉碎、提取、浓缩、纯化、配液、过滤、灌封、灭菌、干燥、制粒、压片等）中使用到的主要设备名称、设备型号、生产厂、工作原理、关键技术参数、产量范围等，应列表说明。</w:t>
      </w:r>
    </w:p>
    <w:p>
      <w:pPr>
        <w:rPr>
          <w:color w:val="auto"/>
        </w:rPr>
      </w:pPr>
      <w:r>
        <w:rPr>
          <w:rFonts w:hint="eastAsia"/>
          <w:color w:val="auto"/>
        </w:rPr>
        <w:t>五、其他生产信息</w:t>
      </w:r>
    </w:p>
    <w:p>
      <w:pPr>
        <w:rPr>
          <w:color w:val="auto"/>
        </w:rPr>
      </w:pPr>
      <w:r>
        <w:rPr>
          <w:rFonts w:hint="eastAsia"/>
          <w:color w:val="auto"/>
        </w:rPr>
        <w:t>对于生产工艺中的特殊设备、操作方法或相关过程的控制要求，应明确说明。如需充氮的，应说明制氮方法或氮气质控要求、氮气充入方式等。应明确生产规模，工艺参数应不超出规定的范围。如有其他需要说明的内容可另外增加附页。</w:t>
      </w:r>
    </w:p>
    <w:p>
      <w:pPr>
        <w:rPr>
          <w:color w:val="auto"/>
        </w:rPr>
      </w:pPr>
      <w:r>
        <w:rPr>
          <w:rFonts w:hint="eastAsia"/>
          <w:color w:val="auto"/>
        </w:rPr>
        <w:t>六、附件</w:t>
      </w:r>
    </w:p>
    <w:p>
      <w:pPr>
        <w:rPr>
          <w:color w:val="auto"/>
        </w:rPr>
      </w:pPr>
      <w:r>
        <w:rPr>
          <w:rFonts w:hint="eastAsia"/>
          <w:color w:val="auto"/>
        </w:rPr>
        <w:t>在“生产工艺”后可附上与药品质量有关的资料作为附件，如原料的内控标准、中间体质量标准、辅料及制备过程中所用材料的处理方法及质量标准等。</w:t>
      </w:r>
    </w:p>
    <w:p>
      <w:pPr>
        <w:rPr>
          <w:color w:val="auto"/>
        </w:rPr>
        <w:sectPr>
          <w:pgSz w:w="11906" w:h="16838"/>
          <w:pgMar w:top="1440" w:right="1800" w:bottom="1440" w:left="1800" w:header="851" w:footer="992" w:gutter="0"/>
          <w:cols w:space="425" w:num="1"/>
          <w:docGrid w:type="lines" w:linePitch="312" w:charSpace="0"/>
        </w:sectPr>
      </w:pPr>
    </w:p>
    <w:p>
      <w:pPr>
        <w:pStyle w:val="2"/>
        <w:rPr>
          <w:color w:val="auto"/>
        </w:rPr>
      </w:pPr>
      <w:bookmarkStart w:id="15" w:name="_Toc133164599"/>
      <w:bookmarkStart w:id="16" w:name="_Toc1932"/>
      <w:bookmarkStart w:id="17" w:name="_Toc24558"/>
      <w:r>
        <w:rPr>
          <w:rFonts w:hint="eastAsia"/>
          <w:color w:val="auto"/>
        </w:rPr>
        <w:t>质量标准</w:t>
      </w:r>
      <w:bookmarkEnd w:id="15"/>
      <w:r>
        <w:rPr>
          <w:color w:val="auto"/>
        </w:rPr>
        <w:t>研究技术指导原则</w:t>
      </w:r>
      <w:bookmarkEnd w:id="16"/>
      <w:bookmarkEnd w:id="17"/>
    </w:p>
    <w:p>
      <w:pPr>
        <w:rPr>
          <w:color w:val="auto"/>
        </w:rPr>
      </w:pPr>
      <w:r>
        <w:rPr>
          <w:rFonts w:hint="eastAsia"/>
          <w:color w:val="auto"/>
        </w:rPr>
        <w:t>根据《医疗机构制剂注册管理办法》（试行）（局令第</w:t>
      </w:r>
      <w:r>
        <w:rPr>
          <w:color w:val="auto"/>
        </w:rPr>
        <w:t>20号）的有关要求，参照国家药品监督管理局颁布的</w:t>
      </w:r>
      <w:r>
        <w:rPr>
          <w:rFonts w:hint="eastAsia"/>
          <w:color w:val="auto"/>
        </w:rPr>
        <w:t>《中药新药质量标准研究技术指导原则（试行）》</w:t>
      </w:r>
      <w:r>
        <w:rPr>
          <w:color w:val="auto"/>
        </w:rPr>
        <w:t>、现行版</w:t>
      </w:r>
      <w:r>
        <w:rPr>
          <w:rFonts w:hint="eastAsia"/>
          <w:color w:val="auto"/>
        </w:rPr>
        <w:t>《</w:t>
      </w:r>
      <w:r>
        <w:rPr>
          <w:color w:val="auto"/>
        </w:rPr>
        <w:t>中国药典</w:t>
      </w:r>
      <w:r>
        <w:rPr>
          <w:rFonts w:hint="eastAsia"/>
          <w:color w:val="auto"/>
        </w:rPr>
        <w:t>》</w:t>
      </w:r>
      <w:r>
        <w:rPr>
          <w:color w:val="auto"/>
        </w:rPr>
        <w:t>一部</w:t>
      </w:r>
      <w:r>
        <w:rPr>
          <w:rFonts w:hint="eastAsia"/>
          <w:color w:val="auto"/>
        </w:rPr>
        <w:t>及</w:t>
      </w:r>
      <w:r>
        <w:rPr>
          <w:color w:val="auto"/>
        </w:rPr>
        <w:t>四部“药品质量标准分析方法验证指导原则”，基于“临床使用安全、质量基本可控、方法适用可行、资料完整规范”的原则，结合</w:t>
      </w:r>
      <w:r>
        <w:rPr>
          <w:rFonts w:hint="eastAsia"/>
          <w:color w:val="auto"/>
        </w:rPr>
        <w:t>我省</w:t>
      </w:r>
      <w:r>
        <w:rPr>
          <w:color w:val="auto"/>
        </w:rPr>
        <w:t>医疗机构中药（民族药）制剂的特点，特制定《质量标准研究技术指导原则》，为</w:t>
      </w:r>
      <w:r>
        <w:rPr>
          <w:rFonts w:hint="eastAsia"/>
          <w:color w:val="auto"/>
        </w:rPr>
        <w:t>我省</w:t>
      </w:r>
      <w:r>
        <w:rPr>
          <w:color w:val="auto"/>
        </w:rPr>
        <w:t>医疗机构中药（民族药）制剂质量评价提供明确统一的研究技术</w:t>
      </w:r>
      <w:r>
        <w:rPr>
          <w:rFonts w:hint="eastAsia"/>
          <w:color w:val="auto"/>
        </w:rPr>
        <w:t>要求。</w:t>
      </w:r>
    </w:p>
    <w:p>
      <w:pPr>
        <w:rPr>
          <w:color w:val="auto"/>
        </w:rPr>
      </w:pPr>
      <w:r>
        <w:rPr>
          <w:rFonts w:hint="eastAsia"/>
          <w:color w:val="auto"/>
        </w:rPr>
        <w:t>质量标准研究技术指导原则包括质量标准研究制定的原则、标准各项目的具体要求。</w:t>
      </w:r>
    </w:p>
    <w:p>
      <w:pPr>
        <w:rPr>
          <w:color w:val="auto"/>
        </w:rPr>
      </w:pPr>
      <w:r>
        <w:rPr>
          <w:rFonts w:hint="eastAsia"/>
          <w:color w:val="auto"/>
        </w:rPr>
        <w:t>一、质量标准研究制定的原则</w:t>
      </w:r>
    </w:p>
    <w:p>
      <w:pPr>
        <w:rPr>
          <w:color w:val="auto"/>
        </w:rPr>
      </w:pPr>
      <w:r>
        <w:rPr>
          <w:rFonts w:hint="eastAsia"/>
          <w:color w:val="auto"/>
        </w:rPr>
        <w:t>（一）坚持安全有效、质量可控的原则，建立严谨的质量标准。检测项目应符合“简便、快捷、灵敏、专属性强”的原则。</w:t>
      </w:r>
    </w:p>
    <w:p>
      <w:pPr>
        <w:rPr>
          <w:color w:val="auto"/>
        </w:rPr>
      </w:pPr>
      <w:r>
        <w:rPr>
          <w:rFonts w:hint="eastAsia"/>
          <w:color w:val="auto"/>
        </w:rPr>
        <w:t>（二）检测所需的标准物质对照品或对照药材（或对照提取物）应为中国食品药品检定研究院（以下简称“中检院”）或云南省药品监督管理局指定检验检测机构标定发放的标准物质。所使用对照物质的来源、批号等信息必须在申报资料中标明。</w:t>
      </w:r>
    </w:p>
    <w:p>
      <w:pPr>
        <w:rPr>
          <w:color w:val="auto"/>
        </w:rPr>
      </w:pPr>
      <w:r>
        <w:rPr>
          <w:rFonts w:hint="eastAsia"/>
          <w:color w:val="auto"/>
        </w:rPr>
        <w:t>（三）标准项目中所有涉及检验的方法与技术均按现行版《中国药典》四部的要求执行，如采用现行版</w:t>
      </w:r>
      <w:r>
        <w:rPr>
          <w:color w:val="auto"/>
        </w:rPr>
        <w:t>《中国药典》</w:t>
      </w:r>
      <w:r>
        <w:rPr>
          <w:rFonts w:hint="eastAsia"/>
          <w:color w:val="auto"/>
        </w:rPr>
        <w:t>四部以外的特殊方法或技术应在标准正文中予以具体描述。</w:t>
      </w:r>
    </w:p>
    <w:p>
      <w:pPr>
        <w:rPr>
          <w:color w:val="auto"/>
        </w:rPr>
      </w:pPr>
      <w:r>
        <w:rPr>
          <w:rFonts w:hint="eastAsia"/>
          <w:color w:val="auto"/>
        </w:rPr>
        <w:t>（四）检测方法中所用试剂、溶剂应易于得到，尽可能避免使用一、二类溶剂等毒性大的溶剂与试剂，（如采用二甲苯替代苯、二氯甲烷替代三氯甲烷等）。操作中需特别处理或注意的地方应注明，对可能出现的危险应予提示。</w:t>
      </w:r>
    </w:p>
    <w:p>
      <w:pPr>
        <w:rPr>
          <w:color w:val="auto"/>
        </w:rPr>
      </w:pPr>
      <w:r>
        <w:rPr>
          <w:rFonts w:hint="eastAsia"/>
          <w:color w:val="auto"/>
        </w:rPr>
        <w:t>（五）标准中各项目限度的规定，应结合实际，保证制剂在配制、贮藏和使用过程中所必须达到的基本质量要求。</w:t>
      </w:r>
    </w:p>
    <w:p>
      <w:pPr>
        <w:rPr>
          <w:color w:val="auto"/>
        </w:rPr>
      </w:pPr>
      <w:r>
        <w:rPr>
          <w:rFonts w:hint="eastAsia"/>
          <w:color w:val="auto"/>
        </w:rPr>
        <w:t>二、各项目的具体要求</w:t>
      </w:r>
    </w:p>
    <w:p>
      <w:pPr>
        <w:rPr>
          <w:color w:val="auto"/>
        </w:rPr>
      </w:pPr>
      <w:r>
        <w:rPr>
          <w:rFonts w:hint="eastAsia"/>
          <w:color w:val="auto"/>
        </w:rPr>
        <w:t>（一）处方</w:t>
      </w:r>
    </w:p>
    <w:p>
      <w:pPr>
        <w:rPr>
          <w:color w:val="auto"/>
        </w:rPr>
      </w:pPr>
      <w:r>
        <w:rPr>
          <w:color w:val="auto"/>
        </w:rPr>
        <w:t>1.处方中的全部药味及辅料一般应为法定药品标准收载品种，处方中如含无法定标准的药味时，应研究建立相应的标准。</w:t>
      </w:r>
    </w:p>
    <w:p>
      <w:pPr>
        <w:rPr>
          <w:color w:val="auto"/>
        </w:rPr>
      </w:pPr>
      <w:r>
        <w:rPr>
          <w:color w:val="auto"/>
        </w:rPr>
        <w:t>2.复方制剂应列出全部药味的名称及用量，名称应与法定标准名称一致，炮制品需注明。药味的排列顺序，中药应根据“君、臣、佐、使”组方原则排列；民族药按民族医药理论组方原则排列。</w:t>
      </w:r>
    </w:p>
    <w:p>
      <w:pPr>
        <w:rPr>
          <w:color w:val="auto"/>
        </w:rPr>
      </w:pPr>
      <w:r>
        <w:rPr>
          <w:color w:val="auto"/>
        </w:rPr>
        <w:t>3.处方中的药味必须是经炮制或净制的“饮片”、或“净粉”。</w:t>
      </w:r>
    </w:p>
    <w:p>
      <w:pPr>
        <w:rPr>
          <w:color w:val="auto"/>
        </w:rPr>
      </w:pPr>
      <w:r>
        <w:rPr>
          <w:color w:val="auto"/>
        </w:rPr>
        <w:t>4.所用药材应明确说明其执行标准、品种来源、主要产地、采收季节等。对于多品种来源的药材如仅用一个或部分来源的应在质量标准中予以明确。来自濒危物种的药材，应符合国家的相关规定，采用合法来源的药材入药。</w:t>
      </w:r>
    </w:p>
    <w:p>
      <w:pPr>
        <w:rPr>
          <w:color w:val="auto"/>
        </w:rPr>
      </w:pPr>
      <w:r>
        <w:rPr>
          <w:color w:val="auto"/>
        </w:rPr>
        <w:t>5.法定药材标准标注“大毒（或剧毒）”、“</w:t>
      </w:r>
      <w:r>
        <w:rPr>
          <w:rFonts w:hint="eastAsia"/>
          <w:color w:val="auto"/>
        </w:rPr>
        <w:t>现代毒理学证明有明确毒性</w:t>
      </w:r>
      <w:r>
        <w:rPr>
          <w:color w:val="auto"/>
        </w:rPr>
        <w:t>”的药材，原则上不能超过法定标准规定的日用量。</w:t>
      </w:r>
    </w:p>
    <w:p>
      <w:pPr>
        <w:rPr>
          <w:color w:val="auto"/>
        </w:rPr>
      </w:pPr>
      <w:r>
        <w:rPr>
          <w:color w:val="auto"/>
        </w:rPr>
        <w:t>6.处方中各药味用量应以制成1000个制剂单位（如</w:t>
      </w:r>
      <w:r>
        <w:rPr>
          <w:rFonts w:hint="eastAsia"/>
          <w:color w:val="auto"/>
        </w:rPr>
        <w:t>：</w:t>
      </w:r>
      <w:r>
        <w:rPr>
          <w:color w:val="auto"/>
        </w:rPr>
        <w:t>片</w:t>
      </w:r>
      <w:r>
        <w:rPr>
          <w:rFonts w:hint="eastAsia"/>
          <w:color w:val="auto"/>
        </w:rPr>
        <w:t>、</w:t>
      </w:r>
      <w:r>
        <w:rPr>
          <w:color w:val="auto"/>
        </w:rPr>
        <w:t>粒</w:t>
      </w:r>
      <w:r>
        <w:rPr>
          <w:rFonts w:hint="eastAsia"/>
          <w:color w:val="auto"/>
        </w:rPr>
        <w:t>、</w:t>
      </w:r>
      <w:r>
        <w:rPr>
          <w:color w:val="auto"/>
        </w:rPr>
        <w:t xml:space="preserve"> g</w:t>
      </w:r>
      <w:r>
        <w:rPr>
          <w:rFonts w:hint="eastAsia"/>
          <w:color w:val="auto"/>
        </w:rPr>
        <w:t>、</w:t>
      </w:r>
      <w:r>
        <w:rPr>
          <w:color w:val="auto"/>
        </w:rPr>
        <w:t xml:space="preserve"> mL</w:t>
      </w:r>
      <w:r>
        <w:rPr>
          <w:rFonts w:hint="eastAsia"/>
          <w:color w:val="auto"/>
        </w:rPr>
        <w:t>等</w:t>
      </w:r>
      <w:r>
        <w:rPr>
          <w:color w:val="auto"/>
        </w:rPr>
        <w:t>）的</w:t>
      </w:r>
      <w:r>
        <w:rPr>
          <w:rFonts w:hint="eastAsia"/>
          <w:color w:val="auto"/>
        </w:rPr>
        <w:t>制成</w:t>
      </w:r>
      <w:r>
        <w:rPr>
          <w:color w:val="auto"/>
        </w:rPr>
        <w:t>量进行标注</w:t>
      </w:r>
      <w:r>
        <w:rPr>
          <w:rFonts w:hint="eastAsia"/>
          <w:color w:val="auto"/>
        </w:rPr>
        <w:t>，各药味量的数值一般采用整数位，若非整数，一般保留不多于两位的小数</w:t>
      </w:r>
      <w:r>
        <w:rPr>
          <w:color w:val="auto"/>
        </w:rPr>
        <w:t>。</w:t>
      </w:r>
    </w:p>
    <w:p>
      <w:pPr>
        <w:rPr>
          <w:color w:val="auto"/>
        </w:rPr>
      </w:pPr>
      <w:r>
        <w:rPr>
          <w:rFonts w:hint="eastAsia"/>
          <w:color w:val="auto"/>
        </w:rPr>
        <w:t>（二）制法</w:t>
      </w:r>
    </w:p>
    <w:p>
      <w:pPr>
        <w:rPr>
          <w:color w:val="auto"/>
        </w:rPr>
      </w:pPr>
      <w:r>
        <w:rPr>
          <w:rFonts w:hint="eastAsia"/>
          <w:color w:val="auto"/>
        </w:rPr>
        <w:t>中药（民族药）制剂的制法与质量关系密切，应完整描述制剂制法，内容应与该品种拟定的生产工艺中基本一致。</w:t>
      </w:r>
    </w:p>
    <w:p>
      <w:pPr>
        <w:rPr>
          <w:color w:val="auto"/>
        </w:rPr>
      </w:pPr>
      <w:r>
        <w:rPr>
          <w:rFonts w:hint="eastAsia"/>
          <w:color w:val="auto"/>
        </w:rPr>
        <w:t>（三）性状</w:t>
      </w:r>
    </w:p>
    <w:p>
      <w:pPr>
        <w:rPr>
          <w:color w:val="auto"/>
        </w:rPr>
      </w:pPr>
      <w:r>
        <w:rPr>
          <w:color w:val="auto"/>
        </w:rPr>
        <w:t>标准正文中，应对制剂除去包装的直观情况，按外观、颜色、臭、味依次描述。具体内容应符合《制剂质量标准编写细则》要求。</w:t>
      </w:r>
    </w:p>
    <w:p>
      <w:pPr>
        <w:rPr>
          <w:color w:val="auto"/>
        </w:rPr>
      </w:pPr>
      <w:r>
        <w:rPr>
          <w:rFonts w:hint="eastAsia"/>
          <w:color w:val="auto"/>
        </w:rPr>
        <w:t>（四）鉴别</w:t>
      </w:r>
    </w:p>
    <w:p>
      <w:pPr>
        <w:rPr>
          <w:color w:val="auto"/>
        </w:rPr>
      </w:pPr>
      <w:r>
        <w:rPr>
          <w:color w:val="auto"/>
        </w:rPr>
        <w:t>1.鉴别应满足专属、灵敏、快捷、简便的基本要求。鉴别项下包括显微鉴别、理化鉴别，其中理化鉴别包括物理、化学、光谱、色谱等鉴别方法。</w:t>
      </w:r>
    </w:p>
    <w:p>
      <w:pPr>
        <w:rPr>
          <w:color w:val="auto"/>
        </w:rPr>
      </w:pPr>
      <w:r>
        <w:rPr>
          <w:color w:val="auto"/>
        </w:rPr>
        <w:t>2.中药应首先对君药、臣药、贵重药、毒剧药进行鉴别研究。选择鉴别药味也应结合药物本身的基础研究工作情况，成分不清楚、通过实验摸索鉴别特征不明显、专属性差或处方中用量较小而不能检出者应根据研究结果予以说明。鼓励民族药按中药鉴别研究方式进行鉴别研究。但考虑到民族药的特殊性和复杂性，在开展鉴别研究工作时应遵循“具体问题具体分析”的原则进行。</w:t>
      </w:r>
    </w:p>
    <w:p>
      <w:pPr>
        <w:rPr>
          <w:color w:val="auto"/>
        </w:rPr>
      </w:pPr>
      <w:r>
        <w:rPr>
          <w:color w:val="auto"/>
        </w:rPr>
        <w:t>3.大类化合物的理化鉴别（颜色反应），由于其专属性差，一般不提倡，若要采用，应在起草说明中对专属性进行有关说明。</w:t>
      </w:r>
    </w:p>
    <w:p>
      <w:pPr>
        <w:rPr>
          <w:color w:val="auto"/>
        </w:rPr>
      </w:pPr>
      <w:r>
        <w:rPr>
          <w:color w:val="auto"/>
        </w:rPr>
        <w:t>4.含药材粉末入药的品种应设立显微鉴别项。但淀粉粒、导管、薄壁细胞等不具鉴别意义的组织不应作为鉴别特征。制剂中不同药味显微特征在标准正文中的描述应按药典的格式和术语，以处方的排列顺序逐个描述，明确显微特征所对应的药材归属。起草说明中应对每味药显微特征的“特征性”进行说明，并绘制显微特征图或提供照片。</w:t>
      </w:r>
    </w:p>
    <w:p>
      <w:pPr>
        <w:rPr>
          <w:color w:val="auto"/>
        </w:rPr>
      </w:pPr>
      <w:r>
        <w:rPr>
          <w:color w:val="auto"/>
        </w:rPr>
        <w:t>5.薄层鉴别是色谱鉴别中最常用的方法之一，研究中必须注意鉴别的专属性。样品的前处理要考虑多种药味所含成分的相互干扰和影响，研究必须设置阴性样品。研究资料中，应对样品的前处理、薄层板及展开剂的选择进行详细说明，还应参照现行版《中国药典》四部“药品质量标准分析方法验证指导原则”进行专属性和耐用性等考察。提供必要的薄层鉴别色谱彩色照片，提供使用对照物质的来源、批号等信息。</w:t>
      </w:r>
    </w:p>
    <w:p>
      <w:pPr>
        <w:rPr>
          <w:color w:val="auto"/>
        </w:rPr>
      </w:pPr>
      <w:r>
        <w:rPr>
          <w:color w:val="auto"/>
        </w:rPr>
        <w:t>6.气相色谱法适用于制剂中含有挥发性成分的药材的鉴别，实验设计时，要考虑生产工艺中提取工艺对挥发性成分的影响。</w:t>
      </w:r>
    </w:p>
    <w:p>
      <w:pPr>
        <w:rPr>
          <w:color w:val="auto"/>
        </w:rPr>
      </w:pPr>
      <w:r>
        <w:rPr>
          <w:color w:val="auto"/>
        </w:rPr>
        <w:t>7.如果含量测定采用高效液相色谱法，且含量测定与鉴别采用同一对照品时，鼓励建立一测多评的检测方法。同时保留薄层鉴别。</w:t>
      </w:r>
    </w:p>
    <w:p>
      <w:pPr>
        <w:rPr>
          <w:color w:val="auto"/>
        </w:rPr>
      </w:pPr>
      <w:r>
        <w:rPr>
          <w:rFonts w:hint="eastAsia"/>
          <w:color w:val="auto"/>
        </w:rPr>
        <w:t>（五）检查</w:t>
      </w:r>
    </w:p>
    <w:p>
      <w:pPr>
        <w:rPr>
          <w:color w:val="auto"/>
        </w:rPr>
      </w:pPr>
      <w:r>
        <w:rPr>
          <w:color w:val="auto"/>
        </w:rPr>
        <w:t>1.制剂在加工、生产和贮藏过程中可能含有需要控制的物质或其限度指标，包括安全性、有效性、均一性等方面指标。</w:t>
      </w:r>
    </w:p>
    <w:p>
      <w:pPr>
        <w:rPr>
          <w:color w:val="auto"/>
        </w:rPr>
      </w:pPr>
      <w:r>
        <w:rPr>
          <w:color w:val="auto"/>
        </w:rPr>
        <w:t>2.处方中含有现行版《中国药典》一部列为大毒的药材、国务院《医疗用毒性药品管理办法》（1988年）规定的28种毒性药材、卫生部药品标准（中药材分册、藏药分册、维药分册、蒙药分册）注明大毒或剧毒的药材、全国各省区（市）药材标准注明大毒或剧毒的药材，应研究建立毒性成分的限量检查项。一般采用薄层色谱或高效液相色谱的方法对毒性成分的限量进行控制。质量研究资料中，应对样品的前处理、色谱条件的筛选、对照品浓度的设置、限度确定的合理性等进行说明。还应参照现行版《中国药典》四部“药品质量标准分析方法验证指导原则”对方法的专属性、耐</w:t>
      </w:r>
      <w:r>
        <w:rPr>
          <w:rFonts w:hint="eastAsia"/>
          <w:color w:val="auto"/>
        </w:rPr>
        <w:t>用性进行考察。同时提供所使用对照物质的来源、批号等信息。提供薄层鉴别色谱彩色照片或色谱图。</w:t>
      </w:r>
    </w:p>
    <w:p>
      <w:pPr>
        <w:rPr>
          <w:color w:val="auto"/>
        </w:rPr>
      </w:pPr>
      <w:r>
        <w:rPr>
          <w:color w:val="auto"/>
        </w:rPr>
        <w:t>3.含矿物药的制剂，均应对重金属和砷盐的检查方法进行研究，视情况纳入标准正文。含动物类药材的制剂，应对沙门杆菌进行检查，并纳入标准正文。</w:t>
      </w:r>
    </w:p>
    <w:p>
      <w:pPr>
        <w:rPr>
          <w:color w:val="auto"/>
        </w:rPr>
      </w:pPr>
      <w:r>
        <w:rPr>
          <w:color w:val="auto"/>
        </w:rPr>
        <w:t>4.工艺中使用了大孔吸附树脂或第一、二类有机溶剂的，应建立相应树脂残留物或有机溶剂残留量检查项，方法和限度参照现行版《中国药典》。</w:t>
      </w:r>
    </w:p>
    <w:p>
      <w:pPr>
        <w:rPr>
          <w:color w:val="auto"/>
        </w:rPr>
      </w:pPr>
      <w:r>
        <w:rPr>
          <w:color w:val="auto"/>
        </w:rPr>
        <w:t>5.内服酒剂、酊剂，是否含有甲醇，可用气相色谱法进行检测，提供检测的积累数据，必要时列入正文检测项目中。</w:t>
      </w:r>
    </w:p>
    <w:p>
      <w:pPr>
        <w:rPr>
          <w:color w:val="auto"/>
        </w:rPr>
      </w:pPr>
      <w:r>
        <w:rPr>
          <w:color w:val="auto"/>
        </w:rPr>
        <w:t>6.不同剂型应按现行版《中国药典》要求进行微生物限度检查。具有抗菌或抑菌作用的制剂同时还应提供分析方法验证资料。</w:t>
      </w:r>
    </w:p>
    <w:p>
      <w:pPr>
        <w:rPr>
          <w:color w:val="auto"/>
        </w:rPr>
      </w:pPr>
      <w:r>
        <w:rPr>
          <w:color w:val="auto"/>
        </w:rPr>
        <w:t>7.应符合现行版</w:t>
      </w:r>
      <w:r>
        <w:rPr>
          <w:rFonts w:hint="eastAsia"/>
          <w:color w:val="auto"/>
        </w:rPr>
        <w:t>《中国药典》</w:t>
      </w:r>
      <w:r>
        <w:rPr>
          <w:color w:val="auto"/>
        </w:rPr>
        <w:t>四部附录各有关剂型通则项目的要求。如有通则规定以外的项目或与通则中某项检查要求不同时，需充分阐明理由。通则以外的剂型应另行制定要求。</w:t>
      </w:r>
    </w:p>
    <w:p>
      <w:pPr>
        <w:rPr>
          <w:color w:val="auto"/>
        </w:rPr>
      </w:pPr>
      <w:r>
        <w:rPr>
          <w:rFonts w:hint="eastAsia"/>
          <w:color w:val="auto"/>
        </w:rPr>
        <w:t>（六）浸出物</w:t>
      </w:r>
    </w:p>
    <w:p>
      <w:pPr>
        <w:rPr>
          <w:color w:val="auto"/>
        </w:rPr>
      </w:pPr>
      <w:r>
        <w:rPr>
          <w:rFonts w:hint="eastAsia"/>
          <w:color w:val="auto"/>
        </w:rPr>
        <w:t>通过研究，有些品种或剂型确实无法建立含量测定方法，或含量测定结果低于万分之一时，可采用浸出物测定方法作为质量控制方法。但必须进行必要的研究，如溶剂的选择、溶剂的用量、提取方法的考察、重复性及耐用性研究等。浸出物测定，一般采用最小制剂单位的含量作限值规定，如“每片（或每粒、每袋、每丸等）含浸出物不少于××</w:t>
      </w:r>
      <w:r>
        <w:rPr>
          <w:color w:val="auto"/>
        </w:rPr>
        <w:t>mg”。</w:t>
      </w:r>
    </w:p>
    <w:p>
      <w:pPr>
        <w:rPr>
          <w:color w:val="auto"/>
        </w:rPr>
      </w:pPr>
      <w:r>
        <w:rPr>
          <w:rFonts w:hint="eastAsia"/>
          <w:color w:val="auto"/>
        </w:rPr>
        <w:t>根据测定数据确定质量控制限度：原则上按测定平均值的</w:t>
      </w:r>
      <w:r>
        <w:rPr>
          <w:color w:val="auto"/>
        </w:rPr>
        <w:t>70%确定最低含量限度。</w:t>
      </w:r>
    </w:p>
    <w:p>
      <w:pPr>
        <w:rPr>
          <w:color w:val="auto"/>
        </w:rPr>
      </w:pPr>
      <w:r>
        <w:rPr>
          <w:rFonts w:hint="eastAsia"/>
          <w:color w:val="auto"/>
        </w:rPr>
        <w:t>（七）含量测定</w:t>
      </w:r>
    </w:p>
    <w:p>
      <w:pPr>
        <w:rPr>
          <w:color w:val="auto"/>
        </w:rPr>
      </w:pPr>
      <w:r>
        <w:rPr>
          <w:color w:val="auto"/>
        </w:rPr>
        <w:t>1.含量测定应满足准确、专属、灵敏、重现性好的基本要求。含量测定方法包括色谱法、紫外-可见分光光度法、容量法、重量法等。含量测定目标成分一般为单一化学成分，也可以为大类化学成分（如总黄酮、总皂苷、总生物碱等）。</w:t>
      </w:r>
    </w:p>
    <w:p>
      <w:pPr>
        <w:rPr>
          <w:color w:val="auto"/>
        </w:rPr>
      </w:pPr>
      <w:r>
        <w:rPr>
          <w:color w:val="auto"/>
        </w:rPr>
        <w:t>2.中药制剂应首选处方中的君药及所含贵重药、毒性药建立含量测定项。毒性成分原则上应制定含量限度范围，对现行国家标准和地方标准中已有含量测定方法的毒性药味（包括有毒矿物药和动物药），需研究毒性成分的含量测定方法，视情况纳入质量标准，并规定上、下限。量微者规定限度，列入检查项中。</w:t>
      </w:r>
    </w:p>
    <w:p>
      <w:pPr>
        <w:rPr>
          <w:color w:val="auto"/>
        </w:rPr>
      </w:pPr>
      <w:r>
        <w:rPr>
          <w:rFonts w:hint="eastAsia"/>
          <w:color w:val="auto"/>
        </w:rPr>
        <w:t>鼓励民族药按中药含量研究方式进行研究。但考虑到民族药的复杂性和特殊性，在开展含量研究工作时应遵循“具体问题具体分析”的原则进行。</w:t>
      </w:r>
    </w:p>
    <w:p>
      <w:pPr>
        <w:rPr>
          <w:color w:val="auto"/>
        </w:rPr>
      </w:pPr>
      <w:r>
        <w:rPr>
          <w:color w:val="auto"/>
        </w:rPr>
        <w:t>3.对前述有关药味基础研究薄弱或测定中干扰成分多，可依次选定臣药等其它药味进行含量测定。</w:t>
      </w:r>
    </w:p>
    <w:p>
      <w:pPr>
        <w:rPr>
          <w:color w:val="auto"/>
        </w:rPr>
      </w:pPr>
      <w:r>
        <w:rPr>
          <w:color w:val="auto"/>
        </w:rPr>
        <w:t>4.含量测定方法可参考有关质量标准或有关文献，也可自行研究后建立。含量测定方法均应进行方法学考察，按照现行版</w:t>
      </w:r>
      <w:r>
        <w:rPr>
          <w:rFonts w:hint="eastAsia"/>
          <w:color w:val="auto"/>
        </w:rPr>
        <w:t>《中国药典》</w:t>
      </w:r>
      <w:r>
        <w:rPr>
          <w:color w:val="auto"/>
        </w:rPr>
        <w:t>四部“药品质量标准分析方法验证指导原则”，一般要求见表。</w:t>
      </w:r>
    </w:p>
    <w:p>
      <w:pPr>
        <w:rPr>
          <w:color w:val="auto"/>
        </w:rPr>
      </w:pPr>
      <w:r>
        <w:rPr>
          <w:rFonts w:hint="eastAsia"/>
          <w:color w:val="auto"/>
        </w:rPr>
        <w:t>方法学考察验证项目表：</w:t>
      </w:r>
    </w:p>
    <w:tbl>
      <w:tblPr>
        <w:tblStyle w:val="1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82"/>
        <w:gridCol w:w="1382"/>
        <w:gridCol w:w="1383"/>
        <w:gridCol w:w="1383"/>
        <w:gridCol w:w="1383"/>
        <w:gridCol w:w="13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82" w:type="dxa"/>
            <w:tcBorders>
              <w:top w:val="single" w:color="auto" w:sz="4" w:space="0"/>
              <w:bottom w:val="single" w:color="auto" w:sz="4" w:space="0"/>
            </w:tcBorders>
            <w:vAlign w:val="center"/>
          </w:tcPr>
          <w:p>
            <w:pPr>
              <w:ind w:firstLine="0" w:firstLineChars="0"/>
              <w:jc w:val="center"/>
              <w:rPr>
                <w:color w:val="auto"/>
                <w:sz w:val="24"/>
                <w:szCs w:val="24"/>
              </w:rPr>
            </w:pPr>
            <w:r>
              <w:rPr>
                <w:rFonts w:hint="eastAsia"/>
                <w:color w:val="auto"/>
                <w:sz w:val="24"/>
                <w:szCs w:val="24"/>
              </w:rPr>
              <w:t>验证项目</w:t>
            </w:r>
          </w:p>
        </w:tc>
        <w:tc>
          <w:tcPr>
            <w:tcW w:w="1382" w:type="dxa"/>
            <w:tcBorders>
              <w:top w:val="single" w:color="auto" w:sz="4" w:space="0"/>
              <w:bottom w:val="single" w:color="auto" w:sz="4" w:space="0"/>
            </w:tcBorders>
            <w:vAlign w:val="center"/>
          </w:tcPr>
          <w:p>
            <w:pPr>
              <w:ind w:firstLine="0" w:firstLineChars="0"/>
              <w:jc w:val="center"/>
              <w:rPr>
                <w:color w:val="auto"/>
                <w:sz w:val="24"/>
                <w:szCs w:val="24"/>
              </w:rPr>
            </w:pPr>
            <w:r>
              <w:rPr>
                <w:color w:val="auto"/>
                <w:sz w:val="24"/>
                <w:szCs w:val="24"/>
              </w:rPr>
              <w:t>专属性</w:t>
            </w:r>
          </w:p>
        </w:tc>
        <w:tc>
          <w:tcPr>
            <w:tcW w:w="1383" w:type="dxa"/>
            <w:tcBorders>
              <w:top w:val="single" w:color="auto" w:sz="4" w:space="0"/>
              <w:bottom w:val="single" w:color="auto" w:sz="4" w:space="0"/>
            </w:tcBorders>
            <w:vAlign w:val="center"/>
          </w:tcPr>
          <w:p>
            <w:pPr>
              <w:ind w:firstLine="0" w:firstLineChars="0"/>
              <w:jc w:val="center"/>
              <w:rPr>
                <w:color w:val="auto"/>
                <w:sz w:val="24"/>
                <w:szCs w:val="24"/>
              </w:rPr>
            </w:pPr>
            <w:r>
              <w:rPr>
                <w:color w:val="auto"/>
                <w:sz w:val="24"/>
                <w:szCs w:val="24"/>
              </w:rPr>
              <w:t>线性</w:t>
            </w:r>
          </w:p>
        </w:tc>
        <w:tc>
          <w:tcPr>
            <w:tcW w:w="1383" w:type="dxa"/>
            <w:tcBorders>
              <w:top w:val="single" w:color="auto" w:sz="4" w:space="0"/>
              <w:bottom w:val="single" w:color="auto" w:sz="4" w:space="0"/>
            </w:tcBorders>
            <w:vAlign w:val="center"/>
          </w:tcPr>
          <w:p>
            <w:pPr>
              <w:ind w:firstLine="0" w:firstLineChars="0"/>
              <w:jc w:val="center"/>
              <w:rPr>
                <w:color w:val="auto"/>
                <w:sz w:val="24"/>
                <w:szCs w:val="24"/>
              </w:rPr>
            </w:pPr>
            <w:r>
              <w:rPr>
                <w:color w:val="auto"/>
                <w:sz w:val="24"/>
                <w:szCs w:val="24"/>
              </w:rPr>
              <w:t>准确性</w:t>
            </w:r>
          </w:p>
        </w:tc>
        <w:tc>
          <w:tcPr>
            <w:tcW w:w="1383" w:type="dxa"/>
            <w:tcBorders>
              <w:top w:val="single" w:color="auto" w:sz="4" w:space="0"/>
              <w:bottom w:val="single" w:color="auto" w:sz="4" w:space="0"/>
            </w:tcBorders>
            <w:vAlign w:val="center"/>
          </w:tcPr>
          <w:p>
            <w:pPr>
              <w:ind w:firstLine="0" w:firstLineChars="0"/>
              <w:jc w:val="center"/>
              <w:rPr>
                <w:color w:val="auto"/>
                <w:sz w:val="24"/>
                <w:szCs w:val="24"/>
              </w:rPr>
            </w:pPr>
            <w:r>
              <w:rPr>
                <w:color w:val="auto"/>
                <w:sz w:val="24"/>
                <w:szCs w:val="24"/>
              </w:rPr>
              <w:t>重复性</w:t>
            </w:r>
          </w:p>
        </w:tc>
        <w:tc>
          <w:tcPr>
            <w:tcW w:w="1383" w:type="dxa"/>
            <w:tcBorders>
              <w:top w:val="single" w:color="auto" w:sz="4" w:space="0"/>
              <w:bottom w:val="single" w:color="auto" w:sz="4" w:space="0"/>
            </w:tcBorders>
            <w:vAlign w:val="center"/>
          </w:tcPr>
          <w:p>
            <w:pPr>
              <w:ind w:firstLine="0" w:firstLineChars="0"/>
              <w:jc w:val="center"/>
              <w:rPr>
                <w:color w:val="auto"/>
                <w:sz w:val="24"/>
                <w:szCs w:val="24"/>
              </w:rPr>
            </w:pPr>
            <w:r>
              <w:rPr>
                <w:color w:val="auto"/>
                <w:sz w:val="24"/>
                <w:szCs w:val="24"/>
              </w:rPr>
              <w:t>耐用性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82" w:type="dxa"/>
            <w:tcBorders>
              <w:top w:val="single" w:color="auto" w:sz="4" w:space="0"/>
            </w:tcBorders>
            <w:vAlign w:val="center"/>
          </w:tcPr>
          <w:p>
            <w:pPr>
              <w:ind w:firstLine="0" w:firstLineChars="0"/>
              <w:jc w:val="center"/>
              <w:rPr>
                <w:color w:val="auto"/>
                <w:sz w:val="24"/>
                <w:szCs w:val="24"/>
              </w:rPr>
            </w:pPr>
            <w:r>
              <w:rPr>
                <w:rFonts w:hint="eastAsia"/>
                <w:color w:val="auto"/>
                <w:sz w:val="24"/>
                <w:szCs w:val="24"/>
              </w:rPr>
              <w:t>色谱法</w:t>
            </w:r>
          </w:p>
        </w:tc>
        <w:tc>
          <w:tcPr>
            <w:tcW w:w="1382" w:type="dxa"/>
            <w:tcBorders>
              <w:top w:val="single" w:color="auto" w:sz="4" w:space="0"/>
            </w:tcBorders>
            <w:vAlign w:val="center"/>
          </w:tcPr>
          <w:p>
            <w:pPr>
              <w:ind w:firstLine="0" w:firstLineChars="0"/>
              <w:jc w:val="center"/>
              <w:rPr>
                <w:color w:val="auto"/>
                <w:sz w:val="24"/>
                <w:szCs w:val="24"/>
              </w:rPr>
            </w:pPr>
            <w:r>
              <w:rPr>
                <w:color w:val="auto"/>
                <w:sz w:val="24"/>
                <w:szCs w:val="24"/>
              </w:rPr>
              <w:t>+</w:t>
            </w:r>
          </w:p>
        </w:tc>
        <w:tc>
          <w:tcPr>
            <w:tcW w:w="1383" w:type="dxa"/>
            <w:tcBorders>
              <w:top w:val="single" w:color="auto" w:sz="4" w:space="0"/>
            </w:tcBorders>
            <w:vAlign w:val="center"/>
          </w:tcPr>
          <w:p>
            <w:pPr>
              <w:ind w:firstLine="0" w:firstLineChars="0"/>
              <w:jc w:val="center"/>
              <w:rPr>
                <w:color w:val="auto"/>
                <w:sz w:val="24"/>
                <w:szCs w:val="24"/>
              </w:rPr>
            </w:pPr>
            <w:r>
              <w:rPr>
                <w:color w:val="auto"/>
                <w:sz w:val="24"/>
                <w:szCs w:val="24"/>
              </w:rPr>
              <w:t>+</w:t>
            </w:r>
          </w:p>
        </w:tc>
        <w:tc>
          <w:tcPr>
            <w:tcW w:w="1383" w:type="dxa"/>
            <w:tcBorders>
              <w:top w:val="single" w:color="auto" w:sz="4" w:space="0"/>
            </w:tcBorders>
            <w:vAlign w:val="center"/>
          </w:tcPr>
          <w:p>
            <w:pPr>
              <w:ind w:firstLine="0" w:firstLineChars="0"/>
              <w:jc w:val="center"/>
              <w:rPr>
                <w:color w:val="auto"/>
                <w:sz w:val="24"/>
                <w:szCs w:val="24"/>
              </w:rPr>
            </w:pPr>
            <w:r>
              <w:rPr>
                <w:color w:val="auto"/>
                <w:sz w:val="24"/>
                <w:szCs w:val="24"/>
              </w:rPr>
              <w:t>+</w:t>
            </w:r>
          </w:p>
        </w:tc>
        <w:tc>
          <w:tcPr>
            <w:tcW w:w="1383" w:type="dxa"/>
            <w:tcBorders>
              <w:top w:val="single" w:color="auto" w:sz="4" w:space="0"/>
            </w:tcBorders>
            <w:vAlign w:val="center"/>
          </w:tcPr>
          <w:p>
            <w:pPr>
              <w:ind w:firstLine="0" w:firstLineChars="0"/>
              <w:jc w:val="center"/>
              <w:rPr>
                <w:color w:val="auto"/>
                <w:sz w:val="24"/>
                <w:szCs w:val="24"/>
              </w:rPr>
            </w:pPr>
            <w:r>
              <w:rPr>
                <w:color w:val="auto"/>
                <w:sz w:val="24"/>
                <w:szCs w:val="24"/>
              </w:rPr>
              <w:t>+</w:t>
            </w:r>
          </w:p>
        </w:tc>
        <w:tc>
          <w:tcPr>
            <w:tcW w:w="1383" w:type="dxa"/>
            <w:tcBorders>
              <w:top w:val="single" w:color="auto" w:sz="4" w:space="0"/>
            </w:tcBorders>
            <w:vAlign w:val="center"/>
          </w:tcPr>
          <w:p>
            <w:pPr>
              <w:ind w:firstLine="0" w:firstLineChars="0"/>
              <w:jc w:val="center"/>
              <w:rPr>
                <w:color w:val="auto"/>
                <w:sz w:val="24"/>
                <w:szCs w:val="24"/>
              </w:rPr>
            </w:pPr>
            <w:r>
              <w:rPr>
                <w:color w:val="auto"/>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82" w:type="dxa"/>
            <w:vAlign w:val="center"/>
          </w:tcPr>
          <w:p>
            <w:pPr>
              <w:ind w:firstLine="0" w:firstLineChars="0"/>
              <w:jc w:val="center"/>
              <w:rPr>
                <w:color w:val="auto"/>
                <w:sz w:val="24"/>
                <w:szCs w:val="24"/>
              </w:rPr>
            </w:pPr>
            <w:r>
              <w:rPr>
                <w:rFonts w:hint="eastAsia"/>
                <w:color w:val="auto"/>
                <w:sz w:val="24"/>
                <w:szCs w:val="24"/>
              </w:rPr>
              <w:t>光谱法</w:t>
            </w:r>
          </w:p>
        </w:tc>
        <w:tc>
          <w:tcPr>
            <w:tcW w:w="1382" w:type="dxa"/>
            <w:vAlign w:val="center"/>
          </w:tcPr>
          <w:p>
            <w:pPr>
              <w:ind w:firstLine="0" w:firstLineChars="0"/>
              <w:jc w:val="center"/>
              <w:rPr>
                <w:color w:val="auto"/>
                <w:sz w:val="24"/>
                <w:szCs w:val="24"/>
              </w:rPr>
            </w:pPr>
            <w:r>
              <w:rPr>
                <w:color w:val="auto"/>
                <w:sz w:val="24"/>
                <w:szCs w:val="24"/>
              </w:rPr>
              <w:t>+</w:t>
            </w:r>
          </w:p>
        </w:tc>
        <w:tc>
          <w:tcPr>
            <w:tcW w:w="1383" w:type="dxa"/>
            <w:vAlign w:val="center"/>
          </w:tcPr>
          <w:p>
            <w:pPr>
              <w:ind w:firstLine="0" w:firstLineChars="0"/>
              <w:jc w:val="center"/>
              <w:rPr>
                <w:color w:val="auto"/>
                <w:sz w:val="24"/>
                <w:szCs w:val="24"/>
              </w:rPr>
            </w:pPr>
            <w:r>
              <w:rPr>
                <w:color w:val="auto"/>
                <w:sz w:val="24"/>
                <w:szCs w:val="24"/>
              </w:rPr>
              <w:t>+</w:t>
            </w:r>
          </w:p>
        </w:tc>
        <w:tc>
          <w:tcPr>
            <w:tcW w:w="1383" w:type="dxa"/>
            <w:vAlign w:val="center"/>
          </w:tcPr>
          <w:p>
            <w:pPr>
              <w:ind w:firstLine="0" w:firstLineChars="0"/>
              <w:jc w:val="center"/>
              <w:rPr>
                <w:color w:val="auto"/>
                <w:sz w:val="24"/>
                <w:szCs w:val="24"/>
              </w:rPr>
            </w:pPr>
            <w:r>
              <w:rPr>
                <w:color w:val="auto"/>
                <w:sz w:val="24"/>
                <w:szCs w:val="24"/>
              </w:rPr>
              <w:t>+</w:t>
            </w:r>
          </w:p>
        </w:tc>
        <w:tc>
          <w:tcPr>
            <w:tcW w:w="1383" w:type="dxa"/>
            <w:vAlign w:val="center"/>
          </w:tcPr>
          <w:p>
            <w:pPr>
              <w:ind w:firstLine="0" w:firstLineChars="0"/>
              <w:jc w:val="center"/>
              <w:rPr>
                <w:color w:val="auto"/>
                <w:sz w:val="24"/>
                <w:szCs w:val="24"/>
              </w:rPr>
            </w:pPr>
            <w:r>
              <w:rPr>
                <w:color w:val="auto"/>
                <w:sz w:val="24"/>
                <w:szCs w:val="24"/>
              </w:rPr>
              <w:t>+</w:t>
            </w:r>
          </w:p>
        </w:tc>
        <w:tc>
          <w:tcPr>
            <w:tcW w:w="1383" w:type="dxa"/>
            <w:vAlign w:val="center"/>
          </w:tcPr>
          <w:p>
            <w:pPr>
              <w:ind w:firstLine="0" w:firstLineChars="0"/>
              <w:jc w:val="center"/>
              <w:rPr>
                <w:color w:val="auto"/>
                <w:sz w:val="24"/>
                <w:szCs w:val="24"/>
              </w:rPr>
            </w:pPr>
            <w:r>
              <w:rPr>
                <w:color w:val="auto"/>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82" w:type="dxa"/>
            <w:vAlign w:val="center"/>
          </w:tcPr>
          <w:p>
            <w:pPr>
              <w:ind w:firstLine="0" w:firstLineChars="0"/>
              <w:jc w:val="center"/>
              <w:rPr>
                <w:color w:val="auto"/>
                <w:sz w:val="24"/>
                <w:szCs w:val="24"/>
              </w:rPr>
            </w:pPr>
            <w:r>
              <w:rPr>
                <w:rFonts w:hint="eastAsia"/>
                <w:color w:val="auto"/>
                <w:sz w:val="24"/>
                <w:szCs w:val="24"/>
              </w:rPr>
              <w:t>容量法</w:t>
            </w:r>
          </w:p>
        </w:tc>
        <w:tc>
          <w:tcPr>
            <w:tcW w:w="1382" w:type="dxa"/>
            <w:vAlign w:val="center"/>
          </w:tcPr>
          <w:p>
            <w:pPr>
              <w:ind w:firstLine="0" w:firstLineChars="0"/>
              <w:jc w:val="center"/>
              <w:rPr>
                <w:color w:val="auto"/>
                <w:sz w:val="24"/>
                <w:szCs w:val="24"/>
              </w:rPr>
            </w:pPr>
            <w:r>
              <w:rPr>
                <w:color w:val="auto"/>
                <w:sz w:val="24"/>
                <w:szCs w:val="24"/>
              </w:rPr>
              <w:t>+</w:t>
            </w:r>
          </w:p>
        </w:tc>
        <w:tc>
          <w:tcPr>
            <w:tcW w:w="1383" w:type="dxa"/>
            <w:vAlign w:val="center"/>
          </w:tcPr>
          <w:p>
            <w:pPr>
              <w:ind w:firstLine="0" w:firstLineChars="0"/>
              <w:jc w:val="center"/>
              <w:rPr>
                <w:color w:val="auto"/>
                <w:sz w:val="24"/>
                <w:szCs w:val="24"/>
              </w:rPr>
            </w:pPr>
            <w:r>
              <w:rPr>
                <w:color w:val="auto"/>
                <w:sz w:val="24"/>
                <w:szCs w:val="24"/>
              </w:rPr>
              <w:t>/</w:t>
            </w:r>
          </w:p>
        </w:tc>
        <w:tc>
          <w:tcPr>
            <w:tcW w:w="1383" w:type="dxa"/>
            <w:vAlign w:val="center"/>
          </w:tcPr>
          <w:p>
            <w:pPr>
              <w:ind w:firstLine="0" w:firstLineChars="0"/>
              <w:jc w:val="center"/>
              <w:rPr>
                <w:color w:val="auto"/>
                <w:sz w:val="24"/>
                <w:szCs w:val="24"/>
              </w:rPr>
            </w:pPr>
            <w:r>
              <w:rPr>
                <w:color w:val="auto"/>
                <w:sz w:val="24"/>
                <w:szCs w:val="24"/>
              </w:rPr>
              <w:t>+</w:t>
            </w:r>
          </w:p>
        </w:tc>
        <w:tc>
          <w:tcPr>
            <w:tcW w:w="1383" w:type="dxa"/>
            <w:vAlign w:val="center"/>
          </w:tcPr>
          <w:p>
            <w:pPr>
              <w:ind w:firstLine="0" w:firstLineChars="0"/>
              <w:jc w:val="center"/>
              <w:rPr>
                <w:color w:val="auto"/>
                <w:sz w:val="24"/>
                <w:szCs w:val="24"/>
              </w:rPr>
            </w:pPr>
            <w:r>
              <w:rPr>
                <w:color w:val="auto"/>
                <w:sz w:val="24"/>
                <w:szCs w:val="24"/>
              </w:rPr>
              <w:t>+</w:t>
            </w:r>
          </w:p>
        </w:tc>
        <w:tc>
          <w:tcPr>
            <w:tcW w:w="1383" w:type="dxa"/>
            <w:vAlign w:val="center"/>
          </w:tcPr>
          <w:p>
            <w:pPr>
              <w:ind w:firstLine="0" w:firstLineChars="0"/>
              <w:jc w:val="center"/>
              <w:rPr>
                <w:color w:val="auto"/>
                <w:sz w:val="24"/>
                <w:szCs w:val="24"/>
              </w:rPr>
            </w:pPr>
            <w:r>
              <w:rPr>
                <w:color w:val="auto"/>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82" w:type="dxa"/>
            <w:tcBorders>
              <w:bottom w:val="single" w:color="auto" w:sz="4" w:space="0"/>
            </w:tcBorders>
            <w:vAlign w:val="center"/>
          </w:tcPr>
          <w:p>
            <w:pPr>
              <w:ind w:firstLine="0" w:firstLineChars="0"/>
              <w:jc w:val="center"/>
              <w:rPr>
                <w:color w:val="auto"/>
                <w:sz w:val="24"/>
                <w:szCs w:val="24"/>
              </w:rPr>
            </w:pPr>
            <w:r>
              <w:rPr>
                <w:rFonts w:hint="eastAsia"/>
                <w:color w:val="auto"/>
                <w:sz w:val="24"/>
                <w:szCs w:val="24"/>
              </w:rPr>
              <w:t>重量法</w:t>
            </w:r>
          </w:p>
        </w:tc>
        <w:tc>
          <w:tcPr>
            <w:tcW w:w="1382" w:type="dxa"/>
            <w:tcBorders>
              <w:bottom w:val="single" w:color="auto" w:sz="4" w:space="0"/>
            </w:tcBorders>
            <w:vAlign w:val="center"/>
          </w:tcPr>
          <w:p>
            <w:pPr>
              <w:ind w:firstLine="0" w:firstLineChars="0"/>
              <w:jc w:val="center"/>
              <w:rPr>
                <w:color w:val="auto"/>
                <w:sz w:val="24"/>
                <w:szCs w:val="24"/>
              </w:rPr>
            </w:pPr>
            <w:r>
              <w:rPr>
                <w:color w:val="auto"/>
                <w:sz w:val="24"/>
                <w:szCs w:val="24"/>
              </w:rPr>
              <w:t>+</w:t>
            </w:r>
          </w:p>
        </w:tc>
        <w:tc>
          <w:tcPr>
            <w:tcW w:w="1383" w:type="dxa"/>
            <w:tcBorders>
              <w:bottom w:val="single" w:color="auto" w:sz="4" w:space="0"/>
            </w:tcBorders>
            <w:vAlign w:val="center"/>
          </w:tcPr>
          <w:p>
            <w:pPr>
              <w:ind w:firstLine="0" w:firstLineChars="0"/>
              <w:jc w:val="center"/>
              <w:rPr>
                <w:color w:val="auto"/>
                <w:sz w:val="24"/>
                <w:szCs w:val="24"/>
              </w:rPr>
            </w:pPr>
            <w:r>
              <w:rPr>
                <w:color w:val="auto"/>
                <w:sz w:val="24"/>
                <w:szCs w:val="24"/>
              </w:rPr>
              <w:t>/</w:t>
            </w:r>
          </w:p>
        </w:tc>
        <w:tc>
          <w:tcPr>
            <w:tcW w:w="1383" w:type="dxa"/>
            <w:tcBorders>
              <w:bottom w:val="single" w:color="auto" w:sz="4" w:space="0"/>
            </w:tcBorders>
            <w:vAlign w:val="center"/>
          </w:tcPr>
          <w:p>
            <w:pPr>
              <w:ind w:firstLine="0" w:firstLineChars="0"/>
              <w:jc w:val="center"/>
              <w:rPr>
                <w:color w:val="auto"/>
                <w:sz w:val="24"/>
                <w:szCs w:val="24"/>
              </w:rPr>
            </w:pPr>
            <w:r>
              <w:rPr>
                <w:color w:val="auto"/>
                <w:sz w:val="24"/>
                <w:szCs w:val="24"/>
              </w:rPr>
              <w:t>+</w:t>
            </w:r>
          </w:p>
        </w:tc>
        <w:tc>
          <w:tcPr>
            <w:tcW w:w="1383" w:type="dxa"/>
            <w:tcBorders>
              <w:bottom w:val="single" w:color="auto" w:sz="4" w:space="0"/>
            </w:tcBorders>
            <w:vAlign w:val="center"/>
          </w:tcPr>
          <w:p>
            <w:pPr>
              <w:ind w:firstLine="0" w:firstLineChars="0"/>
              <w:jc w:val="center"/>
              <w:rPr>
                <w:color w:val="auto"/>
                <w:sz w:val="24"/>
                <w:szCs w:val="24"/>
              </w:rPr>
            </w:pPr>
            <w:r>
              <w:rPr>
                <w:color w:val="auto"/>
                <w:sz w:val="24"/>
                <w:szCs w:val="24"/>
              </w:rPr>
              <w:t>+</w:t>
            </w:r>
          </w:p>
        </w:tc>
        <w:tc>
          <w:tcPr>
            <w:tcW w:w="1383" w:type="dxa"/>
            <w:tcBorders>
              <w:bottom w:val="single" w:color="auto" w:sz="4" w:space="0"/>
            </w:tcBorders>
            <w:vAlign w:val="center"/>
          </w:tcPr>
          <w:p>
            <w:pPr>
              <w:ind w:firstLine="0" w:firstLineChars="0"/>
              <w:jc w:val="center"/>
              <w:rPr>
                <w:color w:val="auto"/>
                <w:sz w:val="24"/>
                <w:szCs w:val="24"/>
              </w:rPr>
            </w:pPr>
            <w:r>
              <w:rPr>
                <w:color w:val="auto"/>
                <w:sz w:val="24"/>
                <w:szCs w:val="24"/>
              </w:rPr>
              <w:t>*</w:t>
            </w:r>
          </w:p>
        </w:tc>
      </w:tr>
    </w:tbl>
    <w:p>
      <w:pPr>
        <w:rPr>
          <w:color w:val="auto"/>
        </w:rPr>
      </w:pPr>
      <w:r>
        <w:rPr>
          <w:rFonts w:hint="eastAsia"/>
          <w:color w:val="auto"/>
        </w:rPr>
        <w:t>“</w:t>
      </w:r>
      <w:r>
        <w:rPr>
          <w:color w:val="auto"/>
        </w:rPr>
        <w:t>*”表示根据具体情况确定是否进行。</w:t>
      </w:r>
    </w:p>
    <w:p>
      <w:pPr>
        <w:rPr>
          <w:color w:val="auto"/>
        </w:rPr>
      </w:pPr>
      <w:r>
        <w:rPr>
          <w:color w:val="auto"/>
        </w:rPr>
        <w:t>5.应提供色谱法、光谱法含量测定方法学中供试品、对照品和阴性对照的图谱，并附测定波长选择和线性关系图谱。</w:t>
      </w:r>
    </w:p>
    <w:p>
      <w:pPr>
        <w:rPr>
          <w:color w:val="auto"/>
        </w:rPr>
      </w:pPr>
      <w:r>
        <w:rPr>
          <w:color w:val="auto"/>
        </w:rPr>
        <w:t>6.根据测定数据确定质量控制限度：原则上按多批次工艺验证产品测定平均值的70%确定最低含量限度。</w:t>
      </w:r>
    </w:p>
    <w:p>
      <w:pPr>
        <w:rPr>
          <w:color w:val="auto"/>
        </w:rPr>
      </w:pPr>
      <w:r>
        <w:rPr>
          <w:rFonts w:hint="eastAsia"/>
          <w:color w:val="auto"/>
        </w:rPr>
        <w:t>（八）功能与主治</w:t>
      </w:r>
    </w:p>
    <w:p>
      <w:pPr>
        <w:rPr>
          <w:color w:val="auto"/>
        </w:rPr>
      </w:pPr>
      <w:r>
        <w:rPr>
          <w:rFonts w:hint="eastAsia"/>
          <w:color w:val="auto"/>
        </w:rPr>
        <w:t>简要说明制订功能与主治项的理由。具体要求详见《制剂质量标准编写细则》。</w:t>
      </w:r>
    </w:p>
    <w:p>
      <w:pPr>
        <w:rPr>
          <w:color w:val="auto"/>
        </w:rPr>
      </w:pPr>
      <w:r>
        <w:rPr>
          <w:rFonts w:hint="eastAsia"/>
          <w:color w:val="auto"/>
        </w:rPr>
        <w:t>（九）用法与用量</w:t>
      </w:r>
    </w:p>
    <w:p>
      <w:pPr>
        <w:rPr>
          <w:color w:val="auto"/>
        </w:rPr>
      </w:pPr>
      <w:r>
        <w:rPr>
          <w:rFonts w:hint="eastAsia"/>
          <w:color w:val="auto"/>
        </w:rPr>
        <w:t>简要说明制订用法与用量项的理由。相关要求详见《制剂质量标准编写细则》。</w:t>
      </w:r>
    </w:p>
    <w:p>
      <w:pPr>
        <w:rPr>
          <w:color w:val="auto"/>
        </w:rPr>
      </w:pPr>
      <w:r>
        <w:rPr>
          <w:rFonts w:hint="eastAsia"/>
          <w:color w:val="auto"/>
        </w:rPr>
        <w:t>（十）注意</w:t>
      </w:r>
    </w:p>
    <w:p>
      <w:pPr>
        <w:rPr>
          <w:color w:val="auto"/>
        </w:rPr>
      </w:pPr>
      <w:r>
        <w:rPr>
          <w:rFonts w:hint="eastAsia"/>
          <w:color w:val="auto"/>
        </w:rPr>
        <w:t>简要说明制订注意项的理由。相关要求详见《制剂质量标准编写细则》。</w:t>
      </w:r>
    </w:p>
    <w:p>
      <w:pPr>
        <w:rPr>
          <w:color w:val="auto"/>
        </w:rPr>
      </w:pPr>
      <w:r>
        <w:rPr>
          <w:rFonts w:hint="eastAsia"/>
          <w:color w:val="auto"/>
        </w:rPr>
        <w:t>（十一）规格</w:t>
      </w:r>
    </w:p>
    <w:p>
      <w:pPr>
        <w:rPr>
          <w:color w:val="auto"/>
        </w:rPr>
      </w:pPr>
      <w:r>
        <w:rPr>
          <w:rFonts w:hint="eastAsia"/>
          <w:color w:val="auto"/>
        </w:rPr>
        <w:t>简要说明制订规格项的理由。相关要求详见《制剂质量标准编写细则》。</w:t>
      </w:r>
    </w:p>
    <w:p>
      <w:pPr>
        <w:rPr>
          <w:color w:val="auto"/>
        </w:rPr>
      </w:pPr>
      <w:r>
        <w:rPr>
          <w:rFonts w:hint="eastAsia"/>
          <w:color w:val="auto"/>
        </w:rPr>
        <w:t>（十三）贮藏</w:t>
      </w:r>
    </w:p>
    <w:p>
      <w:pPr>
        <w:rPr>
          <w:color w:val="auto"/>
        </w:rPr>
        <w:sectPr>
          <w:pgSz w:w="11906" w:h="16838"/>
          <w:pgMar w:top="1440" w:right="1800" w:bottom="1440" w:left="1800" w:header="851" w:footer="992" w:gutter="0"/>
          <w:cols w:space="425" w:num="1"/>
          <w:docGrid w:type="lines" w:linePitch="312" w:charSpace="0"/>
        </w:sectPr>
      </w:pPr>
      <w:r>
        <w:rPr>
          <w:rFonts w:hint="eastAsia"/>
          <w:color w:val="auto"/>
        </w:rPr>
        <w:t>贮藏条件应根据制剂特性及稳定性试验结果拟定，写明保存的条件和要求。贮藏条件所用术语应符合现行版</w:t>
      </w:r>
      <w:r>
        <w:rPr>
          <w:color w:val="auto"/>
        </w:rPr>
        <w:t>《中国药典》</w:t>
      </w:r>
      <w:r>
        <w:rPr>
          <w:rFonts w:hint="eastAsia"/>
          <w:color w:val="auto"/>
        </w:rPr>
        <w:t>四部凡例的规定。</w:t>
      </w:r>
    </w:p>
    <w:p>
      <w:pPr>
        <w:pStyle w:val="2"/>
        <w:rPr>
          <w:color w:val="auto"/>
        </w:rPr>
      </w:pPr>
      <w:bookmarkStart w:id="18" w:name="_Toc24645"/>
      <w:bookmarkStart w:id="19" w:name="_Toc7917"/>
      <w:r>
        <w:rPr>
          <w:rFonts w:hint="eastAsia"/>
          <w:color w:val="auto"/>
        </w:rPr>
        <w:t>稳定性研究技术指导原则</w:t>
      </w:r>
      <w:bookmarkEnd w:id="18"/>
      <w:bookmarkEnd w:id="19"/>
    </w:p>
    <w:p>
      <w:pPr>
        <w:rPr>
          <w:color w:val="auto"/>
        </w:rPr>
      </w:pPr>
      <w:r>
        <w:rPr>
          <w:color w:val="auto"/>
        </w:rPr>
        <w:t>制剂的稳定性是其质量的重要评价指标，是考察制剂在温度、湿度、光线的影响下随时间变化的规律，</w:t>
      </w:r>
      <w:r>
        <w:rPr>
          <w:rFonts w:hint="eastAsia"/>
          <w:color w:val="auto"/>
        </w:rPr>
        <w:t>以认识和预测药品的稳定趋势，为药品生产、包装、贮存、运输条件的确定和有效期的建立提供科学依据</w:t>
      </w:r>
      <w:r>
        <w:rPr>
          <w:color w:val="auto"/>
        </w:rPr>
        <w:t>。因此申报医疗机构制剂必须进行稳定性试验，保证药品在规定的有效期质量稳定。根据</w:t>
      </w:r>
      <w:r>
        <w:rPr>
          <w:rFonts w:hint="eastAsia"/>
          <w:color w:val="auto"/>
        </w:rPr>
        <w:t>《</w:t>
      </w:r>
      <w:r>
        <w:rPr>
          <w:color w:val="auto"/>
        </w:rPr>
        <w:t>中国药典</w:t>
      </w:r>
      <w:r>
        <w:rPr>
          <w:rFonts w:hint="eastAsia"/>
          <w:color w:val="auto"/>
        </w:rPr>
        <w:t>》</w:t>
      </w:r>
      <w:r>
        <w:rPr>
          <w:color w:val="auto"/>
        </w:rPr>
        <w:t>四部“原料药物与制剂稳定性试验指导原则”，结合医疗机构制剂批量小、使用周期短等特点，制定医疗机构制剂</w:t>
      </w:r>
      <w:r>
        <w:rPr>
          <w:rFonts w:hint="eastAsia"/>
          <w:color w:val="auto"/>
        </w:rPr>
        <w:t>《</w:t>
      </w:r>
      <w:r>
        <w:rPr>
          <w:color w:val="auto"/>
        </w:rPr>
        <w:t>稳定性研究技术指</w:t>
      </w:r>
      <w:r>
        <w:rPr>
          <w:rFonts w:hint="eastAsia"/>
          <w:color w:val="auto"/>
        </w:rPr>
        <w:t>导原则》</w:t>
      </w:r>
      <w:r>
        <w:rPr>
          <w:color w:val="auto"/>
        </w:rPr>
        <w:t>。</w:t>
      </w:r>
    </w:p>
    <w:p>
      <w:pPr>
        <w:rPr>
          <w:color w:val="auto"/>
        </w:rPr>
      </w:pPr>
      <w:r>
        <w:rPr>
          <w:rFonts w:hint="eastAsia"/>
          <w:color w:val="auto"/>
        </w:rPr>
        <w:t>一、概述</w:t>
      </w:r>
    </w:p>
    <w:p>
      <w:pPr>
        <w:rPr>
          <w:color w:val="auto"/>
        </w:rPr>
      </w:pPr>
      <w:r>
        <w:rPr>
          <w:rFonts w:hint="eastAsia"/>
          <w:color w:val="auto"/>
        </w:rPr>
        <w:t>根据研究目的和条件的不同，稳定性研究内容可分为影响因素试验、加速试验和长期试验等。</w:t>
      </w:r>
    </w:p>
    <w:p>
      <w:pPr>
        <w:rPr>
          <w:color w:val="auto"/>
        </w:rPr>
      </w:pPr>
      <w:r>
        <w:rPr>
          <w:rFonts w:hint="eastAsia"/>
          <w:color w:val="auto"/>
        </w:rPr>
        <w:t>影响因素试验是在剧烈条件下探讨药物的稳定性、了解影响其稳定性的因素及所含成份的变化情况。为制剂处方设计、工艺筛选、包装材料和容器的选择、贮存条件的确定、有关物质的控制提供依据。并为加速试验和长期试验应采用的温度和湿度等条件提供参考。</w:t>
      </w:r>
    </w:p>
    <w:p>
      <w:pPr>
        <w:rPr>
          <w:color w:val="auto"/>
        </w:rPr>
      </w:pPr>
      <w:r>
        <w:rPr>
          <w:rFonts w:hint="eastAsia"/>
          <w:color w:val="auto"/>
        </w:rPr>
        <w:t>加速试验是在加速条件下进行的稳定性试验，其目的是在较短的时间内，了解制剂的化学、物理变化，为制剂处方设计、工艺改进、质量研究、包装改进、运输、贮存条件等提供试验依据，并初步预测样品的稳定性。</w:t>
      </w:r>
    </w:p>
    <w:p>
      <w:pPr>
        <w:rPr>
          <w:color w:val="auto"/>
        </w:rPr>
      </w:pPr>
      <w:r>
        <w:rPr>
          <w:rFonts w:hint="eastAsia"/>
          <w:color w:val="auto"/>
        </w:rPr>
        <w:t>长期试验是在接近制剂的实际贮存条件下进行的稳定性试验，为制订制剂的有效期提供依据。</w:t>
      </w:r>
    </w:p>
    <w:p>
      <w:pPr>
        <w:rPr>
          <w:color w:val="auto"/>
        </w:rPr>
      </w:pPr>
      <w:r>
        <w:rPr>
          <w:rFonts w:hint="eastAsia"/>
          <w:color w:val="auto"/>
        </w:rPr>
        <w:t>此外，有些制剂还应考察使用过程中的稳定性。</w:t>
      </w:r>
    </w:p>
    <w:p>
      <w:pPr>
        <w:rPr>
          <w:color w:val="auto"/>
        </w:rPr>
      </w:pPr>
      <w:r>
        <w:rPr>
          <w:rFonts w:hint="eastAsia"/>
          <w:color w:val="auto"/>
        </w:rPr>
        <w:t>稳定性研究具有阶段性特点，不同阶段具有不同的目的。一般始于制剂的临床前研究，贯穿研究与开发的全过程，在制剂批准配制后还要继续进行稳定性研究。</w:t>
      </w:r>
    </w:p>
    <w:p>
      <w:pPr>
        <w:rPr>
          <w:color w:val="auto"/>
        </w:rPr>
      </w:pPr>
      <w:r>
        <w:rPr>
          <w:rFonts w:hint="eastAsia"/>
          <w:color w:val="auto"/>
        </w:rPr>
        <w:t>本指导原则所涉及的仅为稳定性研究的一般性原则，具体的试验设计和评价应遵循具体问题具体分析的原则。</w:t>
      </w:r>
    </w:p>
    <w:p>
      <w:pPr>
        <w:rPr>
          <w:color w:val="auto"/>
        </w:rPr>
      </w:pPr>
      <w:r>
        <w:rPr>
          <w:rFonts w:hint="eastAsia"/>
          <w:color w:val="auto"/>
        </w:rPr>
        <w:t>二、稳定性研究试验设计</w:t>
      </w:r>
    </w:p>
    <w:p>
      <w:pPr>
        <w:rPr>
          <w:color w:val="auto"/>
        </w:rPr>
      </w:pPr>
      <w:r>
        <w:rPr>
          <w:rFonts w:hint="eastAsia"/>
          <w:color w:val="auto"/>
        </w:rPr>
        <w:t>稳定性研究试验设计应根据不同的研究目的，结合原料药的理化性质、剂型的特点和具体的处方及工艺条件进行。</w:t>
      </w:r>
    </w:p>
    <w:p>
      <w:pPr>
        <w:rPr>
          <w:color w:val="auto"/>
        </w:rPr>
      </w:pPr>
      <w:r>
        <w:rPr>
          <w:color w:val="auto"/>
        </w:rPr>
        <w:t>（一）样品的批次和规模</w:t>
      </w:r>
    </w:p>
    <w:p>
      <w:pPr>
        <w:rPr>
          <w:color w:val="auto"/>
        </w:rPr>
      </w:pPr>
      <w:r>
        <w:rPr>
          <w:rFonts w:hint="eastAsia"/>
          <w:color w:val="auto"/>
        </w:rPr>
        <w:t>影响因素试验可采用一批小试规模样品进行；</w:t>
      </w:r>
      <w:r>
        <w:rPr>
          <w:color w:val="auto"/>
        </w:rPr>
        <w:t>加速实验和长期实验应是</w:t>
      </w:r>
      <w:r>
        <w:rPr>
          <w:rFonts w:hint="eastAsia"/>
          <w:color w:val="auto"/>
        </w:rPr>
        <w:t>中试</w:t>
      </w:r>
      <w:r>
        <w:rPr>
          <w:color w:val="auto"/>
        </w:rPr>
        <w:t>放大实验的三批样品，其处方与工艺应与大生产一致。药物制剂如片剂、胶囊剂，每批放大实验的规模，片剂至少应为10000片，胶囊剂至少应为10000粒。不得以同一批样品分成三份代表三批样品，每批样品均应留有足够在稳定性实验中各次考核所需的数量。</w:t>
      </w:r>
    </w:p>
    <w:p>
      <w:pPr>
        <w:rPr>
          <w:color w:val="auto"/>
        </w:rPr>
      </w:pPr>
      <w:r>
        <w:rPr>
          <w:color w:val="auto"/>
        </w:rPr>
        <w:t>（二）</w:t>
      </w:r>
      <w:r>
        <w:rPr>
          <w:rFonts w:hint="eastAsia"/>
          <w:color w:val="auto"/>
        </w:rPr>
        <w:t>包装及放置条件</w:t>
      </w:r>
    </w:p>
    <w:p>
      <w:pPr>
        <w:rPr>
          <w:color w:val="auto"/>
        </w:rPr>
      </w:pPr>
      <w:r>
        <w:rPr>
          <w:rFonts w:hint="eastAsia"/>
          <w:color w:val="auto"/>
        </w:rPr>
        <w:t>影响因素试验将供试品如片剂、胶囊剂，除去外包装，并根据试验目的和产品特性考虑是否除去内包装，置适宜的开口容器中，进行高温试验、高湿试验与强光照射试验；加速试验和长期试验所用包装材料和封装条件应与拟配制包装一致。</w:t>
      </w:r>
    </w:p>
    <w:p>
      <w:pPr>
        <w:rPr>
          <w:color w:val="auto"/>
        </w:rPr>
      </w:pPr>
      <w:r>
        <w:rPr>
          <w:rFonts w:hint="eastAsia"/>
          <w:color w:val="auto"/>
        </w:rPr>
        <w:t>稳定性试验要求在一定的温度、湿度、光照等条件下进行，这些放置条件的设置应充分考虑到药品在贮存、运输及使用过程中可能遇到的环境因素。</w:t>
      </w:r>
    </w:p>
    <w:p>
      <w:pPr>
        <w:rPr>
          <w:color w:val="auto"/>
        </w:rPr>
      </w:pPr>
      <w:r>
        <w:rPr>
          <w:rFonts w:hint="eastAsia"/>
          <w:color w:val="auto"/>
        </w:rPr>
        <w:t>稳定性研究中所用控温、控湿、光照等设备应能较好地对试验要求的环境条件进行控制和监测，如应能控制温度±2℃，相对湿度±5％，照度±500lx等，并能对真实温度、湿度与照度进行监测。</w:t>
      </w:r>
    </w:p>
    <w:p>
      <w:pPr>
        <w:rPr>
          <w:color w:val="auto"/>
        </w:rPr>
      </w:pPr>
      <w:r>
        <w:rPr>
          <w:rFonts w:hint="eastAsia"/>
          <w:color w:val="auto"/>
        </w:rPr>
        <w:t>（三）考察时间点</w:t>
      </w:r>
    </w:p>
    <w:p>
      <w:pPr>
        <w:rPr>
          <w:color w:val="auto"/>
        </w:rPr>
      </w:pPr>
      <w:r>
        <w:rPr>
          <w:rFonts w:hint="eastAsia"/>
          <w:color w:val="auto"/>
        </w:rPr>
        <w:t>稳定性研究中需要设置多个时间点。考察时间点的设置应基于对药品理化性质的认识、稳定性变化趋势而设置。如长期试验中，总体考察时间应涵盖所预期的有效期，中间取样点的设置要考虑药品的稳定特性和剂型特点。对某些环境因素敏感的药品，应适当增加考察时间点。</w:t>
      </w:r>
    </w:p>
    <w:p>
      <w:pPr>
        <w:rPr>
          <w:color w:val="auto"/>
        </w:rPr>
      </w:pPr>
      <w:r>
        <w:rPr>
          <w:rFonts w:hint="eastAsia"/>
          <w:color w:val="auto"/>
        </w:rPr>
        <w:t>（四）考察项目</w:t>
      </w:r>
    </w:p>
    <w:p>
      <w:pPr>
        <w:rPr>
          <w:color w:val="auto"/>
        </w:rPr>
      </w:pPr>
      <w:r>
        <w:rPr>
          <w:rFonts w:hint="eastAsia"/>
          <w:color w:val="auto"/>
        </w:rPr>
        <w:t>一般情况下，考察项目可分为物理、化学和生物学等几个方面。</w:t>
      </w:r>
    </w:p>
    <w:p>
      <w:pPr>
        <w:rPr>
          <w:color w:val="auto"/>
        </w:rPr>
      </w:pPr>
      <w:r>
        <w:rPr>
          <w:rFonts w:hint="eastAsia"/>
          <w:color w:val="auto"/>
        </w:rPr>
        <w:t>稳定性研究的考察项目（或指标）应根据所含成份和/或制剂特性、质量要求设置，应选择在药品保存期间易于变化，可能会影响到药品的质量、安全性和有效性的项目，以便客观、全面地评价药品的稳定性。一般以质量标准及《中国药典》制剂通则中与稳定性相关的指标为考察项目，必要时，应超出质量标准的范围选择稳定性考察指标。</w:t>
      </w:r>
    </w:p>
    <w:p>
      <w:pPr>
        <w:rPr>
          <w:color w:val="auto"/>
        </w:rPr>
      </w:pPr>
      <w:r>
        <w:rPr>
          <w:rFonts w:hint="eastAsia"/>
          <w:color w:val="auto"/>
        </w:rPr>
        <w:t>有效成份及其制剂应考察有关物质的变化。</w:t>
      </w:r>
    </w:p>
    <w:p>
      <w:pPr>
        <w:rPr>
          <w:color w:val="auto"/>
        </w:rPr>
      </w:pPr>
      <w:r>
        <w:rPr>
          <w:rFonts w:hint="eastAsia"/>
          <w:color w:val="auto"/>
        </w:rPr>
        <w:t>有效部位及其制剂应关注其同类成份中各成份的变化。</w:t>
      </w:r>
    </w:p>
    <w:p>
      <w:pPr>
        <w:rPr>
          <w:color w:val="auto"/>
        </w:rPr>
      </w:pPr>
      <w:r>
        <w:rPr>
          <w:rFonts w:hint="eastAsia"/>
          <w:color w:val="auto"/>
        </w:rPr>
        <w:t>复方制剂应注意考察项目的选择，注意试验中信息量的采集和分析。为了确定药物的稳定性，对同批次不同取样时间点及不同批次样品所含成份的一致性进行比较研究，是有意义的。</w:t>
      </w:r>
    </w:p>
    <w:p>
      <w:pPr>
        <w:rPr>
          <w:color w:val="auto"/>
        </w:rPr>
      </w:pPr>
      <w:r>
        <w:rPr>
          <w:rFonts w:hint="eastAsia"/>
          <w:color w:val="auto"/>
        </w:rPr>
        <w:t>（五）分析方法</w:t>
      </w:r>
    </w:p>
    <w:p>
      <w:pPr>
        <w:rPr>
          <w:color w:val="auto"/>
        </w:rPr>
      </w:pPr>
      <w:r>
        <w:rPr>
          <w:rFonts w:hint="eastAsia"/>
          <w:color w:val="auto"/>
        </w:rPr>
        <w:t>稳定性试验研究应采用专属性强、准确、精密、灵敏的分析方法，并对方法进行验证，以保证稳定性检测结果的可靠性。</w:t>
      </w:r>
    </w:p>
    <w:p>
      <w:pPr>
        <w:rPr>
          <w:color w:val="auto"/>
        </w:rPr>
      </w:pPr>
      <w:r>
        <w:rPr>
          <w:rFonts w:hint="eastAsia"/>
          <w:color w:val="auto"/>
        </w:rPr>
        <w:t>三、稳定性研究试验方法</w:t>
      </w:r>
    </w:p>
    <w:p>
      <w:pPr>
        <w:rPr>
          <w:color w:val="auto"/>
        </w:rPr>
      </w:pPr>
      <w:r>
        <w:rPr>
          <w:rFonts w:hint="eastAsia"/>
          <w:color w:val="auto"/>
        </w:rPr>
        <w:t>（一）影响因素试验</w:t>
      </w:r>
    </w:p>
    <w:p>
      <w:pPr>
        <w:rPr>
          <w:color w:val="auto"/>
        </w:rPr>
      </w:pPr>
      <w:r>
        <w:rPr>
          <w:rFonts w:hint="eastAsia"/>
          <w:color w:val="auto"/>
        </w:rPr>
        <w:t>制剂进行影响因素试验的目的是考察制剂处方的合理性与生产工艺及包装条件。</w:t>
      </w:r>
    </w:p>
    <w:p>
      <w:pPr>
        <w:rPr>
          <w:color w:val="auto"/>
        </w:rPr>
      </w:pPr>
      <w:r>
        <w:rPr>
          <w:rFonts w:hint="eastAsia"/>
          <w:color w:val="auto"/>
        </w:rPr>
        <w:t>1.高温试验</w:t>
      </w:r>
    </w:p>
    <w:p>
      <w:pPr>
        <w:rPr>
          <w:color w:val="auto"/>
        </w:rPr>
      </w:pPr>
      <w:r>
        <w:rPr>
          <w:rFonts w:hint="eastAsia"/>
          <w:color w:val="auto"/>
        </w:rPr>
        <w:t>供试品置密封洁净容器中，在60℃条件下放置10天，于0、5、10天取样检测。与0天比较，若供试品发生显著变化，则在40℃下同法进行试验。如60℃无显著变化，则不必进行40℃试验。</w:t>
      </w:r>
    </w:p>
    <w:p>
      <w:pPr>
        <w:rPr>
          <w:color w:val="auto"/>
        </w:rPr>
      </w:pPr>
      <w:r>
        <w:rPr>
          <w:rFonts w:hint="eastAsia"/>
          <w:color w:val="auto"/>
        </w:rPr>
        <w:t>2.高湿试验</w:t>
      </w:r>
    </w:p>
    <w:p>
      <w:pPr>
        <w:rPr>
          <w:color w:val="auto"/>
        </w:rPr>
      </w:pPr>
      <w:r>
        <w:rPr>
          <w:rFonts w:hint="eastAsia"/>
          <w:color w:val="auto"/>
        </w:rPr>
        <w:t>供试品开口置恒湿设备中，于25℃、RH90％±5％条件下放置10天，在0、5、10天取样检测。检测项目应包括吸湿增重等。若吸湿增重在5%以上，则应在25℃、RH75％±5％下同法进行试验；若吸湿增重在5%以下，且其他考察项目符合要求，则不再进行此项试验。</w:t>
      </w:r>
    </w:p>
    <w:p>
      <w:pPr>
        <w:rPr>
          <w:color w:val="auto"/>
        </w:rPr>
      </w:pPr>
      <w:r>
        <w:rPr>
          <w:rFonts w:hint="eastAsia"/>
          <w:color w:val="auto"/>
        </w:rPr>
        <w:t>恒湿条件一般通过恒温恒湿箱实现。</w:t>
      </w:r>
    </w:p>
    <w:p>
      <w:pPr>
        <w:rPr>
          <w:color w:val="auto"/>
        </w:rPr>
      </w:pPr>
      <w:r>
        <w:rPr>
          <w:rFonts w:hint="eastAsia"/>
          <w:color w:val="auto"/>
        </w:rPr>
        <w:t>对水性的液体制剂，可不进行此项试验。</w:t>
      </w:r>
    </w:p>
    <w:p>
      <w:pPr>
        <w:rPr>
          <w:color w:val="auto"/>
        </w:rPr>
      </w:pPr>
      <w:r>
        <w:rPr>
          <w:rFonts w:hint="eastAsia"/>
          <w:color w:val="auto"/>
        </w:rPr>
        <w:t>3.强光照射试验</w:t>
      </w:r>
    </w:p>
    <w:p>
      <w:pPr>
        <w:rPr>
          <w:color w:val="auto"/>
        </w:rPr>
      </w:pPr>
      <w:r>
        <w:rPr>
          <w:rFonts w:hint="eastAsia"/>
          <w:color w:val="auto"/>
        </w:rPr>
        <w:t>供试品置装有日光灯的光照箱或其它适宜的光照容器内，于照度为4500lx±500lx条件下放置10天，在0、5、10天取样检测。试验中应注意控制温度，与室温保持一致,并注意观察供试品的外观变化。</w:t>
      </w:r>
    </w:p>
    <w:p>
      <w:pPr>
        <w:rPr>
          <w:color w:val="auto"/>
        </w:rPr>
      </w:pPr>
      <w:r>
        <w:rPr>
          <w:rFonts w:hint="eastAsia"/>
          <w:color w:val="auto"/>
        </w:rPr>
        <w:t>此外，根据药物的性质必要时应设计其他试验，探讨pH值、氧及其他条件（如冷冻等）对药物稳定性的影响。</w:t>
      </w:r>
    </w:p>
    <w:p>
      <w:pPr>
        <w:rPr>
          <w:color w:val="auto"/>
        </w:rPr>
      </w:pPr>
      <w:r>
        <w:rPr>
          <w:rFonts w:hint="eastAsia"/>
          <w:color w:val="auto"/>
        </w:rPr>
        <w:t>（二）加速试验</w:t>
      </w:r>
    </w:p>
    <w:p>
      <w:pPr>
        <w:rPr>
          <w:color w:val="auto"/>
        </w:rPr>
      </w:pPr>
      <w:r>
        <w:rPr>
          <w:color w:val="auto"/>
        </w:rPr>
        <w:t>加速稳定性试验的目的是通过加速药物制剂的化学或物理变化，探讨药物制剂的稳定性，为处方设计、工艺改进、质量研究、包装、运输、贮存提供必要的资料。</w:t>
      </w:r>
    </w:p>
    <w:p>
      <w:pPr>
        <w:rPr>
          <w:color w:val="auto"/>
        </w:rPr>
      </w:pPr>
      <w:r>
        <w:rPr>
          <w:rFonts w:hint="eastAsia"/>
          <w:color w:val="auto"/>
        </w:rPr>
        <w:t>1.</w:t>
      </w:r>
      <w:r>
        <w:rPr>
          <w:color w:val="auto"/>
        </w:rPr>
        <w:t>加速试验一般应在温度40</w:t>
      </w:r>
      <w:r>
        <w:rPr>
          <w:rFonts w:hint="eastAsia" w:cs="宋体"/>
          <w:color w:val="auto"/>
        </w:rPr>
        <w:t>℃</w:t>
      </w:r>
      <w:r>
        <w:rPr>
          <w:color w:val="auto"/>
        </w:rPr>
        <w:t>±2</w:t>
      </w:r>
      <w:r>
        <w:rPr>
          <w:rFonts w:hint="eastAsia" w:cs="宋体"/>
          <w:color w:val="auto"/>
        </w:rPr>
        <w:t>℃</w:t>
      </w:r>
      <w:r>
        <w:rPr>
          <w:color w:val="auto"/>
        </w:rPr>
        <w:t>，相对湿度75%±5%的条件下放置6个月，</w:t>
      </w:r>
      <w:r>
        <w:rPr>
          <w:rFonts w:hint="eastAsia"/>
          <w:color w:val="auto"/>
        </w:rPr>
        <w:t>一般</w:t>
      </w:r>
      <w:r>
        <w:rPr>
          <w:color w:val="auto"/>
        </w:rPr>
        <w:t>于0、1、2、3、6月末分别取样，按稳定性重点考察项目检测。如6个月内供试品经检测质量</w:t>
      </w:r>
      <w:r>
        <w:rPr>
          <w:rFonts w:hint="eastAsia"/>
          <w:color w:val="auto"/>
        </w:rPr>
        <w:t>发生了显著变化，</w:t>
      </w:r>
      <w:r>
        <w:rPr>
          <w:color w:val="auto"/>
        </w:rPr>
        <w:t>则应在中间条件下，即温度30</w:t>
      </w:r>
      <w:r>
        <w:rPr>
          <w:rFonts w:hint="eastAsia" w:cs="宋体"/>
          <w:color w:val="auto"/>
        </w:rPr>
        <w:t>℃</w:t>
      </w:r>
      <w:r>
        <w:rPr>
          <w:color w:val="auto"/>
        </w:rPr>
        <w:t>±2</w:t>
      </w:r>
      <w:r>
        <w:rPr>
          <w:rFonts w:hint="eastAsia" w:cs="宋体"/>
          <w:color w:val="auto"/>
        </w:rPr>
        <w:t>℃</w:t>
      </w:r>
      <w:r>
        <w:rPr>
          <w:color w:val="auto"/>
        </w:rPr>
        <w:t>，相对湿度65%±5%的情况下进行加速实验，</w:t>
      </w:r>
      <w:r>
        <w:rPr>
          <w:rFonts w:hint="eastAsia"/>
          <w:color w:val="auto"/>
        </w:rPr>
        <w:t>考察时间建议延长至12个月，应包括所有的稳定性重点考察项目，一般</w:t>
      </w:r>
      <w:r>
        <w:rPr>
          <w:color w:val="auto"/>
        </w:rPr>
        <w:t>于0、1、2、3、6</w:t>
      </w:r>
      <w:r>
        <w:rPr>
          <w:rFonts w:hint="eastAsia"/>
          <w:color w:val="auto"/>
        </w:rPr>
        <w:t>、9、12</w:t>
      </w:r>
      <w:r>
        <w:rPr>
          <w:color w:val="auto"/>
        </w:rPr>
        <w:t>月末分别取样</w:t>
      </w:r>
      <w:r>
        <w:rPr>
          <w:rFonts w:hint="eastAsia"/>
          <w:color w:val="auto"/>
        </w:rPr>
        <w:t>。</w:t>
      </w:r>
    </w:p>
    <w:p>
      <w:pPr>
        <w:rPr>
          <w:color w:val="auto"/>
        </w:rPr>
      </w:pPr>
      <w:r>
        <w:rPr>
          <w:rFonts w:hint="eastAsia"/>
          <w:color w:val="auto"/>
        </w:rPr>
        <w:t>2.对采用不可透过性包装的液体制剂，如溶液剂、混悬剂、乳剂等含有水性介质的制剂可不要求相对湿度。</w:t>
      </w:r>
    </w:p>
    <w:p>
      <w:pPr>
        <w:rPr>
          <w:color w:val="auto"/>
        </w:rPr>
      </w:pPr>
      <w:r>
        <w:rPr>
          <w:rFonts w:hint="eastAsia"/>
          <w:color w:val="auto"/>
        </w:rPr>
        <w:t>3.</w:t>
      </w:r>
      <w:r>
        <w:rPr>
          <w:color w:val="auto"/>
        </w:rPr>
        <w:t>对于包装在半通透性容器中的</w:t>
      </w:r>
      <w:r>
        <w:rPr>
          <w:rFonts w:hint="eastAsia"/>
          <w:color w:val="auto"/>
        </w:rPr>
        <w:t>液体</w:t>
      </w:r>
      <w:r>
        <w:rPr>
          <w:color w:val="auto"/>
        </w:rPr>
        <w:t>制剂，例如</w:t>
      </w:r>
      <w:r>
        <w:rPr>
          <w:rFonts w:hint="eastAsia"/>
          <w:color w:val="auto"/>
        </w:rPr>
        <w:t>塑料瓶装滴鼻液等，加速试验应在40℃±2℃、RH20％±5％的条件下进行。</w:t>
      </w:r>
    </w:p>
    <w:p>
      <w:pPr>
        <w:rPr>
          <w:color w:val="auto"/>
        </w:rPr>
      </w:pPr>
      <w:r>
        <w:rPr>
          <w:rFonts w:hint="eastAsia"/>
          <w:color w:val="auto"/>
        </w:rPr>
        <w:t>4.</w:t>
      </w:r>
      <w:r>
        <w:rPr>
          <w:color w:val="auto"/>
        </w:rPr>
        <w:t>对软膏剂、乳膏剂、糊剂、凝胶剂、眼膏剂、栓剂、气雾剂、泡腾片及泡腾颗粒等制剂可直接采用温度30</w:t>
      </w:r>
      <w:r>
        <w:rPr>
          <w:rFonts w:hint="eastAsia" w:cs="宋体"/>
          <w:color w:val="auto"/>
        </w:rPr>
        <w:t>℃</w:t>
      </w:r>
      <w:r>
        <w:rPr>
          <w:color w:val="auto"/>
        </w:rPr>
        <w:t>±2</w:t>
      </w:r>
      <w:r>
        <w:rPr>
          <w:rFonts w:hint="eastAsia" w:cs="宋体"/>
          <w:color w:val="auto"/>
        </w:rPr>
        <w:t>℃</w:t>
      </w:r>
      <w:r>
        <w:rPr>
          <w:color w:val="auto"/>
        </w:rPr>
        <w:t>、相对湿度65%±5%的条件下进行试验。</w:t>
      </w:r>
    </w:p>
    <w:p>
      <w:pPr>
        <w:rPr>
          <w:color w:val="auto"/>
        </w:rPr>
      </w:pPr>
      <w:r>
        <w:rPr>
          <w:rFonts w:hint="eastAsia"/>
          <w:color w:val="auto"/>
        </w:rPr>
        <w:t>5.</w:t>
      </w:r>
      <w:r>
        <w:rPr>
          <w:color w:val="auto"/>
        </w:rPr>
        <w:t>对温度</w:t>
      </w:r>
      <w:r>
        <w:rPr>
          <w:rFonts w:hint="eastAsia"/>
          <w:color w:val="auto"/>
        </w:rPr>
        <w:t>特别</w:t>
      </w:r>
      <w:r>
        <w:rPr>
          <w:color w:val="auto"/>
        </w:rPr>
        <w:t>敏感的制剂（需在</w:t>
      </w:r>
      <w:r>
        <w:rPr>
          <w:rFonts w:hint="eastAsia"/>
          <w:color w:val="auto"/>
        </w:rPr>
        <w:t>2</w:t>
      </w:r>
      <w:r>
        <w:rPr>
          <w:color w:val="auto"/>
        </w:rPr>
        <w:t>～8</w:t>
      </w:r>
      <w:r>
        <w:rPr>
          <w:rFonts w:hint="eastAsia" w:cs="宋体"/>
          <w:color w:val="auto"/>
        </w:rPr>
        <w:t>℃</w:t>
      </w:r>
      <w:r>
        <w:rPr>
          <w:color w:val="auto"/>
        </w:rPr>
        <w:t>冷藏保存）的加速试验，可在温度25</w:t>
      </w:r>
      <w:r>
        <w:rPr>
          <w:rFonts w:hint="eastAsia" w:cs="宋体"/>
          <w:color w:val="auto"/>
        </w:rPr>
        <w:t>℃</w:t>
      </w:r>
      <w:r>
        <w:rPr>
          <w:color w:val="auto"/>
        </w:rPr>
        <w:t>±2</w:t>
      </w:r>
      <w:r>
        <w:rPr>
          <w:rFonts w:hint="eastAsia" w:cs="宋体"/>
          <w:color w:val="auto"/>
        </w:rPr>
        <w:t>℃</w:t>
      </w:r>
      <w:r>
        <w:rPr>
          <w:color w:val="auto"/>
        </w:rPr>
        <w:t>，相对湿度60%±</w:t>
      </w:r>
      <w:r>
        <w:rPr>
          <w:rFonts w:hint="eastAsia"/>
          <w:color w:val="auto"/>
        </w:rPr>
        <w:t>5</w:t>
      </w:r>
      <w:r>
        <w:rPr>
          <w:color w:val="auto"/>
        </w:rPr>
        <w:t>%的条件下进行试验。</w:t>
      </w:r>
    </w:p>
    <w:p>
      <w:pPr>
        <w:rPr>
          <w:color w:val="auto"/>
        </w:rPr>
      </w:pPr>
      <w:r>
        <w:rPr>
          <w:rFonts w:hint="eastAsia"/>
          <w:color w:val="auto"/>
        </w:rPr>
        <w:t>（三）</w:t>
      </w:r>
      <w:r>
        <w:rPr>
          <w:color w:val="auto"/>
        </w:rPr>
        <w:t>长期稳定性试验</w:t>
      </w:r>
    </w:p>
    <w:p>
      <w:pPr>
        <w:rPr>
          <w:color w:val="auto"/>
        </w:rPr>
      </w:pPr>
      <w:r>
        <w:rPr>
          <w:color w:val="auto"/>
        </w:rPr>
        <w:t>长期稳定性试验是在接近药品的实际贮存条件下进行，其目的是为制订药品的有效期提供依据。</w:t>
      </w:r>
    </w:p>
    <w:p>
      <w:pPr>
        <w:rPr>
          <w:color w:val="auto"/>
        </w:rPr>
      </w:pPr>
      <w:r>
        <w:rPr>
          <w:rFonts w:hint="eastAsia"/>
          <w:color w:val="auto"/>
        </w:rPr>
        <w:t>1.</w:t>
      </w:r>
      <w:r>
        <w:rPr>
          <w:color w:val="auto"/>
        </w:rPr>
        <w:t>长期试验一般应在温度25</w:t>
      </w:r>
      <w:r>
        <w:rPr>
          <w:rFonts w:hint="eastAsia" w:cs="宋体"/>
          <w:color w:val="auto"/>
        </w:rPr>
        <w:t>℃</w:t>
      </w:r>
      <w:r>
        <w:rPr>
          <w:color w:val="auto"/>
        </w:rPr>
        <w:t>±2</w:t>
      </w:r>
      <w:r>
        <w:rPr>
          <w:rFonts w:hint="eastAsia" w:cs="宋体"/>
          <w:color w:val="auto"/>
        </w:rPr>
        <w:t>℃</w:t>
      </w:r>
      <w:r>
        <w:rPr>
          <w:color w:val="auto"/>
        </w:rPr>
        <w:t>,相对湿度60%±</w:t>
      </w:r>
      <w:r>
        <w:rPr>
          <w:rFonts w:hint="eastAsia"/>
          <w:color w:val="auto"/>
        </w:rPr>
        <w:t>5</w:t>
      </w:r>
      <w:r>
        <w:rPr>
          <w:color w:val="auto"/>
        </w:rPr>
        <w:t>%的条件下进行。于0、3、6、9、12个月分别取样检测，以后仍需考察的，分别于18、24、36个月取样进行检测，总体考察时间应涵盖有效期。</w:t>
      </w:r>
    </w:p>
    <w:p>
      <w:pPr>
        <w:rPr>
          <w:color w:val="auto"/>
        </w:rPr>
      </w:pPr>
      <w:r>
        <w:rPr>
          <w:rFonts w:hint="eastAsia"/>
          <w:color w:val="auto"/>
        </w:rPr>
        <w:t>2.</w:t>
      </w:r>
      <w:r>
        <w:rPr>
          <w:color w:val="auto"/>
        </w:rPr>
        <w:t>对温度</w:t>
      </w:r>
      <w:r>
        <w:rPr>
          <w:rFonts w:hint="eastAsia"/>
          <w:color w:val="auto"/>
        </w:rPr>
        <w:t>特别</w:t>
      </w:r>
      <w:r>
        <w:rPr>
          <w:color w:val="auto"/>
        </w:rPr>
        <w:t>敏感的制剂，长期试验可在温度</w:t>
      </w:r>
      <w:r>
        <w:rPr>
          <w:rFonts w:hint="eastAsia"/>
          <w:color w:val="auto"/>
        </w:rPr>
        <w:t>5</w:t>
      </w:r>
      <w:r>
        <w:rPr>
          <w:rFonts w:hint="eastAsia" w:cs="宋体"/>
          <w:color w:val="auto"/>
        </w:rPr>
        <w:t>℃</w:t>
      </w:r>
      <w:r>
        <w:rPr>
          <w:color w:val="auto"/>
        </w:rPr>
        <w:t>±</w:t>
      </w:r>
      <w:r>
        <w:rPr>
          <w:rFonts w:hint="eastAsia"/>
          <w:color w:val="auto"/>
        </w:rPr>
        <w:t>3</w:t>
      </w:r>
      <w:r>
        <w:rPr>
          <w:rFonts w:hint="eastAsia" w:cs="宋体"/>
          <w:color w:val="auto"/>
        </w:rPr>
        <w:t>℃</w:t>
      </w:r>
      <w:r>
        <w:rPr>
          <w:color w:val="auto"/>
        </w:rPr>
        <w:t>的条件下进行，取样时间点同上，制订在低温贮藏条件下的有效期。</w:t>
      </w:r>
    </w:p>
    <w:p>
      <w:pPr>
        <w:rPr>
          <w:color w:val="auto"/>
        </w:rPr>
      </w:pPr>
      <w:r>
        <w:rPr>
          <w:rFonts w:hint="eastAsia"/>
          <w:color w:val="auto"/>
        </w:rPr>
        <w:t>3.</w:t>
      </w:r>
      <w:r>
        <w:rPr>
          <w:color w:val="auto"/>
        </w:rPr>
        <w:t>有些制剂还应考察临用时配制和使用过程中的稳定性。</w:t>
      </w:r>
    </w:p>
    <w:p>
      <w:pPr>
        <w:rPr>
          <w:color w:val="auto"/>
        </w:rPr>
      </w:pPr>
      <w:r>
        <w:rPr>
          <w:color w:val="auto"/>
        </w:rPr>
        <w:t>四、稳定性试验考察项目</w:t>
      </w:r>
    </w:p>
    <w:p>
      <w:pPr>
        <w:rPr>
          <w:color w:val="auto"/>
        </w:rPr>
      </w:pPr>
      <w:r>
        <w:rPr>
          <w:color w:val="auto"/>
        </w:rPr>
        <w:t>一般以质量标准及现行版</w:t>
      </w:r>
      <w:r>
        <w:rPr>
          <w:rFonts w:hint="eastAsia"/>
          <w:color w:val="auto"/>
        </w:rPr>
        <w:t>《中国药典》</w:t>
      </w:r>
      <w:r>
        <w:rPr>
          <w:color w:val="auto"/>
        </w:rPr>
        <w:t>制剂通则中与稳定性相关的指标为考察项目。除另有规定外，各剂型参考表中稳定性试验重点考察项目进行。</w:t>
      </w:r>
    </w:p>
    <w:p>
      <w:pPr>
        <w:rPr>
          <w:color w:val="auto"/>
        </w:rPr>
      </w:pPr>
      <w:r>
        <w:rPr>
          <w:color w:val="auto"/>
        </w:rPr>
        <w:t>稳定性重点考察项目参考表</w:t>
      </w:r>
      <w:r>
        <w:rPr>
          <w:rFonts w:hint="eastAsia"/>
          <w:color w:val="auto"/>
        </w:rPr>
        <w:t>：</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6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3" w:type="dxa"/>
            <w:vAlign w:val="center"/>
          </w:tcPr>
          <w:p>
            <w:pPr>
              <w:ind w:firstLine="0" w:firstLineChars="0"/>
              <w:jc w:val="center"/>
              <w:rPr>
                <w:color w:val="auto"/>
                <w:sz w:val="24"/>
                <w:szCs w:val="24"/>
              </w:rPr>
            </w:pPr>
            <w:r>
              <w:rPr>
                <w:color w:val="auto"/>
                <w:sz w:val="24"/>
                <w:szCs w:val="24"/>
              </w:rPr>
              <w:t>剂型</w:t>
            </w:r>
          </w:p>
        </w:tc>
        <w:tc>
          <w:tcPr>
            <w:tcW w:w="6883" w:type="dxa"/>
            <w:vAlign w:val="center"/>
          </w:tcPr>
          <w:p>
            <w:pPr>
              <w:ind w:firstLine="0" w:firstLineChars="0"/>
              <w:jc w:val="center"/>
              <w:rPr>
                <w:color w:val="auto"/>
                <w:sz w:val="24"/>
                <w:szCs w:val="24"/>
              </w:rPr>
            </w:pPr>
            <w:r>
              <w:rPr>
                <w:color w:val="auto"/>
                <w:sz w:val="24"/>
                <w:szCs w:val="24"/>
              </w:rPr>
              <w:t>稳定性考察项目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丸剂</w:t>
            </w:r>
          </w:p>
        </w:tc>
        <w:tc>
          <w:tcPr>
            <w:tcW w:w="6883" w:type="dxa"/>
          </w:tcPr>
          <w:p>
            <w:pPr>
              <w:ind w:firstLine="0" w:firstLineChars="0"/>
              <w:rPr>
                <w:color w:val="auto"/>
                <w:sz w:val="24"/>
                <w:szCs w:val="24"/>
              </w:rPr>
            </w:pPr>
            <w:r>
              <w:rPr>
                <w:color w:val="auto"/>
                <w:sz w:val="24"/>
                <w:szCs w:val="24"/>
              </w:rPr>
              <w:t>性状、鉴别、溶散时限、水分、含量测定、微生物限度检查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散剂</w:t>
            </w:r>
          </w:p>
        </w:tc>
        <w:tc>
          <w:tcPr>
            <w:tcW w:w="6883" w:type="dxa"/>
          </w:tcPr>
          <w:p>
            <w:pPr>
              <w:ind w:firstLine="0" w:firstLineChars="0"/>
              <w:rPr>
                <w:color w:val="auto"/>
                <w:sz w:val="24"/>
                <w:szCs w:val="24"/>
              </w:rPr>
            </w:pPr>
            <w:r>
              <w:rPr>
                <w:color w:val="auto"/>
                <w:sz w:val="24"/>
                <w:szCs w:val="24"/>
              </w:rPr>
              <w:t>性状、鉴别、外观均匀度、水分、粒度、含量测定、无菌（用于烧伤或严重创伤的外用散剂）、微生物限度检查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颗粒剂</w:t>
            </w:r>
          </w:p>
        </w:tc>
        <w:tc>
          <w:tcPr>
            <w:tcW w:w="6883" w:type="dxa"/>
          </w:tcPr>
          <w:p>
            <w:pPr>
              <w:ind w:firstLine="0" w:firstLineChars="0"/>
              <w:rPr>
                <w:color w:val="auto"/>
                <w:sz w:val="24"/>
                <w:szCs w:val="24"/>
              </w:rPr>
            </w:pPr>
            <w:r>
              <w:rPr>
                <w:color w:val="auto"/>
                <w:sz w:val="24"/>
                <w:szCs w:val="24"/>
              </w:rPr>
              <w:t>性状（吸潮、软化）、鉴别、水分、溶化性、粒度、含量测定、微生物限度检查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片剂</w:t>
            </w:r>
          </w:p>
        </w:tc>
        <w:tc>
          <w:tcPr>
            <w:tcW w:w="6883" w:type="dxa"/>
          </w:tcPr>
          <w:p>
            <w:pPr>
              <w:ind w:firstLine="0" w:firstLineChars="0"/>
              <w:rPr>
                <w:color w:val="auto"/>
                <w:sz w:val="24"/>
                <w:szCs w:val="24"/>
              </w:rPr>
            </w:pPr>
            <w:r>
              <w:rPr>
                <w:color w:val="auto"/>
                <w:sz w:val="24"/>
                <w:szCs w:val="24"/>
              </w:rPr>
              <w:t>性状、鉴别、硬度、崩解时限、发泡量（阴道泡腾片）、含量测定、微生物限度检查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煎膏剂</w:t>
            </w:r>
          </w:p>
        </w:tc>
        <w:tc>
          <w:tcPr>
            <w:tcW w:w="6883" w:type="dxa"/>
          </w:tcPr>
          <w:p>
            <w:pPr>
              <w:ind w:firstLine="0" w:firstLineChars="0"/>
              <w:rPr>
                <w:color w:val="auto"/>
                <w:sz w:val="24"/>
                <w:szCs w:val="24"/>
              </w:rPr>
            </w:pPr>
            <w:r>
              <w:rPr>
                <w:color w:val="auto"/>
                <w:sz w:val="24"/>
                <w:szCs w:val="24"/>
              </w:rPr>
              <w:t>性状（反砂、分层）、鉴别、相对密度、不溶物、含量测定、微生物限度检查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胶剂</w:t>
            </w:r>
          </w:p>
        </w:tc>
        <w:tc>
          <w:tcPr>
            <w:tcW w:w="6883" w:type="dxa"/>
          </w:tcPr>
          <w:p>
            <w:pPr>
              <w:ind w:firstLine="0" w:firstLineChars="0"/>
              <w:rPr>
                <w:color w:val="auto"/>
                <w:sz w:val="24"/>
                <w:szCs w:val="24"/>
              </w:rPr>
            </w:pPr>
            <w:r>
              <w:rPr>
                <w:color w:val="auto"/>
                <w:sz w:val="24"/>
                <w:szCs w:val="24"/>
              </w:rPr>
              <w:t>性状、鉴别、水分、含量测定、微生物限度检查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糖浆剂</w:t>
            </w:r>
          </w:p>
        </w:tc>
        <w:tc>
          <w:tcPr>
            <w:tcW w:w="6883" w:type="dxa"/>
          </w:tcPr>
          <w:p>
            <w:pPr>
              <w:ind w:firstLine="0" w:firstLineChars="0"/>
              <w:rPr>
                <w:color w:val="auto"/>
                <w:sz w:val="24"/>
                <w:szCs w:val="24"/>
              </w:rPr>
            </w:pPr>
            <w:r>
              <w:rPr>
                <w:color w:val="auto"/>
                <w:sz w:val="24"/>
                <w:szCs w:val="24"/>
              </w:rPr>
              <w:t>性状、鉴别、相对密度、pH值、含量测定、微生物限度检查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贴膏剂</w:t>
            </w:r>
          </w:p>
        </w:tc>
        <w:tc>
          <w:tcPr>
            <w:tcW w:w="6883" w:type="dxa"/>
          </w:tcPr>
          <w:p>
            <w:pPr>
              <w:ind w:firstLine="0" w:firstLineChars="0"/>
              <w:rPr>
                <w:color w:val="auto"/>
                <w:sz w:val="24"/>
                <w:szCs w:val="24"/>
              </w:rPr>
            </w:pPr>
            <w:r>
              <w:rPr>
                <w:color w:val="auto"/>
                <w:sz w:val="24"/>
                <w:szCs w:val="24"/>
              </w:rPr>
              <w:t>性状、鉴别、含膏量、耐热性（橡胶膏剂）、赋形性（巴布膏剂）、黏附性、微生物限度检查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合剂</w:t>
            </w:r>
          </w:p>
        </w:tc>
        <w:tc>
          <w:tcPr>
            <w:tcW w:w="6883" w:type="dxa"/>
          </w:tcPr>
          <w:p>
            <w:pPr>
              <w:ind w:firstLine="0" w:firstLineChars="0"/>
              <w:rPr>
                <w:color w:val="auto"/>
                <w:sz w:val="24"/>
                <w:szCs w:val="24"/>
              </w:rPr>
            </w:pPr>
            <w:r>
              <w:rPr>
                <w:color w:val="auto"/>
                <w:sz w:val="24"/>
                <w:szCs w:val="24"/>
              </w:rPr>
              <w:t>性状（澄清度）、鉴别、相对密度、pH值、含量测定、微生物限度检查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滴丸剂</w:t>
            </w:r>
          </w:p>
        </w:tc>
        <w:tc>
          <w:tcPr>
            <w:tcW w:w="6883" w:type="dxa"/>
          </w:tcPr>
          <w:p>
            <w:pPr>
              <w:ind w:firstLine="0" w:firstLineChars="0"/>
              <w:rPr>
                <w:color w:val="auto"/>
                <w:sz w:val="24"/>
                <w:szCs w:val="24"/>
              </w:rPr>
            </w:pPr>
            <w:r>
              <w:rPr>
                <w:color w:val="auto"/>
                <w:sz w:val="24"/>
                <w:szCs w:val="24"/>
              </w:rPr>
              <w:t>性状、鉴别、溶散时限、含量测定、微生物限度检查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胶囊</w:t>
            </w:r>
          </w:p>
          <w:p>
            <w:pPr>
              <w:ind w:firstLine="0" w:firstLineChars="0"/>
              <w:jc w:val="center"/>
              <w:rPr>
                <w:color w:val="auto"/>
                <w:sz w:val="24"/>
                <w:szCs w:val="24"/>
              </w:rPr>
            </w:pPr>
            <w:r>
              <w:rPr>
                <w:color w:val="auto"/>
                <w:sz w:val="24"/>
                <w:szCs w:val="24"/>
              </w:rPr>
              <w:t>（软较囊）</w:t>
            </w:r>
          </w:p>
        </w:tc>
        <w:tc>
          <w:tcPr>
            <w:tcW w:w="6883" w:type="dxa"/>
          </w:tcPr>
          <w:p>
            <w:pPr>
              <w:ind w:firstLine="0" w:firstLineChars="0"/>
              <w:rPr>
                <w:color w:val="auto"/>
                <w:sz w:val="24"/>
                <w:szCs w:val="24"/>
              </w:rPr>
            </w:pPr>
            <w:r>
              <w:rPr>
                <w:color w:val="auto"/>
                <w:sz w:val="24"/>
                <w:szCs w:val="24"/>
              </w:rPr>
              <w:t>性状、鉴别、崩解时限、水分（软胶囊不考核）、含量测定、微生物限度检查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酒剂</w:t>
            </w:r>
          </w:p>
        </w:tc>
        <w:tc>
          <w:tcPr>
            <w:tcW w:w="6883" w:type="dxa"/>
          </w:tcPr>
          <w:p>
            <w:pPr>
              <w:ind w:firstLine="0" w:firstLineChars="0"/>
              <w:rPr>
                <w:color w:val="auto"/>
                <w:sz w:val="24"/>
                <w:szCs w:val="24"/>
              </w:rPr>
            </w:pPr>
            <w:r>
              <w:rPr>
                <w:color w:val="auto"/>
                <w:sz w:val="24"/>
                <w:szCs w:val="24"/>
              </w:rPr>
              <w:t>性状、鉴别、乙醇量、甲醇量检查、总固体、含量测定、微生物限度检查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酊剂</w:t>
            </w:r>
          </w:p>
        </w:tc>
        <w:tc>
          <w:tcPr>
            <w:tcW w:w="6883" w:type="dxa"/>
          </w:tcPr>
          <w:p>
            <w:pPr>
              <w:ind w:firstLine="0" w:firstLineChars="0"/>
              <w:rPr>
                <w:color w:val="auto"/>
                <w:sz w:val="24"/>
                <w:szCs w:val="24"/>
              </w:rPr>
            </w:pPr>
            <w:r>
              <w:rPr>
                <w:color w:val="auto"/>
                <w:sz w:val="24"/>
                <w:szCs w:val="24"/>
              </w:rPr>
              <w:t>性状、鉴别、乙醇量、含量测定、微生物限度检查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流浸膏</w:t>
            </w:r>
          </w:p>
        </w:tc>
        <w:tc>
          <w:tcPr>
            <w:tcW w:w="6883" w:type="dxa"/>
          </w:tcPr>
          <w:p>
            <w:pPr>
              <w:ind w:firstLine="0" w:firstLineChars="0"/>
              <w:rPr>
                <w:color w:val="auto"/>
                <w:sz w:val="24"/>
                <w:szCs w:val="24"/>
              </w:rPr>
            </w:pPr>
            <w:r>
              <w:rPr>
                <w:color w:val="auto"/>
                <w:sz w:val="24"/>
                <w:szCs w:val="24"/>
              </w:rPr>
              <w:t>性状、鉴别、乙醇量、含量测定、微生物限度检查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浸膏剂</w:t>
            </w:r>
          </w:p>
        </w:tc>
        <w:tc>
          <w:tcPr>
            <w:tcW w:w="6883" w:type="dxa"/>
          </w:tcPr>
          <w:p>
            <w:pPr>
              <w:ind w:firstLine="0" w:firstLineChars="0"/>
              <w:rPr>
                <w:color w:val="auto"/>
                <w:sz w:val="24"/>
                <w:szCs w:val="24"/>
              </w:rPr>
            </w:pPr>
            <w:r>
              <w:rPr>
                <w:color w:val="auto"/>
                <w:sz w:val="24"/>
                <w:szCs w:val="24"/>
              </w:rPr>
              <w:t>性状、鉴别、含量测定、微生物限度检查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膏药</w:t>
            </w:r>
          </w:p>
        </w:tc>
        <w:tc>
          <w:tcPr>
            <w:tcW w:w="6883" w:type="dxa"/>
          </w:tcPr>
          <w:p>
            <w:pPr>
              <w:ind w:firstLine="0" w:firstLineChars="0"/>
              <w:rPr>
                <w:color w:val="auto"/>
                <w:sz w:val="24"/>
                <w:szCs w:val="24"/>
              </w:rPr>
            </w:pPr>
            <w:r>
              <w:rPr>
                <w:color w:val="auto"/>
                <w:sz w:val="24"/>
                <w:szCs w:val="24"/>
              </w:rPr>
              <w:t>性状、鉴别、软化点、含量测定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凝胶剂</w:t>
            </w:r>
          </w:p>
        </w:tc>
        <w:tc>
          <w:tcPr>
            <w:tcW w:w="6883" w:type="dxa"/>
          </w:tcPr>
          <w:p>
            <w:pPr>
              <w:ind w:firstLine="0" w:firstLineChars="0"/>
              <w:rPr>
                <w:color w:val="auto"/>
                <w:sz w:val="24"/>
                <w:szCs w:val="24"/>
              </w:rPr>
            </w:pPr>
            <w:r>
              <w:rPr>
                <w:color w:val="auto"/>
                <w:sz w:val="24"/>
                <w:szCs w:val="24"/>
              </w:rPr>
              <w:t>性状、鉴别、pH值、粘度、含量测定、微生物限度检查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软膏剂</w:t>
            </w:r>
          </w:p>
        </w:tc>
        <w:tc>
          <w:tcPr>
            <w:tcW w:w="6883" w:type="dxa"/>
          </w:tcPr>
          <w:p>
            <w:pPr>
              <w:ind w:firstLine="0" w:firstLineChars="0"/>
              <w:rPr>
                <w:color w:val="auto"/>
                <w:sz w:val="24"/>
                <w:szCs w:val="24"/>
              </w:rPr>
            </w:pPr>
            <w:r>
              <w:rPr>
                <w:color w:val="auto"/>
                <w:sz w:val="24"/>
                <w:szCs w:val="24"/>
              </w:rPr>
              <w:t>性状（酸败、异臭、变色、分层、涂展性）、鉴别、粒度、含量测定、无菌（用于烧伤或严重创伤）、微生物限度检查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露剂</w:t>
            </w:r>
          </w:p>
        </w:tc>
        <w:tc>
          <w:tcPr>
            <w:tcW w:w="6883" w:type="dxa"/>
          </w:tcPr>
          <w:p>
            <w:pPr>
              <w:ind w:firstLine="0" w:firstLineChars="0"/>
              <w:rPr>
                <w:color w:val="auto"/>
                <w:sz w:val="24"/>
                <w:szCs w:val="24"/>
              </w:rPr>
            </w:pPr>
            <w:r>
              <w:rPr>
                <w:color w:val="auto"/>
                <w:sz w:val="24"/>
                <w:szCs w:val="24"/>
              </w:rPr>
              <w:t>性状、鉴别、pH值、含量测定、微生物限度检查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茶剂</w:t>
            </w:r>
          </w:p>
        </w:tc>
        <w:tc>
          <w:tcPr>
            <w:tcW w:w="6883" w:type="dxa"/>
          </w:tcPr>
          <w:p>
            <w:pPr>
              <w:ind w:firstLine="0" w:firstLineChars="0"/>
              <w:rPr>
                <w:color w:val="auto"/>
                <w:sz w:val="24"/>
                <w:szCs w:val="24"/>
              </w:rPr>
            </w:pPr>
            <w:r>
              <w:rPr>
                <w:color w:val="auto"/>
                <w:sz w:val="24"/>
                <w:szCs w:val="24"/>
              </w:rPr>
              <w:t>性状、鉴别、水分、溶化性（含糖块状茶剂）、含量测定、微生物限度检查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搽剂、洗剂、涂膜剂</w:t>
            </w:r>
          </w:p>
        </w:tc>
        <w:tc>
          <w:tcPr>
            <w:tcW w:w="6883" w:type="dxa"/>
          </w:tcPr>
          <w:p>
            <w:pPr>
              <w:ind w:firstLine="0" w:firstLineChars="0"/>
              <w:rPr>
                <w:color w:val="auto"/>
                <w:sz w:val="24"/>
                <w:szCs w:val="24"/>
              </w:rPr>
            </w:pPr>
            <w:r>
              <w:rPr>
                <w:color w:val="auto"/>
                <w:sz w:val="24"/>
                <w:szCs w:val="24"/>
              </w:rPr>
              <w:t>性状、鉴别、相对密度（以水或稀乙醇为溶剂）、pH值、乙醇量（以乙醇为溶剂）、折光率（以油为溶剂）、微生物限度检查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栓剂</w:t>
            </w:r>
          </w:p>
        </w:tc>
        <w:tc>
          <w:tcPr>
            <w:tcW w:w="6883" w:type="dxa"/>
          </w:tcPr>
          <w:p>
            <w:pPr>
              <w:ind w:firstLine="0" w:firstLineChars="0"/>
              <w:rPr>
                <w:color w:val="auto"/>
                <w:sz w:val="24"/>
                <w:szCs w:val="24"/>
              </w:rPr>
            </w:pPr>
            <w:r>
              <w:rPr>
                <w:color w:val="auto"/>
                <w:sz w:val="24"/>
                <w:szCs w:val="24"/>
              </w:rPr>
              <w:t>性状、鉴别、融变时限、含量测定、微生物限度检查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鼻用制剂</w:t>
            </w:r>
          </w:p>
        </w:tc>
        <w:tc>
          <w:tcPr>
            <w:tcW w:w="6883" w:type="dxa"/>
          </w:tcPr>
          <w:p>
            <w:pPr>
              <w:ind w:firstLine="0" w:firstLineChars="0"/>
              <w:rPr>
                <w:color w:val="auto"/>
                <w:sz w:val="24"/>
                <w:szCs w:val="24"/>
              </w:rPr>
            </w:pPr>
            <w:r>
              <w:rPr>
                <w:color w:val="auto"/>
                <w:sz w:val="24"/>
                <w:szCs w:val="24"/>
              </w:rPr>
              <w:t>性状、鉴别、pH值（鼻用液体制剂）、含量测定、无菌（用于严重创伤）、微生物限度检查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眼用制剂</w:t>
            </w:r>
          </w:p>
        </w:tc>
        <w:tc>
          <w:tcPr>
            <w:tcW w:w="6883" w:type="dxa"/>
          </w:tcPr>
          <w:p>
            <w:pPr>
              <w:ind w:firstLine="0" w:firstLineChars="0"/>
              <w:rPr>
                <w:color w:val="auto"/>
                <w:sz w:val="24"/>
                <w:szCs w:val="24"/>
              </w:rPr>
            </w:pPr>
            <w:r>
              <w:rPr>
                <w:color w:val="auto"/>
                <w:sz w:val="24"/>
                <w:szCs w:val="24"/>
              </w:rPr>
              <w:t>性状、鉴别、pH值（滴眼剂）、可见异物、粒度（混悬型）、金属性异物（半固体制剂）、无菌（用于伤口）、微生物限度检查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气雾剂</w:t>
            </w:r>
          </w:p>
        </w:tc>
        <w:tc>
          <w:tcPr>
            <w:tcW w:w="6883" w:type="dxa"/>
          </w:tcPr>
          <w:p>
            <w:pPr>
              <w:ind w:firstLine="0" w:firstLineChars="0"/>
              <w:rPr>
                <w:color w:val="auto"/>
                <w:sz w:val="24"/>
                <w:szCs w:val="24"/>
              </w:rPr>
            </w:pPr>
            <w:r>
              <w:rPr>
                <w:color w:val="auto"/>
                <w:sz w:val="24"/>
                <w:szCs w:val="24"/>
              </w:rPr>
              <w:t>性状、鉴别、喷射速率和喷出总量检查（非定量阀门）、每瓶总揿次、每揿喷量或每揿主药含量检查（定量阀门）、粒度（吸入用混悬型）、无菌（用于烧伤或严重创伤）、微生物限度检查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ind w:firstLine="0" w:firstLineChars="0"/>
              <w:jc w:val="center"/>
              <w:rPr>
                <w:color w:val="auto"/>
                <w:sz w:val="24"/>
                <w:szCs w:val="24"/>
              </w:rPr>
            </w:pPr>
            <w:r>
              <w:rPr>
                <w:color w:val="auto"/>
                <w:sz w:val="24"/>
                <w:szCs w:val="24"/>
              </w:rPr>
              <w:t>喷雾剂</w:t>
            </w:r>
          </w:p>
        </w:tc>
        <w:tc>
          <w:tcPr>
            <w:tcW w:w="6883" w:type="dxa"/>
          </w:tcPr>
          <w:p>
            <w:pPr>
              <w:ind w:firstLine="0" w:firstLineChars="0"/>
              <w:rPr>
                <w:color w:val="auto"/>
                <w:sz w:val="24"/>
                <w:szCs w:val="24"/>
              </w:rPr>
            </w:pPr>
            <w:r>
              <w:rPr>
                <w:color w:val="auto"/>
                <w:sz w:val="24"/>
                <w:szCs w:val="24"/>
              </w:rPr>
              <w:t>性状（沉淀物、分层）、鉴别、粒度（吸入用混悬型）、喷射试验、含量测定、无菌（用于烧伤或严重创伤）、微生物限度检查</w:t>
            </w:r>
          </w:p>
        </w:tc>
      </w:tr>
    </w:tbl>
    <w:p>
      <w:pPr>
        <w:rPr>
          <w:color w:val="auto"/>
        </w:rPr>
      </w:pPr>
      <w:r>
        <w:rPr>
          <w:color w:val="auto"/>
        </w:rPr>
        <w:t>五、稳定性试验结果评价</w:t>
      </w:r>
    </w:p>
    <w:p>
      <w:pPr>
        <w:rPr>
          <w:color w:val="auto"/>
        </w:rPr>
      </w:pPr>
      <w:r>
        <w:rPr>
          <w:color w:val="auto"/>
        </w:rPr>
        <w:t>将考察结果与0月比较以确定药品的有效</w:t>
      </w:r>
      <w:r>
        <w:rPr>
          <w:rFonts w:hint="eastAsia"/>
          <w:color w:val="auto"/>
        </w:rPr>
        <w:t>期</w:t>
      </w:r>
      <w:r>
        <w:rPr>
          <w:color w:val="auto"/>
        </w:rPr>
        <w:t>。如三批统计结果差别较小，则取其平均值为有效期限。若差别较大，则取其最短的为有效期。数据表明很稳定的药品，不做统计分析。</w:t>
      </w:r>
    </w:p>
    <w:p>
      <w:pPr>
        <w:rPr>
          <w:color w:val="auto"/>
        </w:rPr>
      </w:pPr>
      <w:r>
        <w:rPr>
          <w:color w:val="auto"/>
        </w:rPr>
        <w:t>一般情况下，有效期的确定以长期试验的结果为依据，取长期试验中与0月数据相比无明显改变的最长时间点为有效期，最长时间一般不超过5年。</w:t>
      </w:r>
    </w:p>
    <w:p>
      <w:pPr>
        <w:rPr>
          <w:color w:val="auto"/>
        </w:rPr>
      </w:pPr>
      <w:r>
        <w:rPr>
          <w:color w:val="auto"/>
        </w:rPr>
        <w:t>六、稳定性试验报告的内容</w:t>
      </w:r>
    </w:p>
    <w:p>
      <w:pPr>
        <w:rPr>
          <w:color w:val="auto"/>
        </w:rPr>
      </w:pPr>
      <w:r>
        <w:rPr>
          <w:color w:val="auto"/>
        </w:rPr>
        <w:t>稳定性试验报告的内容通常应包括以下内容：</w:t>
      </w:r>
    </w:p>
    <w:p>
      <w:pPr>
        <w:rPr>
          <w:color w:val="auto"/>
        </w:rPr>
      </w:pPr>
      <w:r>
        <w:rPr>
          <w:color w:val="auto"/>
        </w:rPr>
        <w:t>（一）供试品的品名、规格、剂型、批号、批产量、配制单位、配制日期和每个考察时间点的日期。</w:t>
      </w:r>
    </w:p>
    <w:p>
      <w:pPr>
        <w:rPr>
          <w:color w:val="auto"/>
        </w:rPr>
      </w:pPr>
      <w:r>
        <w:rPr>
          <w:color w:val="auto"/>
        </w:rPr>
        <w:t>（二）稳定性试验的条件，如温度、相对湿度、容器等。应明确包装/密封系统的性状，如包材类型、形状和颜色等。</w:t>
      </w:r>
    </w:p>
    <w:p>
      <w:pPr>
        <w:rPr>
          <w:color w:val="auto"/>
        </w:rPr>
      </w:pPr>
      <w:r>
        <w:rPr>
          <w:color w:val="auto"/>
        </w:rPr>
        <w:t>（三）稳定性研究中各考察项目的检测方法和指标的限度要求。</w:t>
      </w:r>
    </w:p>
    <w:p>
      <w:pPr>
        <w:rPr>
          <w:color w:val="auto"/>
        </w:rPr>
      </w:pPr>
      <w:r>
        <w:rPr>
          <w:color w:val="auto"/>
        </w:rPr>
        <w:t>（四）在试验起始和试验中间的各个取样点获得的实际分析数据，一般应以表格方式提交</w:t>
      </w:r>
      <w:r>
        <w:rPr>
          <w:rFonts w:hint="eastAsia"/>
          <w:color w:val="auto"/>
        </w:rPr>
        <w:t>。</w:t>
      </w:r>
      <w:r>
        <w:rPr>
          <w:color w:val="auto"/>
        </w:rPr>
        <w:t>相应的图谱和照片</w:t>
      </w:r>
      <w:r>
        <w:rPr>
          <w:rFonts w:hint="eastAsia"/>
          <w:color w:val="auto"/>
        </w:rPr>
        <w:t>应长期保存备查</w:t>
      </w:r>
      <w:r>
        <w:rPr>
          <w:color w:val="auto"/>
        </w:rPr>
        <w:t>。</w:t>
      </w:r>
    </w:p>
    <w:p>
      <w:pPr>
        <w:rPr>
          <w:color w:val="auto"/>
        </w:rPr>
      </w:pPr>
      <w:r>
        <w:rPr>
          <w:color w:val="auto"/>
        </w:rPr>
        <w:t>（五）检测结果应如实标明数据，不宜采用“符合要求”等表述。</w:t>
      </w:r>
    </w:p>
    <w:p>
      <w:pPr>
        <w:rPr>
          <w:color w:val="auto"/>
        </w:rPr>
      </w:pPr>
      <w:r>
        <w:rPr>
          <w:color w:val="auto"/>
        </w:rPr>
        <w:t>（六）应对试验结果进行分析评价，做出结论。</w:t>
      </w:r>
    </w:p>
    <w:p>
      <w:pPr>
        <w:rPr>
          <w:color w:val="auto"/>
        </w:rPr>
        <w:sectPr>
          <w:pgSz w:w="11906" w:h="16838"/>
          <w:pgMar w:top="1440" w:right="1800" w:bottom="1440" w:left="1800" w:header="851" w:footer="992" w:gutter="0"/>
          <w:cols w:space="425" w:num="1"/>
          <w:docGrid w:type="lines" w:linePitch="312" w:charSpace="0"/>
        </w:sectPr>
      </w:pPr>
    </w:p>
    <w:p>
      <w:pPr>
        <w:pStyle w:val="2"/>
        <w:rPr>
          <w:color w:val="auto"/>
        </w:rPr>
      </w:pPr>
      <w:bookmarkStart w:id="20" w:name="_Toc18457"/>
      <w:bookmarkStart w:id="21" w:name="_Toc7489"/>
      <w:bookmarkStart w:id="22" w:name="_Toc133164600"/>
      <w:r>
        <w:rPr>
          <w:rFonts w:hint="eastAsia"/>
          <w:color w:val="auto"/>
        </w:rPr>
        <w:t>制剂质量标准编写细则</w:t>
      </w:r>
      <w:bookmarkEnd w:id="20"/>
      <w:bookmarkEnd w:id="21"/>
      <w:bookmarkEnd w:id="22"/>
    </w:p>
    <w:p>
      <w:pPr>
        <w:ind w:firstLine="638" w:firstLineChars="228"/>
        <w:rPr>
          <w:color w:val="auto"/>
        </w:rPr>
      </w:pPr>
      <w:r>
        <w:rPr>
          <w:rFonts w:hint="eastAsia"/>
          <w:color w:val="auto"/>
        </w:rPr>
        <w:t>中药制剂质量标准正文的编写体例参考现行版《中国药典》一部，按药品名称、处方、制法、性状、鉴别、检查、浸出物、指纹图谱、含量测定、功能与主治、用法与用量、注意、规格、贮藏等项顺序编写。</w:t>
      </w:r>
    </w:p>
    <w:p>
      <w:pPr>
        <w:ind w:firstLine="638" w:firstLineChars="228"/>
        <w:rPr>
          <w:color w:val="auto"/>
        </w:rPr>
      </w:pPr>
      <w:r>
        <w:rPr>
          <w:rFonts w:hint="eastAsia"/>
          <w:color w:val="auto"/>
        </w:rPr>
        <w:t>标准正文中所用术语及符号的含义和计量单位应符合现行版《中国药典》凡例的规定。所使用的试剂、试药、试液、指示剂等均应符合现行版《中国药典》的有关规定，若现行版《中国药典》没有收载的，应在标准正文中以加注括号内容的方式列出。</w:t>
      </w:r>
    </w:p>
    <w:p>
      <w:pPr>
        <w:ind w:firstLine="638" w:firstLineChars="228"/>
        <w:rPr>
          <w:color w:val="auto"/>
        </w:rPr>
      </w:pPr>
      <w:r>
        <w:rPr>
          <w:rFonts w:hint="eastAsia"/>
          <w:color w:val="auto"/>
        </w:rPr>
        <w:t>除药品名称外，各项目名称加括黑鱼尾号“【】”。</w:t>
      </w:r>
    </w:p>
    <w:p>
      <w:pPr>
        <w:ind w:firstLine="638" w:firstLineChars="228"/>
        <w:rPr>
          <w:color w:val="auto"/>
        </w:rPr>
      </w:pPr>
      <w:r>
        <w:rPr>
          <w:rFonts w:hint="eastAsia"/>
          <w:color w:val="auto"/>
        </w:rPr>
        <w:t>标准中的物理量量值使用阿拉伯数字；计量单位使用法定计量单位。表示数值的范围时，使用波浪式连接号“</w:t>
      </w:r>
      <w:r>
        <w:rPr>
          <w:rFonts w:ascii="Times New Roman" w:hAnsi="Times New Roman" w:cs="Times New Roman"/>
          <w:color w:val="auto"/>
        </w:rPr>
        <w:t>~</w:t>
      </w:r>
      <w:r>
        <w:rPr>
          <w:rFonts w:hint="eastAsia"/>
          <w:color w:val="auto"/>
        </w:rPr>
        <w:t>”。</w:t>
      </w:r>
    </w:p>
    <w:p>
      <w:pPr>
        <w:ind w:firstLine="638" w:firstLineChars="228"/>
        <w:rPr>
          <w:color w:val="auto"/>
        </w:rPr>
      </w:pPr>
      <w:r>
        <w:rPr>
          <w:rFonts w:hint="eastAsia"/>
          <w:color w:val="auto"/>
        </w:rPr>
        <w:t>1制剂名称</w:t>
      </w:r>
    </w:p>
    <w:p>
      <w:pPr>
        <w:ind w:firstLine="638" w:firstLineChars="228"/>
        <w:rPr>
          <w:color w:val="auto"/>
        </w:rPr>
      </w:pPr>
      <w:r>
        <w:rPr>
          <w:rFonts w:hint="eastAsia"/>
          <w:color w:val="auto"/>
        </w:rPr>
        <w:t>制剂名称应与“制剂名称及命名依据”中拟定名称一致，名称下方标注汉语拼音，民族药制剂可在汉语拼音下方标注民族语注音，其后括号内注明民族文。</w:t>
      </w:r>
    </w:p>
    <w:p>
      <w:pPr>
        <w:ind w:firstLine="638" w:firstLineChars="228"/>
        <w:rPr>
          <w:color w:val="auto"/>
        </w:rPr>
      </w:pPr>
      <w:r>
        <w:rPr>
          <w:rFonts w:hint="eastAsia"/>
          <w:color w:val="auto"/>
        </w:rPr>
        <w:t>2处方</w:t>
      </w:r>
    </w:p>
    <w:p>
      <w:pPr>
        <w:ind w:firstLine="638" w:firstLineChars="228"/>
        <w:rPr>
          <w:color w:val="auto"/>
        </w:rPr>
      </w:pPr>
      <w:r>
        <w:rPr>
          <w:rFonts w:hint="eastAsia"/>
          <w:color w:val="auto"/>
        </w:rPr>
        <w:t>处方项内容包括全部组方药味的名称及用量。单味药制剂也应列处方项。</w:t>
      </w:r>
    </w:p>
    <w:p>
      <w:pPr>
        <w:ind w:firstLine="638" w:firstLineChars="228"/>
        <w:rPr>
          <w:color w:val="auto"/>
        </w:rPr>
      </w:pPr>
      <w:r>
        <w:rPr>
          <w:rFonts w:hint="eastAsia"/>
          <w:color w:val="auto"/>
        </w:rPr>
        <w:t>2.1药味名称</w:t>
      </w:r>
    </w:p>
    <w:p>
      <w:pPr>
        <w:ind w:firstLine="638" w:firstLineChars="228"/>
        <w:rPr>
          <w:color w:val="auto"/>
        </w:rPr>
      </w:pPr>
      <w:r>
        <w:rPr>
          <w:rFonts w:hint="eastAsia"/>
          <w:color w:val="auto"/>
        </w:rPr>
        <w:t>2.1.1一般情况下，药味（中药饮片、提取物等）名称均应使用药材法定标准中的名称。</w:t>
      </w:r>
    </w:p>
    <w:p>
      <w:pPr>
        <w:ind w:firstLine="638" w:firstLineChars="228"/>
        <w:rPr>
          <w:color w:val="auto"/>
        </w:rPr>
      </w:pPr>
      <w:r>
        <w:rPr>
          <w:rFonts w:hint="eastAsia"/>
          <w:color w:val="auto"/>
        </w:rPr>
        <w:t>2.1.2仅经过净选、切制加工处理的中药饮片，其名称同药材名称，不必注明炮制方法。如：经过净制的黄连写成“黄连”即可；“肉桂（去粗皮）”应写成“肉桂”。</w:t>
      </w:r>
    </w:p>
    <w:p>
      <w:pPr>
        <w:ind w:firstLine="638" w:firstLineChars="228"/>
        <w:rPr>
          <w:color w:val="auto"/>
        </w:rPr>
      </w:pPr>
      <w:r>
        <w:rPr>
          <w:rFonts w:hint="eastAsia"/>
          <w:color w:val="auto"/>
        </w:rPr>
        <w:t>2.1.3单列标准的药材炮制品应使用法定标准中的名称。如：炙甘草、炙黄芪。</w:t>
      </w:r>
    </w:p>
    <w:p>
      <w:pPr>
        <w:ind w:firstLine="638" w:firstLineChars="228"/>
        <w:rPr>
          <w:color w:val="auto"/>
        </w:rPr>
      </w:pPr>
      <w:r>
        <w:rPr>
          <w:rFonts w:hint="eastAsia"/>
          <w:color w:val="auto"/>
        </w:rPr>
        <w:t>2.1.4对于药材炮制品标准中收载的炮制品规格，应使用炮制品名称，在其后的括号内注明炮制品规格名称。如：附子的几种炮制品规格的名称应分别写成“附子（黑顺片）”、“附子（白附片）”、“附子（淡附片）”和“附子（炮附片）”，不宜笼统写成“附子（制）”。</w:t>
      </w:r>
    </w:p>
    <w:p>
      <w:pPr>
        <w:ind w:firstLine="638" w:firstLineChars="228"/>
        <w:rPr>
          <w:color w:val="auto"/>
        </w:rPr>
      </w:pPr>
      <w:r>
        <w:rPr>
          <w:rFonts w:hint="eastAsia"/>
          <w:color w:val="auto"/>
        </w:rPr>
        <w:t>2.1.5对药材标准中列有标准的炮制品，应使用炮制品名称。如:酒当归，煅牡蛎，地榆炭，阿胶珠，姜半夏，法半夏。如果同一炮制品并存多种炮炙方法，必要时应在炮制品名称之后注明所用的炮炙方法。例如:酒女贞子的炮炙方法包括酒炖和酒蒸两种，必要时应注明其炮炙方法为“酒炖”或“酒蒸”，写成：“酒女贞子（酒炖）”或“酒女贞子（酒蒸）”。</w:t>
      </w:r>
    </w:p>
    <w:p>
      <w:pPr>
        <w:ind w:firstLine="638" w:firstLineChars="228"/>
        <w:rPr>
          <w:color w:val="auto"/>
        </w:rPr>
      </w:pPr>
      <w:r>
        <w:rPr>
          <w:rFonts w:hint="eastAsia"/>
          <w:color w:val="auto"/>
        </w:rPr>
        <w:t>2.1.6对于药材标准中未收载的炮制品规格，应采用药材标准中的药材名称，在名称之后加注炮炙方法。如：川牛膝（酒蒸），荆芥（醋炙），栀子（姜灸）；“抱龙丸”中的香附“（四制）”。具体的炮炙方法均应在制剂标准正文之后的“注”项中写明。</w:t>
      </w:r>
    </w:p>
    <w:p>
      <w:pPr>
        <w:ind w:firstLine="638" w:firstLineChars="228"/>
        <w:rPr>
          <w:color w:val="auto"/>
        </w:rPr>
      </w:pPr>
      <w:r>
        <w:rPr>
          <w:rFonts w:hint="eastAsia"/>
          <w:color w:val="auto"/>
        </w:rPr>
        <w:t>2.1.7对于某些毒性较大且必须生用的中药饮片，应在其名称前冠以“生”字。如:生川乌，生天南星，生半夏，生马钱子。</w:t>
      </w:r>
    </w:p>
    <w:p>
      <w:pPr>
        <w:ind w:firstLine="638" w:firstLineChars="228"/>
        <w:rPr>
          <w:color w:val="auto"/>
        </w:rPr>
      </w:pPr>
      <w:r>
        <w:rPr>
          <w:rFonts w:hint="eastAsia"/>
          <w:color w:val="auto"/>
        </w:rPr>
        <w:t>2.1.8使用药材鲜品时，需在药味名称前加“鲜”字。如：鲜益母草，鲜鱼腥草，鲜地黄。</w:t>
      </w:r>
    </w:p>
    <w:p>
      <w:pPr>
        <w:ind w:firstLine="638" w:firstLineChars="228"/>
        <w:rPr>
          <w:color w:val="auto"/>
        </w:rPr>
      </w:pPr>
      <w:r>
        <w:rPr>
          <w:rFonts w:hint="eastAsia"/>
          <w:color w:val="auto"/>
        </w:rPr>
        <w:t>2.1.9当药材标准中植物来源并存多种、而制剂中对此药材的植物来源有所限制时，药味名称仍使用法定标准中的名称，但其植物来源需在标准正文后注明。如:“小儿宣肺止咳颗粒”的处方药味“葶苈子”为“南葶苈子”、“芥子”为药材标准中的“白芥子”，故在标准正文之后加注了南葶苈子和白芥子的植物来源。</w:t>
      </w:r>
    </w:p>
    <w:p>
      <w:pPr>
        <w:ind w:firstLine="638" w:firstLineChars="228"/>
        <w:rPr>
          <w:color w:val="auto"/>
        </w:rPr>
      </w:pPr>
      <w:r>
        <w:rPr>
          <w:rFonts w:hint="eastAsia"/>
          <w:color w:val="auto"/>
        </w:rPr>
        <w:t>2.1.10处方药味为无法定标准的中药提取物时，应在制剂标准正文后附上其特定的标准。如果此提取物无特定标准，则须在制剂标准正文后注明其制备方法。</w:t>
      </w:r>
    </w:p>
    <w:p>
      <w:pPr>
        <w:ind w:firstLine="638" w:firstLineChars="228"/>
        <w:rPr>
          <w:color w:val="auto"/>
        </w:rPr>
      </w:pPr>
      <w:r>
        <w:rPr>
          <w:rFonts w:hint="eastAsia"/>
          <w:color w:val="auto"/>
        </w:rPr>
        <w:t>2.2药味排序</w:t>
      </w:r>
    </w:p>
    <w:p>
      <w:pPr>
        <w:ind w:firstLine="638" w:firstLineChars="228"/>
        <w:rPr>
          <w:color w:val="auto"/>
        </w:rPr>
      </w:pPr>
      <w:r>
        <w:rPr>
          <w:rFonts w:hint="eastAsia"/>
          <w:color w:val="auto"/>
        </w:rPr>
        <w:t>2.2.1一般情况下，中药药味按中医理论的“君臣佐使"顺序排列。</w:t>
      </w:r>
    </w:p>
    <w:p>
      <w:pPr>
        <w:ind w:firstLine="638" w:firstLineChars="228"/>
        <w:rPr>
          <w:color w:val="auto"/>
        </w:rPr>
      </w:pPr>
      <w:r>
        <w:rPr>
          <w:rFonts w:hint="eastAsia"/>
          <w:color w:val="auto"/>
        </w:rPr>
        <w:t>2.2.2天然药复方制剂可按药味作用的主次顺序排列。</w:t>
      </w:r>
    </w:p>
    <w:p>
      <w:pPr>
        <w:ind w:firstLine="638" w:firstLineChars="228"/>
        <w:rPr>
          <w:color w:val="auto"/>
        </w:rPr>
      </w:pPr>
      <w:r>
        <w:rPr>
          <w:rFonts w:hint="eastAsia"/>
          <w:color w:val="auto"/>
        </w:rPr>
        <w:t>2.3处方量</w:t>
      </w:r>
    </w:p>
    <w:p>
      <w:pPr>
        <w:ind w:firstLine="638" w:firstLineChars="228"/>
        <w:rPr>
          <w:color w:val="auto"/>
        </w:rPr>
      </w:pPr>
      <w:r>
        <w:rPr>
          <w:rFonts w:hint="eastAsia"/>
          <w:color w:val="auto"/>
        </w:rPr>
        <w:t>2.3.1各药味处方量应与成品制成量相对应，通常按1000个制剂单位（g、ml、粒、片等）的成品制成量来进行折算。</w:t>
      </w:r>
    </w:p>
    <w:p>
      <w:pPr>
        <w:ind w:firstLine="638" w:firstLineChars="228"/>
        <w:rPr>
          <w:color w:val="auto"/>
        </w:rPr>
      </w:pPr>
      <w:r>
        <w:rPr>
          <w:rFonts w:hint="eastAsia"/>
          <w:color w:val="auto"/>
        </w:rPr>
        <w:t>2.3.2一般情况下，药味的处方量采用整数（必要时可保留一位小数），贵重药和细料药的处方量可保留两位小数。</w:t>
      </w:r>
    </w:p>
    <w:p>
      <w:pPr>
        <w:ind w:firstLine="638" w:firstLineChars="228"/>
        <w:rPr>
          <w:color w:val="auto"/>
        </w:rPr>
      </w:pPr>
      <w:r>
        <w:rPr>
          <w:rFonts w:hint="eastAsia"/>
          <w:color w:val="auto"/>
        </w:rPr>
        <w:t>2.3.3处方量使用法定计量单位，重量以“g”为单位，体积以“ml”为单位。</w:t>
      </w:r>
    </w:p>
    <w:p>
      <w:pPr>
        <w:ind w:firstLine="638" w:firstLineChars="228"/>
        <w:rPr>
          <w:color w:val="auto"/>
        </w:rPr>
      </w:pPr>
      <w:r>
        <w:rPr>
          <w:rFonts w:hint="eastAsia"/>
          <w:color w:val="auto"/>
        </w:rPr>
        <w:t>2.4药引</w:t>
      </w:r>
    </w:p>
    <w:p>
      <w:pPr>
        <w:ind w:firstLine="638" w:firstLineChars="228"/>
        <w:rPr>
          <w:color w:val="auto"/>
        </w:rPr>
      </w:pPr>
      <w:r>
        <w:rPr>
          <w:rFonts w:hint="eastAsia"/>
          <w:color w:val="auto"/>
        </w:rPr>
        <w:t>药引应作为药味列入处方项。</w:t>
      </w:r>
    </w:p>
    <w:p>
      <w:pPr>
        <w:ind w:firstLine="638" w:firstLineChars="228"/>
        <w:rPr>
          <w:color w:val="auto"/>
        </w:rPr>
      </w:pPr>
      <w:r>
        <w:rPr>
          <w:rFonts w:hint="eastAsia"/>
          <w:color w:val="auto"/>
        </w:rPr>
        <w:t>3制法</w:t>
      </w:r>
    </w:p>
    <w:p>
      <w:pPr>
        <w:ind w:firstLine="638" w:firstLineChars="228"/>
        <w:rPr>
          <w:color w:val="auto"/>
        </w:rPr>
      </w:pPr>
      <w:r>
        <w:rPr>
          <w:rFonts w:hint="eastAsia"/>
          <w:color w:val="auto"/>
        </w:rPr>
        <w:t>制法项应如实概括药品规模化生产的关键工艺过程和参数；要求文字简明扼要，符合生产实际。</w:t>
      </w:r>
    </w:p>
    <w:p>
      <w:pPr>
        <w:ind w:firstLine="638" w:firstLineChars="228"/>
        <w:rPr>
          <w:color w:val="auto"/>
        </w:rPr>
      </w:pPr>
      <w:r>
        <w:rPr>
          <w:rFonts w:hint="eastAsia"/>
          <w:color w:val="auto"/>
        </w:rPr>
        <w:t>3.1书写要求</w:t>
      </w:r>
    </w:p>
    <w:p>
      <w:pPr>
        <w:ind w:firstLine="638" w:firstLineChars="228"/>
        <w:rPr>
          <w:color w:val="auto"/>
        </w:rPr>
      </w:pPr>
      <w:r>
        <w:rPr>
          <w:rFonts w:hint="eastAsia"/>
          <w:color w:val="auto"/>
        </w:rPr>
        <w:t>3.1.1制法项的书写内容包括；药味数目，药味的处理方法及提取、分离、浓缩、干燥等步骤及必要的条件。标明提取温度、溶媒种类、提取时间、次数；醇沉的乙醇浓度及醇沉前浸膏的相对密度、固液分离方式；浓缩（干燥）的方式和温度；粉碎工艺应注明粉末的细度；成型工艺标明采用的制备方法；辅料名称及用量（范围）；各种剂型均应标明制成总量，一般按1000个制剂单位书写。</w:t>
      </w:r>
    </w:p>
    <w:p>
      <w:pPr>
        <w:ind w:firstLine="638" w:firstLineChars="228"/>
        <w:rPr>
          <w:color w:val="auto"/>
        </w:rPr>
      </w:pPr>
      <w:r>
        <w:rPr>
          <w:rFonts w:hint="eastAsia"/>
          <w:color w:val="auto"/>
        </w:rPr>
        <w:t>3.1.2药味粉末的粗细程度用《中国药典》凡例中粉末分等的术语来表述。如：粗粉，中粉，细粉，极细粉等。</w:t>
      </w:r>
    </w:p>
    <w:p>
      <w:pPr>
        <w:ind w:firstLine="638" w:firstLineChars="228"/>
        <w:rPr>
          <w:color w:val="auto"/>
        </w:rPr>
      </w:pPr>
      <w:r>
        <w:rPr>
          <w:rFonts w:hint="eastAsia"/>
          <w:color w:val="auto"/>
        </w:rPr>
        <w:t>凡用药筛筛号或筛网目数来表述粉末粗细程度的，应参照凡例中粉末分等与药筛筛号、筛网目数的对应关系，进行规范书写。</w:t>
      </w:r>
    </w:p>
    <w:p>
      <w:pPr>
        <w:ind w:firstLine="638" w:firstLineChars="228"/>
        <w:rPr>
          <w:color w:val="auto"/>
        </w:rPr>
      </w:pPr>
      <w:r>
        <w:rPr>
          <w:rFonts w:hint="eastAsia"/>
          <w:color w:val="auto"/>
        </w:rPr>
        <w:t>3.1.3采用渗漉提取方法时，应写明所用溶剂的名称及用量或渗漉液的收集量。</w:t>
      </w:r>
    </w:p>
    <w:p>
      <w:pPr>
        <w:ind w:firstLine="638" w:firstLineChars="228"/>
        <w:rPr>
          <w:color w:val="auto"/>
        </w:rPr>
      </w:pPr>
      <w:r>
        <w:rPr>
          <w:rFonts w:hint="eastAsia"/>
          <w:color w:val="auto"/>
        </w:rPr>
        <w:t>3.1.4用乙醇作提取溶剂时，应写明乙醇的浓度。</w:t>
      </w:r>
    </w:p>
    <w:p>
      <w:pPr>
        <w:ind w:firstLine="638" w:firstLineChars="228"/>
        <w:rPr>
          <w:color w:val="auto"/>
        </w:rPr>
      </w:pPr>
      <w:r>
        <w:rPr>
          <w:rFonts w:hint="eastAsia"/>
          <w:color w:val="auto"/>
        </w:rPr>
        <w:t>3.1.5采用水提醇沉工艺时，应写明醇沉前浓缩药液的相对密度及测定温度、醇沉时药液中的乙醇含量、醇沉时间等关键参数。</w:t>
      </w:r>
    </w:p>
    <w:p>
      <w:pPr>
        <w:ind w:firstLine="638" w:firstLineChars="228"/>
        <w:rPr>
          <w:color w:val="auto"/>
        </w:rPr>
      </w:pPr>
      <w:r>
        <w:rPr>
          <w:rFonts w:hint="eastAsia"/>
          <w:color w:val="auto"/>
        </w:rPr>
        <w:t>3.1.6用树脂柱进行纯化处理的工艺，应写明所用树脂的骨架类型。</w:t>
      </w:r>
    </w:p>
    <w:p>
      <w:pPr>
        <w:ind w:firstLine="638" w:firstLineChars="228"/>
        <w:rPr>
          <w:color w:val="auto"/>
        </w:rPr>
      </w:pPr>
      <w:r>
        <w:rPr>
          <w:rFonts w:hint="eastAsia"/>
          <w:color w:val="auto"/>
        </w:rPr>
        <w:t>3.1.7一般情况下，用于调节成品制成量的辅料可不规定用量；必要时应规定辅料（如蔗糖）的用量范围。</w:t>
      </w:r>
    </w:p>
    <w:p>
      <w:pPr>
        <w:ind w:firstLine="638" w:firstLineChars="228"/>
        <w:rPr>
          <w:color w:val="auto"/>
        </w:rPr>
      </w:pPr>
      <w:r>
        <w:rPr>
          <w:rFonts w:hint="eastAsia"/>
          <w:color w:val="auto"/>
        </w:rPr>
        <w:t>4性状</w:t>
      </w:r>
    </w:p>
    <w:p>
      <w:pPr>
        <w:ind w:firstLine="638" w:firstLineChars="228"/>
        <w:rPr>
          <w:color w:val="auto"/>
        </w:rPr>
      </w:pPr>
      <w:r>
        <w:rPr>
          <w:rFonts w:hint="eastAsia"/>
          <w:color w:val="auto"/>
        </w:rPr>
        <w:t>性状项是对药品除去包装后的外观和气味进行描述，应依次描述药品的颜色、外形和气味。通常描述外观与气味的语句之间使用分号。</w:t>
      </w:r>
    </w:p>
    <w:p>
      <w:pPr>
        <w:ind w:firstLine="638" w:firstLineChars="228"/>
        <w:rPr>
          <w:color w:val="auto"/>
        </w:rPr>
      </w:pPr>
      <w:r>
        <w:rPr>
          <w:rFonts w:hint="eastAsia"/>
          <w:color w:val="auto"/>
        </w:rPr>
        <w:t>4.1书写要求</w:t>
      </w:r>
    </w:p>
    <w:p>
      <w:pPr>
        <w:ind w:firstLine="638" w:firstLineChars="228"/>
        <w:rPr>
          <w:color w:val="auto"/>
        </w:rPr>
      </w:pPr>
      <w:r>
        <w:rPr>
          <w:rFonts w:hint="eastAsia"/>
          <w:color w:val="auto"/>
        </w:rPr>
        <w:t>4.1.1中药制剂的颜色多为复合色通常限定在一定的范围内。对复合颜色的描述以辅色在前、主色在后，如：“黄棕色”是以棕色为主、黄色为辅。对颜色范围的描述应由浅至深。如：黄棕色至棕色。应尽量避免使用不确切词汇。如：米黄色，豆青色，土黄色等。</w:t>
      </w:r>
    </w:p>
    <w:p>
      <w:pPr>
        <w:ind w:firstLine="638" w:firstLineChars="228"/>
        <w:rPr>
          <w:color w:val="auto"/>
        </w:rPr>
      </w:pPr>
      <w:r>
        <w:rPr>
          <w:rFonts w:hint="eastAsia"/>
          <w:color w:val="auto"/>
        </w:rPr>
        <w:t>4.1.2外用药不要求描述“味”。</w:t>
      </w:r>
    </w:p>
    <w:p>
      <w:pPr>
        <w:ind w:firstLine="638" w:firstLineChars="228"/>
        <w:rPr>
          <w:color w:val="auto"/>
        </w:rPr>
      </w:pPr>
      <w:r>
        <w:rPr>
          <w:rFonts w:hint="eastAsia"/>
          <w:color w:val="auto"/>
        </w:rPr>
        <w:t>4.1.3糖衣丸和薄膜衣丸应先写明包衣材料及丸的类别，再描述丸心的颜色；采用其他材料包衣的丸剂，应先写明丸的类别及外观颜色，再描述丸心的颜色；双层丸还应分别描述内外层的颜色。</w:t>
      </w:r>
    </w:p>
    <w:p>
      <w:pPr>
        <w:ind w:firstLine="638" w:firstLineChars="228"/>
        <w:rPr>
          <w:color w:val="auto"/>
        </w:rPr>
      </w:pPr>
      <w:r>
        <w:rPr>
          <w:rFonts w:hint="eastAsia"/>
          <w:color w:val="auto"/>
        </w:rPr>
        <w:t>4.1.4包衣片应先写明包衣材料，再描述片心的颜色；夹层片还应描述夹层的颜色。</w:t>
      </w:r>
    </w:p>
    <w:p>
      <w:pPr>
        <w:ind w:firstLine="638" w:firstLineChars="228"/>
        <w:rPr>
          <w:color w:val="auto"/>
        </w:rPr>
      </w:pPr>
      <w:r>
        <w:rPr>
          <w:rFonts w:hint="eastAsia"/>
          <w:color w:val="auto"/>
        </w:rPr>
        <w:t>4.1.5胶囊剂品种应先写明为硬胶囊或软胶囊（或胶丸），再描述胶囊内容物的性状。</w:t>
      </w:r>
    </w:p>
    <w:p>
      <w:pPr>
        <w:ind w:firstLine="638" w:firstLineChars="228"/>
        <w:rPr>
          <w:color w:val="auto"/>
        </w:rPr>
      </w:pPr>
      <w:r>
        <w:rPr>
          <w:rFonts w:hint="eastAsia"/>
          <w:color w:val="auto"/>
        </w:rPr>
        <w:t>4.1.6气雾剂和喷雾剂品种应先说明其剂型，再描述内装药液的性状。</w:t>
      </w:r>
    </w:p>
    <w:p>
      <w:pPr>
        <w:ind w:firstLine="638" w:firstLineChars="228"/>
        <w:rPr>
          <w:color w:val="auto"/>
        </w:rPr>
      </w:pPr>
      <w:r>
        <w:rPr>
          <w:rFonts w:hint="eastAsia"/>
          <w:color w:val="auto"/>
        </w:rPr>
        <w:t>4.1.7颗粒剂品种标准中并存多种规格时，如果因为辅料的性质或用量差别较大而导致不同规格产品的性状有较大差别，可分别描述各规格产品的性状。</w:t>
      </w:r>
    </w:p>
    <w:p>
      <w:pPr>
        <w:ind w:firstLine="638" w:firstLineChars="228"/>
        <w:rPr>
          <w:color w:val="auto"/>
        </w:rPr>
      </w:pPr>
      <w:r>
        <w:rPr>
          <w:rFonts w:hint="eastAsia"/>
          <w:color w:val="auto"/>
        </w:rPr>
        <w:t>5鉴别</w:t>
      </w:r>
    </w:p>
    <w:p>
      <w:pPr>
        <w:ind w:firstLine="638" w:firstLineChars="228"/>
        <w:rPr>
          <w:color w:val="auto"/>
        </w:rPr>
      </w:pPr>
      <w:r>
        <w:rPr>
          <w:rFonts w:hint="eastAsia"/>
          <w:color w:val="auto"/>
        </w:rPr>
        <w:t>中药制剂常用的鉴别方法有显微鉴别和理化鉴别。书写顺序以显微鉴别在先，理化鉴别在后。理化鉴别的书写顺序又依次为:一般理化鉴别，光谱鉴别，色谱鉴别。其中色谱鉴别按薄层色谱鉴别、液相色谱鉴别、气相色谱鉴别的顺序书写。目前，中药制剂的特征图谱鉴别主要采用色谱法，在标准中排列在其他鉴别项之后。</w:t>
      </w:r>
    </w:p>
    <w:p>
      <w:pPr>
        <w:ind w:firstLine="638" w:firstLineChars="228"/>
        <w:rPr>
          <w:color w:val="auto"/>
        </w:rPr>
      </w:pPr>
      <w:r>
        <w:rPr>
          <w:rFonts w:hint="eastAsia"/>
          <w:color w:val="auto"/>
        </w:rPr>
        <w:t>5.1显微鉴别</w:t>
      </w:r>
    </w:p>
    <w:p>
      <w:pPr>
        <w:ind w:firstLine="638" w:firstLineChars="228"/>
        <w:rPr>
          <w:color w:val="auto"/>
        </w:rPr>
      </w:pPr>
      <w:r>
        <w:rPr>
          <w:rFonts w:hint="eastAsia"/>
          <w:color w:val="auto"/>
        </w:rPr>
        <w:t>5.1.1书写要求</w:t>
      </w:r>
    </w:p>
    <w:p>
      <w:pPr>
        <w:ind w:firstLine="638" w:firstLineChars="228"/>
        <w:rPr>
          <w:color w:val="auto"/>
        </w:rPr>
      </w:pPr>
      <w:r>
        <w:rPr>
          <w:rFonts w:hint="eastAsia"/>
          <w:color w:val="auto"/>
        </w:rPr>
        <w:t>5.1.1.1显微鉴别的制片过程可简写成“取本品，置显微镜下观察”，之后描述各药味的显微特征，并注明药味名称，文字描述要求简明扼要。</w:t>
      </w:r>
    </w:p>
    <w:p>
      <w:pPr>
        <w:ind w:firstLine="638" w:firstLineChars="228"/>
        <w:rPr>
          <w:color w:val="auto"/>
        </w:rPr>
      </w:pPr>
      <w:r>
        <w:rPr>
          <w:rFonts w:hint="eastAsia"/>
          <w:color w:val="auto"/>
        </w:rPr>
        <w:t>5.1.1.2应优先选择药味易检出且无干扰的显微特征用于鉴别。</w:t>
      </w:r>
    </w:p>
    <w:p>
      <w:pPr>
        <w:ind w:firstLine="638" w:firstLineChars="228"/>
        <w:rPr>
          <w:color w:val="auto"/>
        </w:rPr>
      </w:pPr>
      <w:r>
        <w:rPr>
          <w:rFonts w:hint="eastAsia"/>
          <w:color w:val="auto"/>
        </w:rPr>
        <w:t>5.1.1.3不同品种的同一药味的显微鉴别所选用的显微特征相同时，文字描述应尽量与药典一致。</w:t>
      </w:r>
    </w:p>
    <w:p>
      <w:pPr>
        <w:ind w:firstLine="638" w:firstLineChars="228"/>
        <w:rPr>
          <w:color w:val="auto"/>
        </w:rPr>
      </w:pPr>
      <w:r>
        <w:rPr>
          <w:rFonts w:hint="eastAsia"/>
          <w:color w:val="auto"/>
        </w:rPr>
        <w:t>5.1.1.4同一药味的不同显微特征之间使用分号；不同药味的显微特征之间使用句号。</w:t>
      </w:r>
    </w:p>
    <w:p>
      <w:pPr>
        <w:ind w:firstLine="638" w:firstLineChars="228"/>
        <w:rPr>
          <w:color w:val="auto"/>
        </w:rPr>
      </w:pPr>
      <w:r>
        <w:rPr>
          <w:rFonts w:hint="eastAsia"/>
          <w:color w:val="auto"/>
        </w:rPr>
        <w:t>5.2一般理化鉴别</w:t>
      </w:r>
    </w:p>
    <w:p>
      <w:pPr>
        <w:ind w:left="372" w:leftChars="133" w:firstLine="355" w:firstLineChars="127"/>
        <w:rPr>
          <w:color w:val="auto"/>
        </w:rPr>
      </w:pPr>
      <w:r>
        <w:rPr>
          <w:rFonts w:hint="eastAsia"/>
          <w:color w:val="auto"/>
        </w:rPr>
        <w:t>中药制剂的一般理化鉴别主要采用《中国药典》四部“通则0301一般鉴别试验”中收载的方法，用于鉴别盐基、酸根和金属离子。除此之外，还有少量的其他显色反应、沉淀反应、升华试验等。</w:t>
      </w:r>
    </w:p>
    <w:p>
      <w:pPr>
        <w:ind w:firstLine="638" w:firstLineChars="228"/>
        <w:rPr>
          <w:color w:val="auto"/>
        </w:rPr>
      </w:pPr>
      <w:r>
        <w:rPr>
          <w:rFonts w:hint="eastAsia"/>
          <w:color w:val="auto"/>
        </w:rPr>
        <w:t>5.2.1书写要求</w:t>
      </w:r>
    </w:p>
    <w:p>
      <w:pPr>
        <w:ind w:firstLine="638" w:firstLineChars="228"/>
        <w:rPr>
          <w:color w:val="auto"/>
        </w:rPr>
      </w:pPr>
      <w:r>
        <w:rPr>
          <w:rFonts w:hint="eastAsia"/>
          <w:color w:val="auto"/>
        </w:rPr>
        <w:t>5.2.1.1书写内容应详细叙述供试品溶液的制备方法，以保证实验操作的可行性。</w:t>
      </w:r>
    </w:p>
    <w:p>
      <w:pPr>
        <w:ind w:firstLine="638" w:firstLineChars="228"/>
        <w:rPr>
          <w:color w:val="auto"/>
        </w:rPr>
      </w:pPr>
      <w:r>
        <w:rPr>
          <w:rFonts w:hint="eastAsia"/>
          <w:color w:val="auto"/>
        </w:rPr>
        <w:t>5.2.1.2当鉴别方法与通则中收载的方法完全相同时，文字内容可简化。如取【鉴别】（2）项下的滤液，照钠盐与硫酸盐的鉴别方法（通则0301）试验，显相同的反应。</w:t>
      </w:r>
    </w:p>
    <w:p>
      <w:pPr>
        <w:ind w:firstLine="638" w:firstLineChars="228"/>
        <w:rPr>
          <w:color w:val="auto"/>
        </w:rPr>
      </w:pPr>
      <w:r>
        <w:rPr>
          <w:rFonts w:hint="eastAsia"/>
          <w:color w:val="auto"/>
        </w:rPr>
        <w:t>5.2.1.3如果通则中收载多种鉴别方法，而标准中仅采用其中的某种方法时，则需写出该方法的全部操作步骤及反应结果。如取本品2ml，加草酸铵试液1ml，即生成白色沉淀，分离沉淀，所得沉淀不溶于醋酸，但溶于盐酸。</w:t>
      </w:r>
    </w:p>
    <w:p>
      <w:pPr>
        <w:ind w:firstLine="638" w:firstLineChars="228"/>
        <w:rPr>
          <w:color w:val="auto"/>
        </w:rPr>
      </w:pPr>
      <w:r>
        <w:rPr>
          <w:rFonts w:hint="eastAsia"/>
          <w:color w:val="auto"/>
        </w:rPr>
        <w:t>5.2.1.4化学物质制备/化学溶液配制方法当试验中所用的化学物质的制备方法或溶液的配制方法须在标准中明确的，若内容简单，可在其名称后的括号内注明；如果内容繁琐，则应在标准正文之后注明。</w:t>
      </w:r>
    </w:p>
    <w:p>
      <w:pPr>
        <w:ind w:firstLine="638" w:firstLineChars="228"/>
        <w:rPr>
          <w:color w:val="auto"/>
        </w:rPr>
      </w:pPr>
      <w:r>
        <w:rPr>
          <w:rFonts w:hint="eastAsia"/>
          <w:color w:val="auto"/>
        </w:rPr>
        <w:t>例：加碘化铜（将硫酸铜试液与等量的碘化钾试液混合，加少许硫代硫酸钠除去多余的碘，取沉淀）.....</w:t>
      </w:r>
    </w:p>
    <w:p>
      <w:pPr>
        <w:ind w:firstLine="638" w:firstLineChars="228"/>
        <w:rPr>
          <w:color w:val="auto"/>
        </w:rPr>
      </w:pPr>
      <w:r>
        <w:rPr>
          <w:rFonts w:hint="eastAsia"/>
          <w:color w:val="auto"/>
        </w:rPr>
        <w:t>5.3色谱鉴别</w:t>
      </w:r>
    </w:p>
    <w:p>
      <w:pPr>
        <w:ind w:firstLine="638" w:firstLineChars="228"/>
        <w:rPr>
          <w:color w:val="auto"/>
        </w:rPr>
      </w:pPr>
      <w:r>
        <w:rPr>
          <w:rFonts w:hint="eastAsia"/>
          <w:color w:val="auto"/>
        </w:rPr>
        <w:t>中药制剂常用的色谱鉴别方法有薄层色谱鉴别、液相色谱鉴别和气相色谱鉴别。</w:t>
      </w:r>
    </w:p>
    <w:p>
      <w:pPr>
        <w:ind w:firstLine="638" w:firstLineChars="228"/>
        <w:rPr>
          <w:color w:val="auto"/>
        </w:rPr>
      </w:pPr>
      <w:r>
        <w:rPr>
          <w:rFonts w:hint="eastAsia"/>
          <w:color w:val="auto"/>
        </w:rPr>
        <w:t>色谱鉴别需要选择适宜的色谱条件，以专属性对照物（对照品、对照药材和对照提取物）作对照，考察色谱图中供试品与对照物的特征斑点或特征色谱峰所对应的情况。</w:t>
      </w:r>
    </w:p>
    <w:p>
      <w:pPr>
        <w:ind w:firstLine="638" w:firstLineChars="228"/>
        <w:rPr>
          <w:color w:val="auto"/>
        </w:rPr>
      </w:pPr>
      <w:r>
        <w:rPr>
          <w:rFonts w:hint="eastAsia"/>
          <w:color w:val="auto"/>
        </w:rPr>
        <w:t>特征图谱鉴别是在一般色谱鉴别方法的基础上进一步发展而来的，能较多地反映所鉴别对象的特征，从而更有效地控制产品质量。高效液相色谱法为目前中药制剂特征图谱研究的主要方法；气相色谱法则适用于挥发性成分的特征图谱研究。中药制剂的特征图谱鉴别，需要选择制剂中的某种已知活性成分或特征成分作为参照物，以色谱图中的多个特征峰或特征斑点作为鉴别指标；液相色谱法和气相色谱法要求限定各特征峰的相对保留时间。</w:t>
      </w:r>
    </w:p>
    <w:p>
      <w:pPr>
        <w:ind w:firstLine="638" w:firstLineChars="228"/>
        <w:rPr>
          <w:color w:val="auto"/>
        </w:rPr>
      </w:pPr>
      <w:r>
        <w:rPr>
          <w:rFonts w:hint="eastAsia"/>
          <w:color w:val="auto"/>
        </w:rPr>
        <w:t>5.3.1薄层色谱鉴别.</w:t>
      </w:r>
    </w:p>
    <w:p>
      <w:pPr>
        <w:ind w:firstLine="638" w:firstLineChars="228"/>
        <w:rPr>
          <w:color w:val="auto"/>
        </w:rPr>
      </w:pPr>
      <w:r>
        <w:rPr>
          <w:rFonts w:hint="eastAsia"/>
          <w:color w:val="auto"/>
        </w:rPr>
        <w:t>薄层色谱法为目前中药制剂最常用的鉴别方法，需选择适宜的色谱条件，采用具专属性的对照物（对照品、对照药材和对照提取物）作对照，在特定光源下检视供试品色谱中与对照物色谱相对应的斑点或荧光斑点。</w:t>
      </w:r>
    </w:p>
    <w:p>
      <w:pPr>
        <w:ind w:firstLine="638" w:firstLineChars="228"/>
        <w:rPr>
          <w:color w:val="auto"/>
        </w:rPr>
      </w:pPr>
      <w:r>
        <w:rPr>
          <w:rFonts w:hint="eastAsia"/>
          <w:color w:val="auto"/>
        </w:rPr>
        <w:t>5.3.1.1书写要求</w:t>
      </w:r>
    </w:p>
    <w:p>
      <w:pPr>
        <w:ind w:firstLine="638" w:firstLineChars="228"/>
        <w:rPr>
          <w:color w:val="auto"/>
        </w:rPr>
      </w:pPr>
      <w:r>
        <w:rPr>
          <w:rFonts w:hint="eastAsia"/>
          <w:color w:val="auto"/>
        </w:rPr>
        <w:t>a.书写内容</w:t>
      </w:r>
    </w:p>
    <w:p>
      <w:pPr>
        <w:ind w:firstLine="638" w:firstLineChars="228"/>
        <w:rPr>
          <w:color w:val="auto"/>
        </w:rPr>
      </w:pPr>
      <w:r>
        <w:rPr>
          <w:rFonts w:hint="eastAsia"/>
          <w:color w:val="auto"/>
        </w:rPr>
        <w:t>薄层色谱鉴别项的书写内容包括：供试品溶液、对照物（对照药材、对照品和对照提取物）溶液的制备方法，点样方式及点样量，薄层板的种类，展开剂的溶剂组成及配比，展开条件（展开距离，展开次数），显色剂及显色方法，检视条件，测试结果评判标准等。</w:t>
      </w:r>
    </w:p>
    <w:p>
      <w:pPr>
        <w:ind w:firstLine="638" w:firstLineChars="228"/>
        <w:rPr>
          <w:color w:val="auto"/>
        </w:rPr>
      </w:pPr>
      <w:r>
        <w:rPr>
          <w:rFonts w:hint="eastAsia"/>
          <w:color w:val="auto"/>
        </w:rPr>
        <w:t>b.供试品溶液的制备方法</w:t>
      </w:r>
    </w:p>
    <w:p>
      <w:pPr>
        <w:ind w:firstLine="638" w:firstLineChars="228"/>
        <w:rPr>
          <w:color w:val="auto"/>
        </w:rPr>
      </w:pPr>
      <w:r>
        <w:rPr>
          <w:rFonts w:hint="eastAsia"/>
          <w:color w:val="auto"/>
        </w:rPr>
        <w:t>一般情况下，应根据具体操作步骤叙述供试品的取样量、提取分离的操作过程、溶液的净化过程及溶液制成量等。</w:t>
      </w:r>
    </w:p>
    <w:p>
      <w:pPr>
        <w:ind w:firstLine="638" w:firstLineChars="228"/>
        <w:rPr>
          <w:color w:val="auto"/>
        </w:rPr>
      </w:pPr>
      <w:r>
        <w:rPr>
          <w:rFonts w:hint="eastAsia"/>
          <w:color w:val="auto"/>
        </w:rPr>
        <w:t>如果直接取用其他项目中的供试品溶液或某种溶液作为供试品溶液时，可简写成“取（X）项下的供试品溶液（或某种溶液）作为供试品溶液”。</w:t>
      </w:r>
    </w:p>
    <w:p>
      <w:pPr>
        <w:ind w:firstLine="638" w:firstLineChars="228"/>
        <w:rPr>
          <w:color w:val="auto"/>
        </w:rPr>
      </w:pPr>
      <w:r>
        <w:rPr>
          <w:rFonts w:hint="eastAsia"/>
          <w:color w:val="auto"/>
        </w:rPr>
        <w:t>c.对照药材溶液的制备方法</w:t>
      </w:r>
    </w:p>
    <w:p>
      <w:pPr>
        <w:ind w:firstLine="638" w:firstLineChars="228"/>
        <w:rPr>
          <w:color w:val="auto"/>
        </w:rPr>
      </w:pPr>
      <w:r>
        <w:rPr>
          <w:rFonts w:hint="eastAsia"/>
          <w:color w:val="auto"/>
        </w:rPr>
        <w:t>一般情况下，应按操作步骤叙述对照药材溶液的制备过程。如另取当归对照药材1g，加乙醚10ml，超声处理5分钟，滤过，滤液作为对照药材溶液。</w:t>
      </w:r>
    </w:p>
    <w:p>
      <w:pPr>
        <w:ind w:firstLine="638" w:firstLineChars="228"/>
        <w:rPr>
          <w:color w:val="auto"/>
        </w:rPr>
      </w:pPr>
      <w:r>
        <w:rPr>
          <w:rFonts w:hint="eastAsia"/>
          <w:color w:val="auto"/>
        </w:rPr>
        <w:t>当具体操作同供试品溶液制备方法时，可简写成“同法（系指同供试品溶液制备方法，以下同）)制成对照药材溶液”。如另取大黄对照药材0.1g，同法制成对照药材溶液。</w:t>
      </w:r>
    </w:p>
    <w:p>
      <w:pPr>
        <w:ind w:firstLine="638" w:firstLineChars="228"/>
        <w:rPr>
          <w:color w:val="auto"/>
        </w:rPr>
      </w:pPr>
      <w:r>
        <w:rPr>
          <w:rFonts w:hint="eastAsia"/>
          <w:color w:val="auto"/>
        </w:rPr>
        <w:t>如果具体操作起始于供试品溶液制备过程中的某个步骤时，写成:自“....”起，同法制成对照药材溶液。如另取人参对照药材0.5g，加乙醚10ml，超声处理10分钟，滤过，取药渣，挥去乙醚，自“加70%乙醇20ml”起，同法制成对照药材溶液。</w:t>
      </w:r>
    </w:p>
    <w:p>
      <w:pPr>
        <w:ind w:firstLine="638" w:firstLineChars="228"/>
        <w:rPr>
          <w:color w:val="auto"/>
        </w:rPr>
      </w:pPr>
      <w:r>
        <w:rPr>
          <w:rFonts w:hint="eastAsia"/>
          <w:color w:val="auto"/>
        </w:rPr>
        <w:t>d.对照品溶液的制备方法</w:t>
      </w:r>
    </w:p>
    <w:p>
      <w:pPr>
        <w:ind w:firstLine="638" w:firstLineChars="228"/>
        <w:rPr>
          <w:color w:val="auto"/>
        </w:rPr>
      </w:pPr>
      <w:r>
        <w:rPr>
          <w:rFonts w:hint="eastAsia"/>
          <w:color w:val="auto"/>
        </w:rPr>
        <w:t>对照品溶液分为单一对照品溶液和混合对照品溶液，常用书写格式如下:</w:t>
      </w:r>
    </w:p>
    <w:p>
      <w:pPr>
        <w:ind w:firstLine="638" w:firstLineChars="228"/>
        <w:rPr>
          <w:color w:val="auto"/>
        </w:rPr>
      </w:pPr>
      <w:r>
        <w:rPr>
          <w:rFonts w:hint="eastAsia"/>
          <w:color w:val="auto"/>
        </w:rPr>
        <w:t>取栀子苷对照品，加甲醇制成每1ml含1mg的溶液，作为对照品溶液。</w:t>
      </w:r>
    </w:p>
    <w:p>
      <w:pPr>
        <w:ind w:firstLine="638" w:firstLineChars="228"/>
        <w:rPr>
          <w:color w:val="auto"/>
        </w:rPr>
      </w:pPr>
      <w:r>
        <w:rPr>
          <w:rFonts w:hint="eastAsia"/>
          <w:color w:val="auto"/>
        </w:rPr>
        <w:t>取三七皂苷R</w:t>
      </w:r>
      <w:r>
        <w:rPr>
          <w:rFonts w:hint="eastAsia"/>
          <w:color w:val="auto"/>
          <w:vertAlign w:val="subscript"/>
        </w:rPr>
        <w:t>1</w:t>
      </w:r>
      <w:r>
        <w:rPr>
          <w:rFonts w:hint="eastAsia"/>
          <w:color w:val="auto"/>
        </w:rPr>
        <w:t>对照品、人参皂苷Rb</w:t>
      </w:r>
      <w:r>
        <w:rPr>
          <w:rFonts w:hint="eastAsia"/>
          <w:color w:val="auto"/>
          <w:vertAlign w:val="subscript"/>
        </w:rPr>
        <w:t>1</w:t>
      </w:r>
      <w:r>
        <w:rPr>
          <w:rFonts w:hint="eastAsia"/>
          <w:color w:val="auto"/>
        </w:rPr>
        <w:t>对照品、人参皂苷Rg</w:t>
      </w:r>
      <w:r>
        <w:rPr>
          <w:rFonts w:hint="eastAsia"/>
          <w:color w:val="auto"/>
          <w:vertAlign w:val="subscript"/>
        </w:rPr>
        <w:t>1</w:t>
      </w:r>
      <w:r>
        <w:rPr>
          <w:rFonts w:hint="eastAsia"/>
          <w:color w:val="auto"/>
        </w:rPr>
        <w:t>对照品，分别加甲醇制成每1ml含1mg的溶液，作为对照品溶液。</w:t>
      </w:r>
    </w:p>
    <w:p>
      <w:pPr>
        <w:ind w:firstLine="638" w:firstLineChars="228"/>
        <w:rPr>
          <w:color w:val="auto"/>
        </w:rPr>
      </w:pPr>
      <w:r>
        <w:rPr>
          <w:rFonts w:hint="eastAsia"/>
          <w:color w:val="auto"/>
        </w:rPr>
        <w:t>e.点样操作</w:t>
      </w:r>
    </w:p>
    <w:p>
      <w:pPr>
        <w:ind w:firstLine="638" w:firstLineChars="228"/>
        <w:rPr>
          <w:color w:val="auto"/>
        </w:rPr>
      </w:pPr>
      <w:r>
        <w:rPr>
          <w:rFonts w:hint="eastAsia"/>
          <w:color w:val="auto"/>
        </w:rPr>
        <w:t>点样操作的内容包括溶液的点样量及样点形状。样点形状为圆点时可不作描述;样点形状为条状时，则应写明有关要求，如：......点于同一硅胶G薄层板上使成条状。</w:t>
      </w:r>
    </w:p>
    <w:p>
      <w:pPr>
        <w:ind w:firstLine="638" w:firstLineChars="228"/>
        <w:rPr>
          <w:color w:val="auto"/>
        </w:rPr>
      </w:pPr>
      <w:r>
        <w:rPr>
          <w:rFonts w:hint="eastAsia"/>
          <w:color w:val="auto"/>
        </w:rPr>
        <w:t>供试品溶液和对照物溶液的点样量均相同时，写法为：吸取上述X种溶液各X</w:t>
      </w:r>
      <w:r>
        <w:rPr>
          <w:rFonts w:hint="default" w:ascii="Times New Roman" w:hAnsi="Times New Roman" w:cs="Times New Roman"/>
          <w:color w:val="auto"/>
        </w:rPr>
        <w:t>μl</w:t>
      </w:r>
      <w:r>
        <w:rPr>
          <w:rFonts w:hint="eastAsia"/>
          <w:color w:val="auto"/>
        </w:rPr>
        <w:t>，分别点于同一XX薄层板上。</w:t>
      </w:r>
    </w:p>
    <w:p>
      <w:pPr>
        <w:ind w:firstLine="638" w:firstLineChars="228"/>
        <w:rPr>
          <w:color w:val="auto"/>
        </w:rPr>
      </w:pPr>
      <w:r>
        <w:rPr>
          <w:rFonts w:hint="eastAsia"/>
          <w:color w:val="auto"/>
        </w:rPr>
        <w:t>供试品溶液和对照物溶液的点样量不尽相同时，可示具体情况选择以下写法：</w:t>
      </w:r>
    </w:p>
    <w:p>
      <w:pPr>
        <w:ind w:firstLine="638" w:firstLineChars="228"/>
        <w:rPr>
          <w:color w:val="auto"/>
        </w:rPr>
      </w:pPr>
      <w:r>
        <w:rPr>
          <w:rFonts w:hint="eastAsia"/>
          <w:color w:val="auto"/>
        </w:rPr>
        <w:t>吸取供试品溶液X</w:t>
      </w:r>
      <w:r>
        <w:rPr>
          <w:rFonts w:hint="default" w:ascii="Times New Roman" w:hAnsi="Times New Roman" w:cs="Times New Roman"/>
          <w:color w:val="auto"/>
        </w:rPr>
        <w:t>μl</w:t>
      </w:r>
      <w:r>
        <w:rPr>
          <w:rFonts w:hint="eastAsia"/>
          <w:color w:val="auto"/>
        </w:rPr>
        <w:t>、对照药材溶液X</w:t>
      </w:r>
      <w:r>
        <w:rPr>
          <w:rFonts w:hint="default" w:ascii="Times New Roman" w:hAnsi="Times New Roman" w:cs="Times New Roman"/>
          <w:color w:val="auto"/>
        </w:rPr>
        <w:t>μl</w:t>
      </w:r>
      <w:r>
        <w:rPr>
          <w:rFonts w:hint="eastAsia"/>
          <w:color w:val="auto"/>
        </w:rPr>
        <w:t>及对照品溶液X</w:t>
      </w:r>
      <w:r>
        <w:rPr>
          <w:rFonts w:hint="default" w:ascii="Times New Roman" w:hAnsi="Times New Roman" w:cs="Times New Roman"/>
          <w:color w:val="auto"/>
        </w:rPr>
        <w:t>μl</w:t>
      </w:r>
      <w:r>
        <w:rPr>
          <w:rFonts w:hint="eastAsia"/>
          <w:color w:val="auto"/>
        </w:rPr>
        <w:t>，分别点于同一XX薄层板上。</w:t>
      </w:r>
    </w:p>
    <w:p>
      <w:pPr>
        <w:ind w:firstLine="638" w:firstLineChars="228"/>
        <w:rPr>
          <w:color w:val="auto"/>
        </w:rPr>
      </w:pPr>
      <w:r>
        <w:rPr>
          <w:rFonts w:hint="eastAsia"/>
          <w:color w:val="auto"/>
        </w:rPr>
        <w:t>吸取供试品溶液与对照药材（或对照品）溶液各</w:t>
      </w:r>
      <w:r>
        <w:rPr>
          <w:rFonts w:hint="default" w:ascii="Times New Roman" w:hAnsi="Times New Roman" w:cs="Times New Roman"/>
          <w:color w:val="auto"/>
        </w:rPr>
        <w:t>μl</w:t>
      </w:r>
      <w:r>
        <w:rPr>
          <w:rFonts w:hint="eastAsia"/>
          <w:color w:val="auto"/>
        </w:rPr>
        <w:t>、对照品（或对照药材）溶液X</w:t>
      </w:r>
      <w:r>
        <w:rPr>
          <w:rFonts w:hint="default" w:ascii="Times New Roman" w:hAnsi="Times New Roman" w:cs="Times New Roman"/>
          <w:color w:val="auto"/>
        </w:rPr>
        <w:t>μl</w:t>
      </w:r>
      <w:r>
        <w:rPr>
          <w:rFonts w:hint="eastAsia"/>
          <w:color w:val="auto"/>
        </w:rPr>
        <w:t>，分别点于同一XX薄层板上。</w:t>
      </w:r>
    </w:p>
    <w:p>
      <w:pPr>
        <w:ind w:firstLine="638" w:firstLineChars="228"/>
        <w:rPr>
          <w:color w:val="auto"/>
        </w:rPr>
      </w:pPr>
      <w:r>
        <w:rPr>
          <w:rFonts w:hint="eastAsia"/>
          <w:color w:val="auto"/>
        </w:rPr>
        <w:t xml:space="preserve">吸取供试品溶液X </w:t>
      </w:r>
      <w:r>
        <w:rPr>
          <w:rFonts w:hint="default" w:ascii="Times New Roman" w:hAnsi="Times New Roman" w:cs="Times New Roman"/>
          <w:color w:val="auto"/>
        </w:rPr>
        <w:t>μl</w:t>
      </w:r>
      <w:r>
        <w:rPr>
          <w:rFonts w:hint="eastAsia"/>
          <w:color w:val="auto"/>
        </w:rPr>
        <w:t>、对照药材溶液与对照品溶液各X</w:t>
      </w:r>
      <w:r>
        <w:rPr>
          <w:rFonts w:hint="default" w:ascii="Times New Roman" w:hAnsi="Times New Roman" w:cs="Times New Roman"/>
          <w:color w:val="auto"/>
        </w:rPr>
        <w:t>μl</w:t>
      </w:r>
      <w:r>
        <w:rPr>
          <w:rFonts w:hint="eastAsia"/>
          <w:color w:val="auto"/>
        </w:rPr>
        <w:t>,分别点于同一XX薄层板上。</w:t>
      </w:r>
    </w:p>
    <w:p>
      <w:pPr>
        <w:ind w:firstLine="638" w:firstLineChars="228"/>
        <w:rPr>
          <w:color w:val="auto"/>
        </w:rPr>
      </w:pPr>
      <w:r>
        <w:rPr>
          <w:rFonts w:hint="eastAsia"/>
          <w:color w:val="auto"/>
        </w:rPr>
        <w:t>f.展开剂和展开条件</w:t>
      </w:r>
    </w:p>
    <w:p>
      <w:pPr>
        <w:ind w:firstLine="638" w:firstLineChars="228"/>
        <w:rPr>
          <w:color w:val="auto"/>
        </w:rPr>
      </w:pPr>
      <w:r>
        <w:rPr>
          <w:rFonts w:hint="eastAsia"/>
          <w:color w:val="auto"/>
        </w:rPr>
        <w:t>薄层色谱鉴别所用的展开剂通常为多种溶剂按一定配比制成的混合溶液。展开剂中溶剂的书写顺序以极性小的在前、极性大的在后。溶剂配比应尽量采用最小公倍数。如：“三氯甲烷-甲醇-水(65:35: 10)”应写成“三氯甲烷-甲醇-水(13:7:2)”。若配制的溶液出现分层，还应写明取用哪层溶液作为展开剂。当展开剂的配制过程中需要将混合溶液在特定的温度下放置使分层时，还须注明环境温度。</w:t>
      </w:r>
    </w:p>
    <w:p>
      <w:pPr>
        <w:ind w:firstLine="638" w:firstLineChars="228"/>
        <w:rPr>
          <w:color w:val="auto"/>
        </w:rPr>
      </w:pPr>
      <w:r>
        <w:rPr>
          <w:rFonts w:hint="eastAsia"/>
          <w:color w:val="auto"/>
        </w:rPr>
        <w:t>当环境温度和相对湿度对色谱结果有较大影响时，应在标准中明确对环境温度和相对湿度的特别要求。当分析方法对展开次数和展开距离有特殊要求时，应在标准中予以明确。</w:t>
      </w:r>
    </w:p>
    <w:p>
      <w:pPr>
        <w:ind w:firstLine="638" w:firstLineChars="228"/>
        <w:rPr>
          <w:color w:val="auto"/>
        </w:rPr>
      </w:pPr>
      <w:r>
        <w:rPr>
          <w:rFonts w:hint="eastAsia"/>
          <w:color w:val="auto"/>
        </w:rPr>
        <w:t>g显色剂.</w:t>
      </w:r>
    </w:p>
    <w:p>
      <w:pPr>
        <w:ind w:firstLine="638" w:firstLineChars="228"/>
        <w:rPr>
          <w:color w:val="auto"/>
        </w:rPr>
      </w:pPr>
      <w:r>
        <w:rPr>
          <w:rFonts w:hint="eastAsia"/>
          <w:color w:val="auto"/>
        </w:rPr>
        <w:t>常用的显色剂分为通用显色剂和专属性显色剂。当需要写明显色剂的配制方法时，配制方法简单的可在显色剂名称之后注明；配制方法繁琐的则在标准正文之后注明。</w:t>
      </w:r>
    </w:p>
    <w:p>
      <w:pPr>
        <w:ind w:firstLine="638" w:firstLineChars="228"/>
        <w:rPr>
          <w:color w:val="auto"/>
        </w:rPr>
      </w:pPr>
      <w:r>
        <w:rPr>
          <w:rFonts w:hint="eastAsia"/>
          <w:color w:val="auto"/>
        </w:rPr>
        <w:t>h.检视条件及测试结果评判标准</w:t>
      </w:r>
    </w:p>
    <w:p>
      <w:pPr>
        <w:ind w:firstLine="638" w:firstLineChars="228"/>
        <w:rPr>
          <w:color w:val="auto"/>
        </w:rPr>
      </w:pPr>
      <w:r>
        <w:rPr>
          <w:rFonts w:hint="eastAsia"/>
          <w:color w:val="auto"/>
        </w:rPr>
        <w:t>在薄层色谱鉴别中，检视条件分为日光和紫外光(365nm或254nm)。在日光下检视时，观察供试品色谱中与对照物色谱相对应的特征斑点；在紫外光(365nm或254nm)下检视时，观察供试品色谱中与对照物色谱相对应的特征荧光斑点或荧光淬灭斑点。</w:t>
      </w:r>
    </w:p>
    <w:p>
      <w:pPr>
        <w:ind w:firstLine="638" w:firstLineChars="228"/>
        <w:rPr>
          <w:color w:val="auto"/>
        </w:rPr>
      </w:pPr>
      <w:r>
        <w:rPr>
          <w:rFonts w:hint="eastAsia"/>
          <w:color w:val="auto"/>
        </w:rPr>
        <w:t>当供试品色谱中的斑点不能与对照物色谱中的所有斑点一一相对应时，可写明特征斑点的数目，必要时明确斑点的颜色。</w:t>
      </w:r>
    </w:p>
    <w:p>
      <w:pPr>
        <w:ind w:firstLine="638" w:firstLineChars="228"/>
        <w:rPr>
          <w:color w:val="auto"/>
        </w:rPr>
      </w:pPr>
      <w:r>
        <w:rPr>
          <w:rFonts w:hint="eastAsia"/>
          <w:color w:val="auto"/>
        </w:rPr>
        <w:t>i.净化溶液所用色谱柱</w:t>
      </w:r>
    </w:p>
    <w:p>
      <w:pPr>
        <w:ind w:firstLine="638" w:firstLineChars="228"/>
        <w:rPr>
          <w:color w:val="auto"/>
        </w:rPr>
      </w:pPr>
      <w:r>
        <w:rPr>
          <w:rFonts w:hint="eastAsia"/>
          <w:color w:val="auto"/>
        </w:rPr>
        <w:t>在供试品溶液的制备过程中，根据分析方法的要求，经常需用不同的色谱柱对溶液进行净化处理。对常见净化用色谱柱的书写要求如下：</w:t>
      </w:r>
    </w:p>
    <w:p>
      <w:pPr>
        <w:ind w:firstLine="638" w:firstLineChars="228"/>
        <w:rPr>
          <w:color w:val="auto"/>
        </w:rPr>
      </w:pPr>
      <w:r>
        <w:rPr>
          <w:rFonts w:hint="eastAsia"/>
          <w:color w:val="auto"/>
        </w:rPr>
        <w:t>氧化铝柱：写出氧化铝的目数、用量及柱内径，必要时应注明装柱方式及对柱子的预处理方法。</w:t>
      </w:r>
    </w:p>
    <w:p>
      <w:pPr>
        <w:ind w:firstLine="638" w:firstLineChars="228"/>
        <w:rPr>
          <w:color w:val="auto"/>
        </w:rPr>
      </w:pPr>
      <w:r>
        <w:rPr>
          <w:rFonts w:hint="eastAsia"/>
          <w:color w:val="auto"/>
        </w:rPr>
        <w:t>例：加在中性氧化铝柱（200</w:t>
      </w:r>
      <w:r>
        <w:rPr>
          <w:rFonts w:hint="default" w:ascii="Times New Roman" w:hAnsi="Times New Roman" w:cs="Times New Roman"/>
          <w:color w:val="auto"/>
        </w:rPr>
        <w:t>~</w:t>
      </w:r>
      <w:r>
        <w:rPr>
          <w:rFonts w:hint="eastAsia"/>
          <w:color w:val="auto"/>
        </w:rPr>
        <w:t>300目，10g，柱内径为1.5cm）.......</w:t>
      </w:r>
    </w:p>
    <w:p>
      <w:pPr>
        <w:ind w:firstLine="638" w:firstLineChars="228"/>
        <w:rPr>
          <w:color w:val="auto"/>
        </w:rPr>
      </w:pPr>
      <w:r>
        <w:rPr>
          <w:rFonts w:hint="eastAsia"/>
          <w:color w:val="auto"/>
        </w:rPr>
        <w:t>大孔吸附树脂柱：写出树脂的型号、柱内径和柱高，必要时还应注明对柱子的预处理方法。</w:t>
      </w:r>
    </w:p>
    <w:p>
      <w:pPr>
        <w:ind w:firstLine="638" w:firstLineChars="228"/>
        <w:rPr>
          <w:color w:val="auto"/>
        </w:rPr>
      </w:pPr>
      <w:r>
        <w:rPr>
          <w:rFonts w:hint="eastAsia"/>
          <w:color w:val="auto"/>
        </w:rPr>
        <w:t>例：残渣用水20ml溶解，通过D101型大孔吸附树脂柱（柱内径为2cm，柱高为15cm）.....</w:t>
      </w:r>
    </w:p>
    <w:p>
      <w:pPr>
        <w:ind w:firstLine="638" w:firstLineChars="228"/>
        <w:rPr>
          <w:color w:val="auto"/>
        </w:rPr>
      </w:pPr>
      <w:r>
        <w:rPr>
          <w:rFonts w:hint="eastAsia"/>
          <w:color w:val="auto"/>
        </w:rPr>
        <w:t>固相萃取小柱：写出柱子的规格及预处理方法。</w:t>
      </w:r>
    </w:p>
    <w:p>
      <w:pPr>
        <w:ind w:firstLine="638" w:firstLineChars="228"/>
        <w:rPr>
          <w:color w:val="auto"/>
        </w:rPr>
      </w:pPr>
      <w:r>
        <w:rPr>
          <w:rFonts w:hint="eastAsia"/>
          <w:color w:val="auto"/>
        </w:rPr>
        <w:t>例：残渣加水5ml使溶解，离心，取上清液，通过以十八烷基硅烷键合硅胶为填充剂的固相萃取小柱（350mg，用5ml甲醇预处理，然后用20ml水洗）用水15ml洗脱.....</w:t>
      </w:r>
    </w:p>
    <w:p>
      <w:pPr>
        <w:ind w:firstLine="638" w:firstLineChars="228"/>
        <w:rPr>
          <w:color w:val="auto"/>
        </w:rPr>
      </w:pPr>
      <w:r>
        <w:rPr>
          <w:rFonts w:hint="eastAsia"/>
          <w:color w:val="auto"/>
        </w:rPr>
        <w:t>聚酰胺柱：写出聚酰胺的目数、用量及柱内径。</w:t>
      </w:r>
    </w:p>
    <w:p>
      <w:pPr>
        <w:ind w:firstLine="638" w:firstLineChars="228"/>
        <w:rPr>
          <w:color w:val="auto"/>
        </w:rPr>
      </w:pPr>
      <w:r>
        <w:rPr>
          <w:rFonts w:hint="eastAsia"/>
          <w:color w:val="auto"/>
        </w:rPr>
        <w:t>例：残渣用适量水溶解，加在聚酰胺柱（60</w:t>
      </w:r>
      <w:r>
        <w:rPr>
          <w:rFonts w:ascii="Times New Roman" w:hAnsi="Times New Roman" w:cs="Times New Roman"/>
          <w:color w:val="auto"/>
        </w:rPr>
        <w:t>~</w:t>
      </w:r>
      <w:r>
        <w:rPr>
          <w:rFonts w:hint="eastAsia"/>
          <w:color w:val="auto"/>
        </w:rPr>
        <w:t>80目，3g，柱内径为1cm）上，用水50ml洗脱，再用甲醇50ml洗脱....</w:t>
      </w:r>
    </w:p>
    <w:p>
      <w:pPr>
        <w:ind w:firstLine="638" w:firstLineChars="228"/>
        <w:rPr>
          <w:color w:val="auto"/>
        </w:rPr>
      </w:pPr>
      <w:r>
        <w:rPr>
          <w:rFonts w:hint="eastAsia"/>
          <w:color w:val="auto"/>
        </w:rPr>
        <w:t>硅胶柱：写出硅胶的目数、用量及柱内径，必要时应注明装柱方式及对柱子的预处理方法。</w:t>
      </w:r>
    </w:p>
    <w:p>
      <w:pPr>
        <w:ind w:firstLine="638" w:firstLineChars="228"/>
        <w:rPr>
          <w:color w:val="auto"/>
        </w:rPr>
      </w:pPr>
      <w:r>
        <w:rPr>
          <w:rFonts w:hint="eastAsia"/>
          <w:color w:val="auto"/>
        </w:rPr>
        <w:t>例：取本品内容物适量（约相当于满山红油0.1g），用正己烷5ml溶解，加在硅胶柱（120</w:t>
      </w:r>
      <w:r>
        <w:rPr>
          <w:rFonts w:ascii="Times New Roman" w:hAnsi="Times New Roman" w:cs="Times New Roman"/>
          <w:color w:val="auto"/>
        </w:rPr>
        <w:t>~</w:t>
      </w:r>
      <w:r>
        <w:rPr>
          <w:rFonts w:hint="eastAsia"/>
          <w:color w:val="auto"/>
        </w:rPr>
        <w:t>150目，3g，柱内径为1cm，用正己烷湿法装柱，柱上加无水硫酸钠3g）上，用正已烷50ml洗脱......</w:t>
      </w:r>
    </w:p>
    <w:p>
      <w:pPr>
        <w:ind w:firstLine="638" w:firstLineChars="228"/>
        <w:rPr>
          <w:color w:val="auto"/>
        </w:rPr>
      </w:pPr>
      <w:r>
        <w:rPr>
          <w:rFonts w:hint="eastAsia"/>
          <w:color w:val="auto"/>
        </w:rPr>
        <w:t>j.溶剂用量</w:t>
      </w:r>
    </w:p>
    <w:p>
      <w:pPr>
        <w:ind w:firstLine="638" w:firstLineChars="228"/>
        <w:rPr>
          <w:color w:val="auto"/>
        </w:rPr>
      </w:pPr>
      <w:r>
        <w:rPr>
          <w:rFonts w:hint="eastAsia"/>
          <w:color w:val="auto"/>
        </w:rPr>
        <w:t>在溶液制备过程中使用某种溶剂进行提取时，有关溶剂用量的写法分为两种情况：</w:t>
      </w:r>
    </w:p>
    <w:p>
      <w:pPr>
        <w:ind w:firstLine="638" w:firstLineChars="228"/>
        <w:rPr>
          <w:color w:val="auto"/>
        </w:rPr>
      </w:pPr>
      <w:r>
        <w:rPr>
          <w:rFonts w:hint="eastAsia"/>
          <w:color w:val="auto"/>
        </w:rPr>
        <w:t>每次溶剂用量均相同：......提取X次，每次X ml。</w:t>
      </w:r>
    </w:p>
    <w:p>
      <w:pPr>
        <w:ind w:firstLine="638" w:firstLineChars="228"/>
        <w:rPr>
          <w:color w:val="auto"/>
        </w:rPr>
      </w:pPr>
      <w:r>
        <w:rPr>
          <w:rFonts w:hint="eastAsia"/>
          <w:color w:val="auto"/>
        </w:rPr>
        <w:t>例：.....甲醇加热回流提取2次，每次50ml。</w:t>
      </w:r>
    </w:p>
    <w:p>
      <w:pPr>
        <w:ind w:firstLine="638" w:firstLineChars="228"/>
        <w:rPr>
          <w:color w:val="auto"/>
        </w:rPr>
      </w:pPr>
      <w:r>
        <w:rPr>
          <w:rFonts w:hint="eastAsia"/>
          <w:color w:val="auto"/>
        </w:rPr>
        <w:t>每次溶剂用量不尽同：......提取次（Xml，Xml，Xml）。</w:t>
      </w:r>
    </w:p>
    <w:p>
      <w:pPr>
        <w:ind w:firstLine="638" w:firstLineChars="228"/>
        <w:rPr>
          <w:color w:val="auto"/>
        </w:rPr>
      </w:pPr>
      <w:r>
        <w:rPr>
          <w:rFonts w:hint="eastAsia"/>
          <w:color w:val="auto"/>
        </w:rPr>
        <w:t>例：......用三氯甲烷振摇提取3次（20ml，20ml，10ml）。</w:t>
      </w:r>
    </w:p>
    <w:p>
      <w:pPr>
        <w:ind w:firstLine="638" w:firstLineChars="228"/>
        <w:rPr>
          <w:color w:val="auto"/>
        </w:rPr>
      </w:pPr>
      <w:r>
        <w:rPr>
          <w:rFonts w:hint="eastAsia"/>
          <w:color w:val="auto"/>
        </w:rPr>
        <w:t>5.3.2液相色谱鉴别</w:t>
      </w:r>
    </w:p>
    <w:p>
      <w:pPr>
        <w:ind w:firstLine="638" w:firstLineChars="228"/>
        <w:rPr>
          <w:color w:val="auto"/>
        </w:rPr>
      </w:pPr>
      <w:r>
        <w:rPr>
          <w:rFonts w:hint="eastAsia"/>
          <w:color w:val="auto"/>
        </w:rPr>
        <w:t>5.3.2.1书写要求</w:t>
      </w:r>
    </w:p>
    <w:p>
      <w:pPr>
        <w:ind w:firstLine="638" w:firstLineChars="228"/>
        <w:rPr>
          <w:color w:val="auto"/>
        </w:rPr>
      </w:pPr>
      <w:r>
        <w:rPr>
          <w:rFonts w:hint="eastAsia"/>
          <w:color w:val="auto"/>
        </w:rPr>
        <w:t>a.书写内容液相色谱鉴别项的书写内容包括：供试品溶液、对照物（对照药材、对照提取物、对照品）溶液的制备方法，液相色谱条件，测试结果评判标准。特征图谱鉴别还要求在标准中附上对照特征图谱，明确色谱图的记录时间。</w:t>
      </w:r>
    </w:p>
    <w:p>
      <w:pPr>
        <w:ind w:firstLine="638" w:firstLineChars="228"/>
        <w:rPr>
          <w:color w:val="auto"/>
        </w:rPr>
      </w:pPr>
      <w:r>
        <w:rPr>
          <w:rFonts w:hint="eastAsia"/>
          <w:color w:val="auto"/>
        </w:rPr>
        <w:t>b.色谱条件应写明色谱柱、流动相和检测器等条件。采用梯度洗脱时，流动相比例的变化及所对应的时间以表格的形式列出。</w:t>
      </w:r>
    </w:p>
    <w:p>
      <w:pPr>
        <w:ind w:firstLine="638" w:firstLineChars="228"/>
        <w:rPr>
          <w:color w:val="auto"/>
        </w:rPr>
      </w:pPr>
      <w:r>
        <w:rPr>
          <w:rFonts w:hint="eastAsia"/>
          <w:color w:val="auto"/>
        </w:rPr>
        <w:t>c.供试品溶液、对照物溶液的制备方法书写要求同薄层色谱鉴别。色谱特征图谱鉴别，需选择合适的对照品作为参照物，制成一定浓度的溶液作为参照物溶液。</w:t>
      </w:r>
    </w:p>
    <w:p>
      <w:pPr>
        <w:ind w:firstLine="638" w:firstLineChars="228"/>
        <w:rPr>
          <w:color w:val="auto"/>
        </w:rPr>
      </w:pPr>
      <w:r>
        <w:rPr>
          <w:rFonts w:hint="eastAsia"/>
          <w:color w:val="auto"/>
        </w:rPr>
        <w:t>d.测试结果评判标准一般色谱鉴别的测试结果评判标准为：供试品色谱图中应呈现与对照物（对照药材、对照品、对照提取物）色谱峰保留时间相对应的色谱峰。</w:t>
      </w:r>
    </w:p>
    <w:p>
      <w:pPr>
        <w:ind w:firstLine="638" w:firstLineChars="228"/>
        <w:rPr>
          <w:color w:val="auto"/>
        </w:rPr>
      </w:pPr>
      <w:r>
        <w:rPr>
          <w:rFonts w:hint="eastAsia"/>
          <w:color w:val="auto"/>
        </w:rPr>
        <w:t>特征图谱鉴别的测试结果评判标准为：规定特征谱图中特征峰的数目及各特征峰的相对保留时间；明确供试品色谱中的S峰，计算其他特征峰与S峰的相对保留时间。供试品色谱中各特征峰的相对保留时间应在规定的范围之内。</w:t>
      </w:r>
    </w:p>
    <w:p>
      <w:pPr>
        <w:ind w:firstLine="638" w:firstLineChars="228"/>
        <w:rPr>
          <w:color w:val="auto"/>
        </w:rPr>
      </w:pPr>
      <w:r>
        <w:rPr>
          <w:rFonts w:hint="eastAsia"/>
          <w:color w:val="auto"/>
        </w:rPr>
        <w:t>e.对照特征图谱鉴别标准中要求附上对照特征图谱，在图中标明各特征峰，并明确其中与参照物峰相对应的特征峰。对化学成分已明确的特征峰，应在图注中注明特征峰与化学成分的对应关系。</w:t>
      </w:r>
    </w:p>
    <w:p>
      <w:pPr>
        <w:ind w:firstLine="638" w:firstLineChars="228"/>
        <w:rPr>
          <w:color w:val="auto"/>
        </w:rPr>
      </w:pPr>
      <w:r>
        <w:rPr>
          <w:rFonts w:hint="eastAsia"/>
          <w:color w:val="auto"/>
        </w:rPr>
        <w:t>5.3.3气相色谱鉴别</w:t>
      </w:r>
    </w:p>
    <w:p>
      <w:pPr>
        <w:ind w:firstLine="638" w:firstLineChars="228"/>
        <w:rPr>
          <w:color w:val="auto"/>
        </w:rPr>
      </w:pPr>
      <w:r>
        <w:rPr>
          <w:rFonts w:hint="eastAsia"/>
          <w:color w:val="auto"/>
        </w:rPr>
        <w:t>气相色谱法用于对含挥发油、其他挥发性成分制剂的鉴别。</w:t>
      </w:r>
    </w:p>
    <w:p>
      <w:pPr>
        <w:ind w:firstLine="638" w:firstLineChars="228"/>
        <w:rPr>
          <w:color w:val="auto"/>
        </w:rPr>
      </w:pPr>
      <w:r>
        <w:rPr>
          <w:rFonts w:hint="eastAsia"/>
          <w:color w:val="auto"/>
        </w:rPr>
        <w:t>5.3.3.1书写要求</w:t>
      </w:r>
    </w:p>
    <w:p>
      <w:pPr>
        <w:ind w:firstLine="638" w:firstLineChars="228"/>
        <w:rPr>
          <w:color w:val="auto"/>
        </w:rPr>
      </w:pPr>
      <w:r>
        <w:rPr>
          <w:rFonts w:hint="eastAsia"/>
          <w:color w:val="auto"/>
        </w:rPr>
        <w:t>a.书写内容 气相色谱鉴别项的内容包括：供试品溶液的制备，对照物溶液的制备，色谱条件，进样量，测试结果评判标准。</w:t>
      </w:r>
    </w:p>
    <w:p>
      <w:pPr>
        <w:ind w:firstLine="638" w:firstLineChars="228"/>
        <w:rPr>
          <w:color w:val="auto"/>
        </w:rPr>
      </w:pPr>
      <w:r>
        <w:rPr>
          <w:rFonts w:hint="eastAsia"/>
          <w:color w:val="auto"/>
        </w:rPr>
        <w:t>特征图谱鉴别的书写内容及要求参照液相色谱法。</w:t>
      </w:r>
    </w:p>
    <w:p>
      <w:pPr>
        <w:ind w:firstLine="638" w:firstLineChars="228"/>
        <w:rPr>
          <w:color w:val="auto"/>
        </w:rPr>
      </w:pPr>
      <w:r>
        <w:rPr>
          <w:rFonts w:hint="eastAsia"/>
          <w:color w:val="auto"/>
        </w:rPr>
        <w:t>b.色谱条件 应写明检测器种类（氢火焰检测器除外）、固定相、涂布浓度、柱长、柱温等。</w:t>
      </w:r>
    </w:p>
    <w:p>
      <w:pPr>
        <w:ind w:firstLine="638" w:firstLineChars="228"/>
        <w:rPr>
          <w:color w:val="auto"/>
        </w:rPr>
      </w:pPr>
      <w:r>
        <w:rPr>
          <w:rFonts w:hint="eastAsia"/>
          <w:color w:val="auto"/>
        </w:rPr>
        <w:t>c.供试品溶液、对照物溶液的制备方法书写要求同薄层色谱鉴别的有关要求。</w:t>
      </w:r>
    </w:p>
    <w:p>
      <w:pPr>
        <w:ind w:firstLine="638" w:firstLineChars="228"/>
        <w:rPr>
          <w:color w:val="auto"/>
        </w:rPr>
      </w:pPr>
      <w:r>
        <w:rPr>
          <w:rFonts w:hint="eastAsia"/>
          <w:color w:val="auto"/>
        </w:rPr>
        <w:t>例：取本品适量，剪成小块，除去盖衬，取2g，置具塞锥形瓶中，加乙酸乙酯50ml，密塞，超声处理30分钟，滤过，滤液作为供试品溶液。另取樟脑对照品、薄荷脑对照品、冰片对照品与水杨酸甲酯对照品，加乙酸乙酯制成每1ml含樟脑0.4mg、薄荷脑和冰片各0.2mg及水杨酸甲酯0.3mg的混合溶液，作为对照品溶液。照气相色谱法（通则0521）试验，聚乙二醇20000（PEG-20M）毛细管柱（柱长为30m，柱内径为0.32mm，膜厚度为0.25</w:t>
      </w:r>
      <w:r>
        <w:rPr>
          <w:rFonts w:ascii="Times New Roman" w:hAnsi="Times New Roman" w:cs="Times New Roman"/>
          <w:color w:val="auto"/>
        </w:rPr>
        <w:t>μ</w:t>
      </w:r>
      <w:r>
        <w:rPr>
          <w:rFonts w:hint="eastAsia"/>
          <w:color w:val="auto"/>
        </w:rPr>
        <w:t>m），柱温为125℃。吸取上述两种溶液各2</w:t>
      </w:r>
      <w:r>
        <w:rPr>
          <w:rFonts w:ascii="Times New Roman" w:hAnsi="Times New Roman" w:cs="Times New Roman"/>
          <w:color w:val="auto"/>
        </w:rPr>
        <w:t>μ</w:t>
      </w:r>
      <w:r>
        <w:rPr>
          <w:rFonts w:hint="eastAsia"/>
          <w:color w:val="auto"/>
        </w:rPr>
        <w:t>l，注入气相色谱仪。供试品色谱中应呈现与对照品色谱峰保留时间相对应的色谱峰。</w:t>
      </w:r>
    </w:p>
    <w:p>
      <w:pPr>
        <w:ind w:firstLine="638" w:firstLineChars="228"/>
        <w:rPr>
          <w:color w:val="auto"/>
        </w:rPr>
      </w:pPr>
      <w:r>
        <w:rPr>
          <w:rFonts w:hint="eastAsia"/>
          <w:color w:val="auto"/>
        </w:rPr>
        <w:t>6检查</w:t>
      </w:r>
    </w:p>
    <w:p>
      <w:pPr>
        <w:ind w:firstLine="638" w:firstLineChars="228"/>
        <w:rPr>
          <w:color w:val="auto"/>
        </w:rPr>
      </w:pPr>
      <w:r>
        <w:rPr>
          <w:rFonts w:hint="eastAsia"/>
          <w:color w:val="auto"/>
        </w:rPr>
        <w:t>6.1书写要求</w:t>
      </w:r>
    </w:p>
    <w:p>
      <w:pPr>
        <w:ind w:firstLine="638" w:firstLineChars="228"/>
        <w:rPr>
          <w:color w:val="auto"/>
        </w:rPr>
      </w:pPr>
      <w:r>
        <w:rPr>
          <w:rFonts w:hint="eastAsia"/>
          <w:color w:val="auto"/>
        </w:rPr>
        <w:t>6.1.1当检查项与制剂通则中的规定完全相符时，书写内容简化为：</w:t>
      </w:r>
    </w:p>
    <w:p>
      <w:pPr>
        <w:ind w:firstLine="638" w:firstLineChars="228"/>
        <w:rPr>
          <w:color w:val="auto"/>
        </w:rPr>
      </w:pPr>
      <w:r>
        <w:rPr>
          <w:rFonts w:hint="eastAsia"/>
          <w:color w:val="auto"/>
        </w:rPr>
        <w:t>【检查】应符合XX剂项下有关的各项规定（注明通则编号）。</w:t>
      </w:r>
    </w:p>
    <w:p>
      <w:pPr>
        <w:ind w:firstLine="638" w:firstLineChars="228"/>
        <w:rPr>
          <w:color w:val="auto"/>
        </w:rPr>
      </w:pPr>
      <w:r>
        <w:rPr>
          <w:rFonts w:hint="eastAsia"/>
          <w:color w:val="auto"/>
        </w:rPr>
        <w:t>6.1.2若制剂通则中的某个常规检查项不列入制剂标准中时，须在【检查】项中予以明确。写法为：</w:t>
      </w:r>
    </w:p>
    <w:p>
      <w:pPr>
        <w:ind w:firstLine="638" w:firstLineChars="228"/>
        <w:rPr>
          <w:color w:val="auto"/>
        </w:rPr>
      </w:pPr>
      <w:r>
        <w:rPr>
          <w:rFonts w:hint="eastAsia"/>
          <w:color w:val="auto"/>
        </w:rPr>
        <w:t>【检查】除XX（检查项目名称）外，其他应符合X剂项下有关的各项规定（通则编号）。</w:t>
      </w:r>
    </w:p>
    <w:p>
      <w:pPr>
        <w:ind w:firstLine="638" w:firstLineChars="228"/>
        <w:rPr>
          <w:color w:val="auto"/>
        </w:rPr>
      </w:pPr>
      <w:r>
        <w:rPr>
          <w:rFonts w:hint="eastAsia"/>
          <w:color w:val="auto"/>
        </w:rPr>
        <w:t>6.1.3当有检查项需要单列时，应先写出单列的检查项，再将符合制剂通则的其他检查项写成：</w:t>
      </w:r>
    </w:p>
    <w:p>
      <w:pPr>
        <w:ind w:firstLine="638" w:firstLineChars="228"/>
        <w:rPr>
          <w:color w:val="auto"/>
        </w:rPr>
      </w:pPr>
      <w:r>
        <w:rPr>
          <w:rFonts w:hint="eastAsia"/>
          <w:color w:val="auto"/>
        </w:rPr>
        <w:t>其他应符合XX剂项下有关的各项规定（注明通则编号）。</w:t>
      </w:r>
    </w:p>
    <w:p>
      <w:pPr>
        <w:ind w:firstLine="638" w:firstLineChars="228"/>
        <w:rPr>
          <w:color w:val="auto"/>
        </w:rPr>
      </w:pPr>
      <w:r>
        <w:rPr>
          <w:rFonts w:hint="eastAsia"/>
          <w:color w:val="auto"/>
        </w:rPr>
        <w:t>6.1.4当需要先对供试品进行分离和净化处理后再按通则中的方法进行实验时，应首先叙述供试品的处理过程，然后再引用通则中的方法，书写时应注意内容的文字衔接。</w:t>
      </w:r>
    </w:p>
    <w:p>
      <w:pPr>
        <w:ind w:firstLine="638" w:firstLineChars="228"/>
        <w:rPr>
          <w:color w:val="auto"/>
        </w:rPr>
      </w:pPr>
      <w:r>
        <w:rPr>
          <w:rFonts w:hint="eastAsia"/>
          <w:color w:val="auto"/>
        </w:rPr>
        <w:t>6.1.5当通则中规定的测试方法为两种或两种以上时，在注明通则编号的同时还须注明所采用的测试方法，以免测试方法选择不当而影响测试结果的真实性。</w:t>
      </w:r>
    </w:p>
    <w:p>
      <w:pPr>
        <w:ind w:firstLine="638" w:firstLineChars="228"/>
        <w:rPr>
          <w:color w:val="auto"/>
        </w:rPr>
      </w:pPr>
      <w:r>
        <w:rPr>
          <w:rFonts w:hint="eastAsia"/>
          <w:color w:val="auto"/>
        </w:rPr>
        <w:t>6.1.6需单列的检查项</w:t>
      </w:r>
    </w:p>
    <w:p>
      <w:pPr>
        <w:ind w:firstLine="638" w:firstLineChars="228"/>
        <w:rPr>
          <w:color w:val="auto"/>
        </w:rPr>
      </w:pPr>
      <w:r>
        <w:rPr>
          <w:rFonts w:hint="eastAsia"/>
          <w:color w:val="auto"/>
        </w:rPr>
        <w:t>在标准中，属以下情况的检查项需要单列：</w:t>
      </w:r>
    </w:p>
    <w:p>
      <w:pPr>
        <w:ind w:firstLine="638" w:firstLineChars="228"/>
        <w:rPr>
          <w:color w:val="auto"/>
        </w:rPr>
      </w:pPr>
      <w:r>
        <w:rPr>
          <w:rFonts w:hint="eastAsia"/>
          <w:color w:val="auto"/>
        </w:rPr>
        <w:t>a.毒性成分的限量检查，如：乌头碱限量。</w:t>
      </w:r>
    </w:p>
    <w:p>
      <w:pPr>
        <w:ind w:firstLine="638" w:firstLineChars="228"/>
        <w:rPr>
          <w:color w:val="auto"/>
        </w:rPr>
      </w:pPr>
      <w:r>
        <w:rPr>
          <w:rFonts w:hint="eastAsia"/>
          <w:color w:val="auto"/>
        </w:rPr>
        <w:t>b.依据品种特性而设立的检查项，如：坎离砂标准中的“热效应”检查项。</w:t>
      </w:r>
    </w:p>
    <w:p>
      <w:pPr>
        <w:ind w:firstLine="638" w:firstLineChars="228"/>
        <w:rPr>
          <w:color w:val="auto"/>
        </w:rPr>
      </w:pPr>
      <w:r>
        <w:rPr>
          <w:rFonts w:hint="eastAsia"/>
          <w:color w:val="auto"/>
        </w:rPr>
        <w:t>c.物理常数检查，如：折光率等。</w:t>
      </w:r>
    </w:p>
    <w:p>
      <w:pPr>
        <w:ind w:firstLine="638" w:firstLineChars="228"/>
        <w:rPr>
          <w:color w:val="auto"/>
        </w:rPr>
      </w:pPr>
      <w:r>
        <w:rPr>
          <w:rFonts w:hint="eastAsia"/>
          <w:color w:val="auto"/>
        </w:rPr>
        <w:t>d.需在标准中规定检测限度的常规检查项，如：相对密度、pH值等。</w:t>
      </w:r>
    </w:p>
    <w:p>
      <w:pPr>
        <w:ind w:firstLine="638" w:firstLineChars="228"/>
        <w:rPr>
          <w:color w:val="auto"/>
        </w:rPr>
      </w:pPr>
      <w:r>
        <w:rPr>
          <w:rFonts w:hint="eastAsia"/>
          <w:color w:val="auto"/>
        </w:rPr>
        <w:t>e.由于特殊原因不能执行附录中某些检测项目的有关规定，而在标准中对检测方法或限度另有规定的检查项应单列。如:水分、重量差异、装量差异等检查项，当检测限度另有规定时，应单列。</w:t>
      </w:r>
    </w:p>
    <w:p>
      <w:pPr>
        <w:ind w:firstLine="638" w:firstLineChars="228"/>
        <w:rPr>
          <w:color w:val="auto"/>
        </w:rPr>
      </w:pPr>
      <w:r>
        <w:rPr>
          <w:rFonts w:hint="eastAsia"/>
          <w:color w:val="auto"/>
        </w:rPr>
        <w:t>6.1.7常见单列检查项的排序</w:t>
      </w:r>
    </w:p>
    <w:p>
      <w:pPr>
        <w:ind w:firstLine="638" w:firstLineChars="228"/>
        <w:rPr>
          <w:color w:val="auto"/>
        </w:rPr>
      </w:pPr>
      <w:r>
        <w:rPr>
          <w:rFonts w:hint="eastAsia"/>
          <w:color w:val="auto"/>
        </w:rPr>
        <w:t>当检查项中具有多个单列项目时，其排列顺序参照如下：（1）某种成分的限量检查；（2）物理常数；（3）相对密度；（4）pH值；（5）乙醇量；（6）总固体；（7）水分；（8）炽灼残渣；（9）装量差异/重量差异；（10）溶散时限/崩解时限；（11）重金属；（12）砷盐；（13）重金属及有害元素（铅、镉、砷、汞、铜）；（14）残留树脂有机物；（15）残留溶剂；（16）含量均匀度。</w:t>
      </w:r>
    </w:p>
    <w:p>
      <w:pPr>
        <w:ind w:firstLine="638" w:firstLineChars="228"/>
        <w:rPr>
          <w:color w:val="auto"/>
        </w:rPr>
      </w:pPr>
      <w:r>
        <w:rPr>
          <w:rFonts w:hint="eastAsia"/>
          <w:color w:val="auto"/>
        </w:rPr>
        <w:t>7浸出物</w:t>
      </w:r>
    </w:p>
    <w:p>
      <w:pPr>
        <w:ind w:firstLine="638" w:firstLineChars="228"/>
        <w:rPr>
          <w:color w:val="auto"/>
        </w:rPr>
      </w:pPr>
      <w:r>
        <w:rPr>
          <w:rFonts w:hint="eastAsia"/>
          <w:color w:val="auto"/>
        </w:rPr>
        <w:t>中药固体制剂还可以选择测定浸出物含量的方法，以控制药品质量。设立的项目必须有针对性，确有控制产品质量的意义。测定浸出物含量时常用的溶剂有水、乙醇、乙醚等。在标准中应写明所用溶剂的名称，并注明测定方法。</w:t>
      </w:r>
    </w:p>
    <w:p>
      <w:pPr>
        <w:ind w:firstLine="638" w:firstLineChars="228"/>
        <w:rPr>
          <w:color w:val="auto"/>
        </w:rPr>
      </w:pPr>
      <w:r>
        <w:rPr>
          <w:rFonts w:hint="eastAsia"/>
          <w:color w:val="auto"/>
        </w:rPr>
        <w:t>例：【浸出物】取本品约2g，称定重量，用乙醇作溶剂，照浸出物测定法（通则2201醇溶性浸出物测定法--热浸法）测定。本品含醇溶性浸出物不得少于60%。</w:t>
      </w:r>
    </w:p>
    <w:p>
      <w:pPr>
        <w:ind w:firstLine="638" w:firstLineChars="228"/>
        <w:rPr>
          <w:color w:val="auto"/>
        </w:rPr>
      </w:pPr>
      <w:r>
        <w:rPr>
          <w:rFonts w:hint="eastAsia"/>
          <w:color w:val="auto"/>
        </w:rPr>
        <w:t>8指纹图谱</w:t>
      </w:r>
    </w:p>
    <w:p>
      <w:pPr>
        <w:ind w:firstLine="638" w:firstLineChars="228"/>
        <w:rPr>
          <w:color w:val="auto"/>
        </w:rPr>
      </w:pPr>
      <w:r>
        <w:rPr>
          <w:rFonts w:hint="eastAsia"/>
          <w:color w:val="auto"/>
        </w:rPr>
        <w:t>目前，中药制剂指纹图谱的研究多采用液相色谱法。系以对照指纹图谱为准，通过对供试品图谱的整体信息进行分析和评价，来考察产品质量的稳定性和均一性。供试品指纹图谱与对照指纹图谱的相似性用“相似度"来表示，运用中药色谱指纹图谱相似度评价系统来进行计算。</w:t>
      </w:r>
    </w:p>
    <w:p>
      <w:pPr>
        <w:ind w:firstLine="638" w:firstLineChars="228"/>
        <w:rPr>
          <w:color w:val="auto"/>
        </w:rPr>
      </w:pPr>
      <w:r>
        <w:rPr>
          <w:rFonts w:hint="eastAsia"/>
          <w:color w:val="auto"/>
        </w:rPr>
        <w:t>8.1书写要求</w:t>
      </w:r>
    </w:p>
    <w:p>
      <w:pPr>
        <w:ind w:firstLine="638" w:firstLineChars="228"/>
        <w:rPr>
          <w:color w:val="auto"/>
        </w:rPr>
      </w:pPr>
      <w:r>
        <w:rPr>
          <w:rFonts w:hint="eastAsia"/>
          <w:color w:val="auto"/>
        </w:rPr>
        <w:t>8.1.1书写内容包括：色谱条件及系统适用性试验，参照物溶液的制各，供试品溶液的制备，测定法，测试结果评判标准；并附对照指纹图谱。</w:t>
      </w:r>
    </w:p>
    <w:p>
      <w:pPr>
        <w:ind w:firstLine="638" w:firstLineChars="228"/>
        <w:rPr>
          <w:color w:val="auto"/>
        </w:rPr>
      </w:pPr>
      <w:r>
        <w:rPr>
          <w:rFonts w:hint="eastAsia"/>
          <w:color w:val="auto"/>
        </w:rPr>
        <w:t>8.1.2具体的书写要求同含量测定项，在“测定法”中还应明确记录色谱图的时间和计算所需用的积分参数。</w:t>
      </w:r>
    </w:p>
    <w:p>
      <w:pPr>
        <w:ind w:firstLine="638" w:firstLineChars="228"/>
        <w:rPr>
          <w:color w:val="auto"/>
        </w:rPr>
      </w:pPr>
      <w:r>
        <w:rPr>
          <w:rFonts w:hint="eastAsia"/>
          <w:color w:val="auto"/>
        </w:rPr>
        <w:t>8.1.3测试结果评判标准规定色谱图中特征峰的数目、对供试品指纹图谱与对照指纹图谱相似度的要求。</w:t>
      </w:r>
    </w:p>
    <w:p>
      <w:pPr>
        <w:ind w:firstLine="638" w:firstLineChars="228"/>
        <w:rPr>
          <w:color w:val="auto"/>
        </w:rPr>
      </w:pPr>
      <w:r>
        <w:rPr>
          <w:rFonts w:hint="eastAsia"/>
          <w:color w:val="auto"/>
        </w:rPr>
        <w:t>8.1.4对照指纹图谱</w:t>
      </w:r>
    </w:p>
    <w:p>
      <w:pPr>
        <w:ind w:firstLine="638" w:firstLineChars="228"/>
        <w:rPr>
          <w:color w:val="auto"/>
        </w:rPr>
      </w:pPr>
      <w:r>
        <w:rPr>
          <w:rFonts w:hint="eastAsia"/>
          <w:color w:val="auto"/>
        </w:rPr>
        <w:t>指纹图谱标准中要求附上对照指纹图谱，在图中标明各特征峰，并明确其中与参照物峰相对应的特征峰。对化学成分已明确的特征峰，应在图注中注明特征峰与化学成分的对应关系。</w:t>
      </w:r>
    </w:p>
    <w:p>
      <w:pPr>
        <w:ind w:firstLine="638" w:firstLineChars="228"/>
        <w:rPr>
          <w:color w:val="auto"/>
        </w:rPr>
      </w:pPr>
      <w:r>
        <w:rPr>
          <w:rFonts w:hint="eastAsia"/>
          <w:color w:val="auto"/>
        </w:rPr>
        <w:t>9含量测定</w:t>
      </w:r>
    </w:p>
    <w:p>
      <w:pPr>
        <w:ind w:firstLine="638" w:firstLineChars="228"/>
        <w:rPr>
          <w:color w:val="auto"/>
        </w:rPr>
      </w:pPr>
      <w:r>
        <w:rPr>
          <w:rFonts w:hint="eastAsia"/>
          <w:color w:val="auto"/>
        </w:rPr>
        <w:t>用于中药制剂的含量测定方法有重量法、容量法、分光光度法、薄层色谱扫描法、高效液相色谱法、气相色谱法等。书写格式因分析方法不同而异;书写内容要求层次清楚、叙述准确、文字简明扼要。</w:t>
      </w:r>
    </w:p>
    <w:p>
      <w:pPr>
        <w:ind w:firstLine="638" w:firstLineChars="228"/>
        <w:rPr>
          <w:color w:val="auto"/>
        </w:rPr>
      </w:pPr>
      <w:r>
        <w:rPr>
          <w:rFonts w:hint="eastAsia"/>
          <w:color w:val="auto"/>
        </w:rPr>
        <w:t>同一标准中的含量测定项为两项或两项以上时，应在各项之前列出被测物（被测药味或被测成分）的名称。根据不同情况，具体要求如下：</w:t>
      </w:r>
    </w:p>
    <w:p>
      <w:pPr>
        <w:ind w:firstLine="638" w:firstLineChars="228"/>
        <w:rPr>
          <w:color w:val="auto"/>
        </w:rPr>
      </w:pPr>
      <w:r>
        <w:rPr>
          <w:rFonts w:hint="eastAsia"/>
          <w:color w:val="auto"/>
        </w:rPr>
        <w:t>单味药制剂 应分项列出被测成分（单一化学成分或某一类化学成分）的名称。</w:t>
      </w:r>
    </w:p>
    <w:p>
      <w:pPr>
        <w:ind w:firstLine="638" w:firstLineChars="228"/>
        <w:rPr>
          <w:color w:val="auto"/>
        </w:rPr>
      </w:pPr>
      <w:r>
        <w:rPr>
          <w:rFonts w:hint="eastAsia"/>
          <w:color w:val="auto"/>
        </w:rPr>
        <w:t>复方制剂</w:t>
      </w:r>
    </w:p>
    <w:p>
      <w:pPr>
        <w:ind w:firstLine="638" w:firstLineChars="228"/>
        <w:rPr>
          <w:color w:val="auto"/>
        </w:rPr>
      </w:pPr>
      <w:r>
        <w:rPr>
          <w:rFonts w:hint="eastAsia"/>
          <w:color w:val="auto"/>
        </w:rPr>
        <w:t>a.当各项的被测成分分别归属不同药味时，应分项列出药味的名称。</w:t>
      </w:r>
    </w:p>
    <w:p>
      <w:pPr>
        <w:ind w:firstLine="638" w:firstLineChars="228"/>
        <w:rPr>
          <w:color w:val="auto"/>
        </w:rPr>
      </w:pPr>
      <w:r>
        <w:rPr>
          <w:rFonts w:hint="eastAsia"/>
          <w:color w:val="auto"/>
        </w:rPr>
        <w:t>b.当不同项的被测成分归属同一味药时，应先列出药味名称，再分项列出被测成分的名称。</w:t>
      </w:r>
    </w:p>
    <w:p>
      <w:pPr>
        <w:ind w:firstLine="638" w:firstLineChars="228"/>
        <w:rPr>
          <w:color w:val="auto"/>
        </w:rPr>
      </w:pPr>
      <w:r>
        <w:rPr>
          <w:rFonts w:hint="eastAsia"/>
          <w:color w:val="auto"/>
        </w:rPr>
        <w:t>c.当被测成分为多种药味的共有成分时，应在项目前并列各药昧的名称。</w:t>
      </w:r>
    </w:p>
    <w:p>
      <w:pPr>
        <w:ind w:firstLine="638" w:firstLineChars="228"/>
        <w:rPr>
          <w:color w:val="auto"/>
        </w:rPr>
      </w:pPr>
      <w:r>
        <w:rPr>
          <w:rFonts w:hint="eastAsia"/>
          <w:color w:val="auto"/>
        </w:rPr>
        <w:t>d.当被测成分为某一类化学成分时，列出化学成分类别（总生物碱，总黄酮，总皂苷等）的名称即可。</w:t>
      </w:r>
    </w:p>
    <w:p>
      <w:pPr>
        <w:ind w:firstLine="638" w:firstLineChars="228"/>
        <w:rPr>
          <w:color w:val="auto"/>
        </w:rPr>
      </w:pPr>
      <w:r>
        <w:rPr>
          <w:rFonts w:hint="eastAsia"/>
          <w:color w:val="auto"/>
        </w:rPr>
        <w:t>9.1重量法</w:t>
      </w:r>
    </w:p>
    <w:p>
      <w:pPr>
        <w:ind w:firstLine="638" w:firstLineChars="228"/>
        <w:rPr>
          <w:color w:val="auto"/>
        </w:rPr>
      </w:pPr>
      <w:r>
        <w:rPr>
          <w:rFonts w:hint="eastAsia"/>
          <w:color w:val="auto"/>
        </w:rPr>
        <w:t>书写要求：应叙述供试品的提取、分离、纯化步骤以及千燥条件，必要时须写明换算因子（采用四位有效数字）。</w:t>
      </w:r>
    </w:p>
    <w:p>
      <w:pPr>
        <w:ind w:firstLine="638" w:firstLineChars="228"/>
        <w:rPr>
          <w:color w:val="auto"/>
        </w:rPr>
      </w:pPr>
      <w:r>
        <w:rPr>
          <w:rFonts w:hint="eastAsia"/>
          <w:color w:val="auto"/>
        </w:rPr>
        <w:t>例：西瓜霜 取本品60片，精密称定，研细，取约18g，精密称定，加水150ml，振摇10分钟，离心，滤过，沉淀物用水50ml分3次洗涤，离心，滤过，合并滤液，加盐酸1ml，煮沸，不断搅拌，并缓缓加入热氯化钡试液使沉淀完全，置水浴上加热30分钟，静置1小时，用无灰滤纸或已炽灼至恒重的古氏坩埚滤过，沉淀用水分次洗涤，至洗液不再显氯化物的反应，干燥，并炽灼至恒重，精密称定，将结果乘以0.6086，计算，即得。</w:t>
      </w:r>
    </w:p>
    <w:p>
      <w:pPr>
        <w:ind w:firstLine="638" w:firstLineChars="228"/>
        <w:rPr>
          <w:color w:val="auto"/>
        </w:rPr>
      </w:pPr>
      <w:r>
        <w:rPr>
          <w:rFonts w:hint="eastAsia"/>
          <w:color w:val="auto"/>
        </w:rPr>
        <w:t>本品每片含西瓜霜以硫酸钠（Na</w:t>
      </w:r>
      <w:r>
        <w:rPr>
          <w:rFonts w:hint="eastAsia"/>
          <w:color w:val="auto"/>
          <w:vertAlign w:val="subscript"/>
        </w:rPr>
        <w:t>2</w:t>
      </w:r>
      <w:r>
        <w:rPr>
          <w:rFonts w:hint="eastAsia"/>
          <w:color w:val="auto"/>
        </w:rPr>
        <w:t>S0</w:t>
      </w:r>
      <w:r>
        <w:rPr>
          <w:rFonts w:hint="eastAsia"/>
          <w:color w:val="auto"/>
          <w:vertAlign w:val="subscript"/>
        </w:rPr>
        <w:t>4</w:t>
      </w:r>
      <w:r>
        <w:rPr>
          <w:rFonts w:hint="eastAsia"/>
          <w:color w:val="auto"/>
        </w:rPr>
        <w:t>）计，小片应为11.5</w:t>
      </w:r>
      <w:r>
        <w:rPr>
          <w:rFonts w:ascii="Times New Roman" w:hAnsi="Times New Roman" w:cs="Times New Roman"/>
          <w:color w:val="auto"/>
        </w:rPr>
        <w:t>~</w:t>
      </w:r>
      <w:r>
        <w:rPr>
          <w:rFonts w:hint="eastAsia"/>
          <w:color w:val="auto"/>
        </w:rPr>
        <w:t>13.5mg，大片应为23</w:t>
      </w:r>
      <w:r>
        <w:rPr>
          <w:rFonts w:ascii="Times New Roman" w:hAnsi="Times New Roman" w:cs="Times New Roman"/>
          <w:color w:val="auto"/>
        </w:rPr>
        <w:t>~</w:t>
      </w:r>
      <w:r>
        <w:rPr>
          <w:rFonts w:hint="eastAsia"/>
          <w:color w:val="auto"/>
        </w:rPr>
        <w:t>27mg。</w:t>
      </w:r>
    </w:p>
    <w:p>
      <w:pPr>
        <w:ind w:firstLine="638" w:firstLineChars="228"/>
        <w:rPr>
          <w:color w:val="auto"/>
        </w:rPr>
      </w:pPr>
      <w:r>
        <w:rPr>
          <w:rFonts w:hint="eastAsia"/>
          <w:color w:val="auto"/>
        </w:rPr>
        <w:t>9.2容量法</w:t>
      </w:r>
    </w:p>
    <w:p>
      <w:pPr>
        <w:ind w:firstLine="638" w:firstLineChars="228"/>
        <w:rPr>
          <w:color w:val="auto"/>
        </w:rPr>
      </w:pPr>
      <w:r>
        <w:rPr>
          <w:rFonts w:hint="eastAsia"/>
          <w:color w:val="auto"/>
        </w:rPr>
        <w:t>容量法包括酸碱滴定法、银量法、容量沉淀滴定法、络合滴定法、碘量法、重铬酸钾法和硫氰酸铵滴定法。</w:t>
      </w:r>
    </w:p>
    <w:p>
      <w:pPr>
        <w:ind w:firstLine="638" w:firstLineChars="228"/>
        <w:rPr>
          <w:color w:val="auto"/>
        </w:rPr>
      </w:pPr>
      <w:r>
        <w:rPr>
          <w:rFonts w:hint="eastAsia"/>
          <w:color w:val="auto"/>
        </w:rPr>
        <w:t>书写要求：当供试品需经过提取或有机破坏后再进行定量分析时，须写明供试品的前处理方法，在标准中给出每1ml滴定液相当于被测成分（用分子式表示）的滴定度（采用四位有效数字）。</w:t>
      </w:r>
    </w:p>
    <w:p>
      <w:pPr>
        <w:ind w:firstLine="638" w:firstLineChars="228"/>
        <w:rPr>
          <w:color w:val="auto"/>
        </w:rPr>
      </w:pPr>
      <w:r>
        <w:rPr>
          <w:rFonts w:hint="eastAsia"/>
          <w:color w:val="auto"/>
        </w:rPr>
        <w:t>采用回滴定法时，应根据实验操作，写出“将滴定的结果用空白试验校正”的步骤。</w:t>
      </w:r>
    </w:p>
    <w:p>
      <w:pPr>
        <w:ind w:firstLine="638" w:firstLineChars="228"/>
        <w:rPr>
          <w:color w:val="auto"/>
        </w:rPr>
      </w:pPr>
      <w:r>
        <w:rPr>
          <w:rFonts w:hint="eastAsia"/>
          <w:color w:val="auto"/>
        </w:rPr>
        <w:t>例：取本品20片，精密称定，研细，精密称取适量（约相当于总生物碱80mg）置具塞锥形瓶中，加乙酸乙酯25ml，振摇30分钟，滤过，用乙酸乙酯10ml分三次洗涤容器及滤渣，洗液与滤液合并，置水浴上蒸干，残渣用无水乙醇10ml溶解，精密加入硫酸滴定液（0.01mol/L） 25ml与甲基红指示液2滴，用氢氧化钠滴定液（0.02mol/L）滴定，将滴定结果用空白试验校正，即得。每1ml硫酸滴定液（0.01mol/L）相当于6.248mg蝙蝠葛碱（C</w:t>
      </w:r>
      <w:r>
        <w:rPr>
          <w:rFonts w:hint="eastAsia"/>
          <w:color w:val="auto"/>
          <w:vertAlign w:val="subscript"/>
        </w:rPr>
        <w:t>38</w:t>
      </w:r>
      <w:r>
        <w:rPr>
          <w:rFonts w:hint="eastAsia"/>
          <w:color w:val="auto"/>
        </w:rPr>
        <w:t>H</w:t>
      </w:r>
      <w:r>
        <w:rPr>
          <w:rFonts w:hint="eastAsia"/>
          <w:color w:val="auto"/>
          <w:vertAlign w:val="subscript"/>
        </w:rPr>
        <w:t>44</w:t>
      </w:r>
      <w:r>
        <w:rPr>
          <w:rFonts w:hint="eastAsia"/>
          <w:color w:val="auto"/>
        </w:rPr>
        <w:t>N</w:t>
      </w:r>
      <w:r>
        <w:rPr>
          <w:rFonts w:hint="eastAsia"/>
          <w:color w:val="auto"/>
          <w:vertAlign w:val="subscript"/>
        </w:rPr>
        <w:t>2</w:t>
      </w:r>
      <w:r>
        <w:rPr>
          <w:rFonts w:hint="eastAsia"/>
          <w:color w:val="auto"/>
        </w:rPr>
        <w:t>0</w:t>
      </w:r>
      <w:r>
        <w:rPr>
          <w:rFonts w:hint="eastAsia"/>
          <w:color w:val="auto"/>
          <w:vertAlign w:val="subscript"/>
        </w:rPr>
        <w:t>6</w:t>
      </w:r>
      <w:r>
        <w:rPr>
          <w:rFonts w:hint="eastAsia"/>
          <w:color w:val="auto"/>
        </w:rPr>
        <w:t>）。</w:t>
      </w:r>
    </w:p>
    <w:p>
      <w:pPr>
        <w:ind w:firstLine="638" w:firstLineChars="228"/>
        <w:rPr>
          <w:color w:val="auto"/>
        </w:rPr>
      </w:pPr>
      <w:r>
        <w:rPr>
          <w:rFonts w:hint="eastAsia"/>
          <w:color w:val="auto"/>
        </w:rPr>
        <w:t>本品含总生物碱以蝙蝠葛碱（C</w:t>
      </w:r>
      <w:r>
        <w:rPr>
          <w:rFonts w:hint="eastAsia"/>
          <w:color w:val="auto"/>
          <w:vertAlign w:val="subscript"/>
        </w:rPr>
        <w:t>38</w:t>
      </w:r>
      <w:r>
        <w:rPr>
          <w:rFonts w:hint="eastAsia"/>
          <w:color w:val="auto"/>
        </w:rPr>
        <w:t>H</w:t>
      </w:r>
      <w:r>
        <w:rPr>
          <w:rFonts w:hint="eastAsia"/>
          <w:color w:val="auto"/>
          <w:vertAlign w:val="subscript"/>
        </w:rPr>
        <w:t>44</w:t>
      </w:r>
      <w:r>
        <w:rPr>
          <w:rFonts w:hint="eastAsia"/>
          <w:color w:val="auto"/>
        </w:rPr>
        <w:t>N</w:t>
      </w:r>
      <w:r>
        <w:rPr>
          <w:rFonts w:hint="eastAsia"/>
          <w:color w:val="auto"/>
          <w:vertAlign w:val="subscript"/>
        </w:rPr>
        <w:t>2</w:t>
      </w:r>
      <w:r>
        <w:rPr>
          <w:rFonts w:hint="eastAsia"/>
          <w:color w:val="auto"/>
        </w:rPr>
        <w:t>0</w:t>
      </w:r>
      <w:r>
        <w:rPr>
          <w:rFonts w:hint="eastAsia"/>
          <w:color w:val="auto"/>
          <w:vertAlign w:val="subscript"/>
        </w:rPr>
        <w:t>6</w:t>
      </w:r>
      <w:r>
        <w:rPr>
          <w:rFonts w:hint="eastAsia"/>
          <w:color w:val="auto"/>
        </w:rPr>
        <w:t>）计，应为标示量的90.0%</w:t>
      </w:r>
      <w:r>
        <w:rPr>
          <w:rFonts w:ascii="Times New Roman" w:hAnsi="Times New Roman" w:cs="Times New Roman"/>
          <w:color w:val="auto"/>
        </w:rPr>
        <w:t>~</w:t>
      </w:r>
      <w:r>
        <w:rPr>
          <w:rFonts w:hint="eastAsia"/>
          <w:color w:val="auto"/>
        </w:rPr>
        <w:t>110.0%。</w:t>
      </w:r>
    </w:p>
    <w:p>
      <w:pPr>
        <w:ind w:firstLine="638" w:firstLineChars="228"/>
        <w:rPr>
          <w:color w:val="auto"/>
        </w:rPr>
      </w:pPr>
      <w:r>
        <w:rPr>
          <w:rFonts w:hint="eastAsia"/>
          <w:color w:val="auto"/>
        </w:rPr>
        <w:t>9.3分光光度法</w:t>
      </w:r>
    </w:p>
    <w:p>
      <w:pPr>
        <w:ind w:firstLine="638" w:firstLineChars="228"/>
        <w:rPr>
          <w:color w:val="auto"/>
        </w:rPr>
      </w:pPr>
      <w:r>
        <w:rPr>
          <w:rFonts w:hint="eastAsia"/>
          <w:color w:val="auto"/>
        </w:rPr>
        <w:t>9.3.1紫外-可见分光光度法</w:t>
      </w:r>
    </w:p>
    <w:p>
      <w:pPr>
        <w:ind w:firstLine="638" w:firstLineChars="228"/>
        <w:rPr>
          <w:color w:val="auto"/>
        </w:rPr>
      </w:pPr>
      <w:r>
        <w:rPr>
          <w:rFonts w:hint="eastAsia"/>
          <w:color w:val="auto"/>
        </w:rPr>
        <w:t>常用的分光光度法有对照品比较法和比色法。</w:t>
      </w:r>
    </w:p>
    <w:p>
      <w:pPr>
        <w:ind w:firstLine="638" w:firstLineChars="228"/>
        <w:rPr>
          <w:color w:val="auto"/>
        </w:rPr>
      </w:pPr>
      <w:r>
        <w:rPr>
          <w:rFonts w:hint="eastAsia"/>
          <w:color w:val="auto"/>
        </w:rPr>
        <w:t>9.3.1.1书写要求</w:t>
      </w:r>
    </w:p>
    <w:p>
      <w:pPr>
        <w:ind w:firstLine="638" w:firstLineChars="228"/>
        <w:rPr>
          <w:color w:val="auto"/>
        </w:rPr>
      </w:pPr>
      <w:r>
        <w:rPr>
          <w:rFonts w:hint="eastAsia"/>
          <w:color w:val="auto"/>
        </w:rPr>
        <w:t>a.书写内容包括：对照品溶液的制备，标准曲线的制备，供试品溶液的制备，测定方法，并规定含量限度。</w:t>
      </w:r>
    </w:p>
    <w:p>
      <w:pPr>
        <w:ind w:firstLine="638" w:firstLineChars="228"/>
        <w:rPr>
          <w:color w:val="auto"/>
        </w:rPr>
      </w:pPr>
      <w:r>
        <w:rPr>
          <w:rFonts w:hint="eastAsia"/>
          <w:color w:val="auto"/>
        </w:rPr>
        <w:t>b.对照品溶液的制备方法中需叙述对照品溶液配制的具体操作，并注明其浓度。</w:t>
      </w:r>
    </w:p>
    <w:p>
      <w:pPr>
        <w:ind w:firstLine="638" w:firstLineChars="228"/>
        <w:rPr>
          <w:color w:val="auto"/>
        </w:rPr>
      </w:pPr>
      <w:r>
        <w:rPr>
          <w:rFonts w:hint="eastAsia"/>
          <w:color w:val="auto"/>
        </w:rPr>
        <w:t>c.标准曲线的制备方法中需叙述用于绘制标准曲线的对照品溶液和空白溶液的配制方法、测定波长及绘制标准曲线的要求。</w:t>
      </w:r>
    </w:p>
    <w:p>
      <w:pPr>
        <w:ind w:firstLine="638" w:firstLineChars="228"/>
        <w:rPr>
          <w:color w:val="auto"/>
        </w:rPr>
      </w:pPr>
      <w:r>
        <w:rPr>
          <w:rFonts w:hint="eastAsia"/>
          <w:color w:val="auto"/>
        </w:rPr>
        <w:t>例：总黄酮 对照品溶液的制备 取芦丁对照品0.2g，精密称定，置100ml量瓶中，加70%乙醇70ml，置水浴上微热使溶解，放冷，加70%乙醇至刻度，摇匀。精密量取10ml，置100ml量瓶中，加水至刻度，摇匀，即得（每1ml含芦丁0.2mg）。</w:t>
      </w:r>
    </w:p>
    <w:p>
      <w:pPr>
        <w:ind w:firstLine="638" w:firstLineChars="228"/>
        <w:rPr>
          <w:color w:val="auto"/>
        </w:rPr>
      </w:pPr>
      <w:r>
        <w:rPr>
          <w:rFonts w:hint="eastAsia"/>
          <w:color w:val="auto"/>
        </w:rPr>
        <w:t>标准曲线的制备精密 量取对照品溶液1ml、2ml、 3ml、 4ml、5ml、6ml，分别置25ml量瓶中，加水至6ml，加5%亚硝酸钠溶液1ml，混匀，放置6分钟，加10%硝酸铝溶液1ml，摇匀，放置6分钟，加氢氧化钠试液10ml，再加水至刻度，摇匀，放置15分钟；以相应的溶液为空白。照紫外-可见分光光度法（通则0401），在500nm波长处测定吸光度，以吸光度为纵坐标、被测溶液的浓度为横坐标绘制标准曲线。</w:t>
      </w:r>
    </w:p>
    <w:p>
      <w:pPr>
        <w:ind w:firstLine="638" w:firstLineChars="228"/>
        <w:rPr>
          <w:color w:val="auto"/>
        </w:rPr>
      </w:pPr>
      <w:r>
        <w:rPr>
          <w:rFonts w:hint="eastAsia"/>
          <w:color w:val="auto"/>
        </w:rPr>
        <w:t>测定法 取装量差异项下的本品内容物，混匀，研细，取0.6g，精密称定，置100ml量瓶中，加70%乙醇70ml，置水浴上微热并时时振摇30分钟，放冷，加70%乙醇至刻度，摇匀，取适量，离心（转速为每分钟4000转）10分钟，精密量取上清液1ml，置25ml量瓶中，照标准曲线的制备项下的方法，自“加水至6ml”起同法操作，测定吸光度，从标准曲线上读出供试品溶液中芦丁的含量，计算，即得。</w:t>
      </w:r>
    </w:p>
    <w:p>
      <w:pPr>
        <w:ind w:firstLine="638" w:firstLineChars="228"/>
        <w:rPr>
          <w:color w:val="auto"/>
        </w:rPr>
      </w:pPr>
      <w:r>
        <w:rPr>
          <w:rFonts w:hint="eastAsia"/>
          <w:color w:val="auto"/>
        </w:rPr>
        <w:t>本品每粒含总黄酮以芦丁（C</w:t>
      </w:r>
      <w:r>
        <w:rPr>
          <w:rFonts w:hint="eastAsia"/>
          <w:color w:val="auto"/>
          <w:vertAlign w:val="subscript"/>
        </w:rPr>
        <w:t>27</w:t>
      </w:r>
      <w:r>
        <w:rPr>
          <w:rFonts w:hint="eastAsia"/>
          <w:color w:val="auto"/>
        </w:rPr>
        <w:t>H</w:t>
      </w:r>
      <w:r>
        <w:rPr>
          <w:rFonts w:hint="eastAsia"/>
          <w:color w:val="auto"/>
          <w:vertAlign w:val="subscript"/>
        </w:rPr>
        <w:t>30</w:t>
      </w:r>
      <w:r>
        <w:rPr>
          <w:rFonts w:hint="eastAsia"/>
          <w:color w:val="auto"/>
        </w:rPr>
        <w:t>O</w:t>
      </w:r>
      <w:r>
        <w:rPr>
          <w:rFonts w:hint="eastAsia"/>
          <w:color w:val="auto"/>
          <w:vertAlign w:val="subscript"/>
        </w:rPr>
        <w:t>16</w:t>
      </w:r>
      <w:r>
        <w:rPr>
          <w:rFonts w:hint="eastAsia"/>
          <w:color w:val="auto"/>
        </w:rPr>
        <w:t>）计，不得少于26mg。</w:t>
      </w:r>
    </w:p>
    <w:p>
      <w:pPr>
        <w:ind w:firstLine="638" w:firstLineChars="228"/>
        <w:rPr>
          <w:color w:val="auto"/>
        </w:rPr>
      </w:pPr>
      <w:r>
        <w:rPr>
          <w:rFonts w:hint="eastAsia"/>
          <w:color w:val="auto"/>
        </w:rPr>
        <w:t>9.3.2原子吸收分光光度法</w:t>
      </w:r>
    </w:p>
    <w:p>
      <w:pPr>
        <w:ind w:firstLine="638" w:firstLineChars="228"/>
        <w:rPr>
          <w:color w:val="auto"/>
        </w:rPr>
      </w:pPr>
      <w:r>
        <w:rPr>
          <w:rFonts w:hint="eastAsia"/>
          <w:color w:val="auto"/>
        </w:rPr>
        <w:t>中药制剂中的金属元素及某些非金属元素的含量测定可选用原子吸收分光光度法。</w:t>
      </w:r>
    </w:p>
    <w:p>
      <w:pPr>
        <w:ind w:firstLine="638" w:firstLineChars="228"/>
        <w:rPr>
          <w:color w:val="auto"/>
        </w:rPr>
      </w:pPr>
      <w:r>
        <w:rPr>
          <w:rFonts w:hint="eastAsia"/>
          <w:color w:val="auto"/>
        </w:rPr>
        <w:t>9.3.2.1书写要求</w:t>
      </w:r>
    </w:p>
    <w:p>
      <w:pPr>
        <w:ind w:firstLine="638" w:firstLineChars="228"/>
        <w:rPr>
          <w:color w:val="auto"/>
        </w:rPr>
      </w:pPr>
      <w:r>
        <w:rPr>
          <w:rFonts w:hint="eastAsia"/>
          <w:color w:val="auto"/>
        </w:rPr>
        <w:t>书写内容包括：对照品溶液的制备，供试品溶液的制备，测定方法，并规定含量限度。</w:t>
      </w:r>
    </w:p>
    <w:p>
      <w:pPr>
        <w:ind w:firstLine="638" w:firstLineChars="228"/>
        <w:rPr>
          <w:color w:val="auto"/>
        </w:rPr>
      </w:pPr>
      <w:r>
        <w:rPr>
          <w:rFonts w:hint="eastAsia"/>
          <w:color w:val="auto"/>
        </w:rPr>
        <w:t>例：对照品溶液的制备 取碳酸钙基准物约60mg，精密称定，置100ml量瓶中，用水10ml湿润后，用稀盐酸5ml溶解，加水至刻度，摇匀，精密量取25ml，置100ml量瓶中，加水至刻度，摇匀，量取1.0、1.5、2.0、2.5、3.0ml，分别置25ml量瓶中，各加镧试液1ml，加水至刻度，摇匀，即得。</w:t>
      </w:r>
    </w:p>
    <w:p>
      <w:pPr>
        <w:ind w:firstLine="638" w:firstLineChars="228"/>
        <w:rPr>
          <w:color w:val="auto"/>
        </w:rPr>
      </w:pPr>
      <w:r>
        <w:rPr>
          <w:rFonts w:hint="eastAsia"/>
          <w:color w:val="auto"/>
        </w:rPr>
        <w:t>供试品溶液的制备 取装量差异项下的本品，混匀，取适量，研细，取0.5g或0.3g（无蔗糖），精密称定，置100ml量瓶中，用水10ml湿润后用稀盐酸5ml溶解，加水至刻度，摇匀，滤过。精密量取续滤液2ml，置25ml量瓶中，加镧试液1ml，加水至刻度，摇匀，即得。</w:t>
      </w:r>
    </w:p>
    <w:p>
      <w:pPr>
        <w:ind w:firstLine="638" w:firstLineChars="228"/>
        <w:rPr>
          <w:color w:val="auto"/>
        </w:rPr>
      </w:pPr>
      <w:r>
        <w:rPr>
          <w:rFonts w:hint="eastAsia"/>
          <w:color w:val="auto"/>
        </w:rPr>
        <w:t>测定法 取对照品溶液与供试品溶液，依法（通则0406第一法），在422.7nm的波长处测定，计算，即得。</w:t>
      </w:r>
    </w:p>
    <w:p>
      <w:pPr>
        <w:ind w:firstLine="638" w:firstLineChars="228"/>
        <w:rPr>
          <w:color w:val="auto"/>
        </w:rPr>
      </w:pPr>
      <w:r>
        <w:rPr>
          <w:rFonts w:hint="eastAsia"/>
          <w:color w:val="auto"/>
        </w:rPr>
        <w:t>本品每袋含钙（Ca）不得少于45.0mg。</w:t>
      </w:r>
    </w:p>
    <w:p>
      <w:pPr>
        <w:ind w:firstLine="638" w:firstLineChars="228"/>
        <w:rPr>
          <w:color w:val="auto"/>
        </w:rPr>
      </w:pPr>
      <w:r>
        <w:rPr>
          <w:rFonts w:hint="eastAsia"/>
          <w:color w:val="auto"/>
        </w:rPr>
        <w:t>9.5高效液相色谱法</w:t>
      </w:r>
    </w:p>
    <w:p>
      <w:pPr>
        <w:ind w:firstLine="638" w:firstLineChars="228"/>
        <w:rPr>
          <w:color w:val="auto"/>
        </w:rPr>
      </w:pPr>
      <w:r>
        <w:rPr>
          <w:rFonts w:hint="eastAsia"/>
          <w:color w:val="auto"/>
        </w:rPr>
        <w:t>高效液相色谱法具有专属性强、分离度好的特点，是目前中药制剂最常用的定量分析方法，标准中多采用外标法。外标法通常系按峰面积计算被测成分的含量，在文字上无须表述。</w:t>
      </w:r>
    </w:p>
    <w:p>
      <w:pPr>
        <w:ind w:firstLine="638" w:firstLineChars="228"/>
        <w:rPr>
          <w:color w:val="auto"/>
        </w:rPr>
      </w:pPr>
      <w:r>
        <w:rPr>
          <w:rFonts w:hint="eastAsia"/>
          <w:color w:val="auto"/>
        </w:rPr>
        <w:t>9.5.1书写要求</w:t>
      </w:r>
    </w:p>
    <w:p>
      <w:pPr>
        <w:ind w:firstLine="638" w:firstLineChars="228"/>
        <w:rPr>
          <w:color w:val="auto"/>
        </w:rPr>
      </w:pPr>
      <w:r>
        <w:rPr>
          <w:rFonts w:hint="eastAsia"/>
          <w:color w:val="auto"/>
        </w:rPr>
        <w:t>9.5.1.1书写内容包括：色谱条件与系统适用性试验，对照品溶液的制备方法，供试品溶液的制备方法，测定方法，并规定含量限度。</w:t>
      </w:r>
    </w:p>
    <w:p>
      <w:pPr>
        <w:ind w:firstLine="638" w:firstLineChars="228"/>
        <w:rPr>
          <w:color w:val="auto"/>
        </w:rPr>
      </w:pPr>
      <w:r>
        <w:rPr>
          <w:rFonts w:hint="eastAsia"/>
          <w:color w:val="auto"/>
        </w:rPr>
        <w:t>9.5.1.2在“色谱条件与系统适用性试验”中，应写明固定相、流动相、检测器（紫外检测器除外）、检测波长、理论板数及被测成分与相邻物质峰的分离度要求等。其中，流动相中溶剂的书写顺序应按溶剂的极性由小到大排列。</w:t>
      </w:r>
    </w:p>
    <w:p>
      <w:pPr>
        <w:ind w:firstLine="638" w:firstLineChars="228"/>
        <w:rPr>
          <w:color w:val="auto"/>
        </w:rPr>
      </w:pPr>
      <w:r>
        <w:rPr>
          <w:rFonts w:hint="eastAsia"/>
          <w:color w:val="auto"/>
        </w:rPr>
        <w:t>9.5.1.3当柱温条件在20</w:t>
      </w:r>
      <w:r>
        <w:rPr>
          <w:rFonts w:ascii="Times New Roman" w:hAnsi="Times New Roman" w:cs="Times New Roman"/>
          <w:color w:val="auto"/>
        </w:rPr>
        <w:t>~</w:t>
      </w:r>
      <w:r>
        <w:rPr>
          <w:rFonts w:hint="eastAsia"/>
          <w:color w:val="auto"/>
        </w:rPr>
        <w:t>30℃之外或有特殊要求时，须写明柱温。</w:t>
      </w:r>
    </w:p>
    <w:p>
      <w:pPr>
        <w:ind w:firstLine="638" w:firstLineChars="228"/>
        <w:rPr>
          <w:color w:val="auto"/>
        </w:rPr>
      </w:pPr>
      <w:r>
        <w:rPr>
          <w:rFonts w:hint="eastAsia"/>
          <w:color w:val="auto"/>
        </w:rPr>
        <w:t>9.5.1.4当要求被测成分色谱峰与相邻色谱峰的分离度大于1.5时，可省略其文字叙述，如有其他特殊要求则须写明。</w:t>
      </w:r>
    </w:p>
    <w:p>
      <w:pPr>
        <w:ind w:firstLine="638" w:firstLineChars="228"/>
        <w:rPr>
          <w:color w:val="auto"/>
        </w:rPr>
      </w:pPr>
      <w:r>
        <w:rPr>
          <w:rFonts w:hint="eastAsia"/>
          <w:color w:val="auto"/>
        </w:rPr>
        <w:t>9.6气相色谱法</w:t>
      </w:r>
    </w:p>
    <w:p>
      <w:pPr>
        <w:ind w:firstLine="638" w:firstLineChars="228"/>
        <w:rPr>
          <w:color w:val="auto"/>
        </w:rPr>
      </w:pPr>
      <w:r>
        <w:rPr>
          <w:rFonts w:hint="eastAsia"/>
          <w:color w:val="auto"/>
        </w:rPr>
        <w:t>中药制剂标准中含量测定项的气相色谱法用于测试挥发性成分的含量，分为内标法和外标法。外标法通常系按峰面积计算被测成分的含量，在文字上无须表述。</w:t>
      </w:r>
    </w:p>
    <w:p>
      <w:pPr>
        <w:ind w:firstLine="638" w:firstLineChars="228"/>
        <w:rPr>
          <w:color w:val="auto"/>
        </w:rPr>
      </w:pPr>
      <w:r>
        <w:rPr>
          <w:rFonts w:hint="eastAsia"/>
          <w:color w:val="auto"/>
        </w:rPr>
        <w:t>9.6.1书写要求</w:t>
      </w:r>
    </w:p>
    <w:p>
      <w:pPr>
        <w:ind w:firstLine="638" w:firstLineChars="228"/>
        <w:rPr>
          <w:color w:val="auto"/>
        </w:rPr>
      </w:pPr>
      <w:r>
        <w:rPr>
          <w:rFonts w:hint="eastAsia"/>
          <w:color w:val="auto"/>
        </w:rPr>
        <w:t>9.6.1.1色谱条件</w:t>
      </w:r>
    </w:p>
    <w:p>
      <w:pPr>
        <w:ind w:firstLine="638" w:firstLineChars="228"/>
        <w:rPr>
          <w:color w:val="auto"/>
        </w:rPr>
      </w:pPr>
      <w:r>
        <w:rPr>
          <w:rFonts w:hint="eastAsia"/>
          <w:color w:val="auto"/>
        </w:rPr>
        <w:t>a应写明色谱柱的固定相种类、柱温、分离度、理论板数、检测器种类等。</w:t>
      </w:r>
    </w:p>
    <w:p>
      <w:pPr>
        <w:ind w:firstLine="638" w:firstLineChars="228"/>
        <w:rPr>
          <w:color w:val="auto"/>
        </w:rPr>
      </w:pPr>
      <w:r>
        <w:rPr>
          <w:rFonts w:hint="eastAsia"/>
          <w:color w:val="auto"/>
        </w:rPr>
        <w:t>b.使用填充柱时，应写明固定相的涂布浓度。</w:t>
      </w:r>
    </w:p>
    <w:p>
      <w:pPr>
        <w:ind w:firstLine="638" w:firstLineChars="228"/>
        <w:rPr>
          <w:color w:val="auto"/>
        </w:rPr>
      </w:pPr>
      <w:r>
        <w:rPr>
          <w:rFonts w:hint="eastAsia"/>
          <w:color w:val="auto"/>
        </w:rPr>
        <w:t>c.使用毛细管柱时，应写明柱长、柱内径和涂膜厚度。</w:t>
      </w:r>
    </w:p>
    <w:p>
      <w:pPr>
        <w:ind w:firstLine="638" w:firstLineChars="228"/>
        <w:rPr>
          <w:color w:val="auto"/>
        </w:rPr>
      </w:pPr>
      <w:r>
        <w:rPr>
          <w:rFonts w:hint="eastAsia"/>
          <w:color w:val="auto"/>
        </w:rPr>
        <w:t>d.柱温为程序升温时，应写明初始温度、阶段温度及某阶段温度的保持时间、升温速率。</w:t>
      </w:r>
    </w:p>
    <w:p>
      <w:pPr>
        <w:ind w:firstLine="638" w:firstLineChars="228"/>
        <w:rPr>
          <w:color w:val="auto"/>
        </w:rPr>
      </w:pPr>
      <w:r>
        <w:rPr>
          <w:rFonts w:hint="eastAsia"/>
          <w:color w:val="auto"/>
        </w:rPr>
        <w:t>e.采用分流进样方法时，应明确进样方式和分流比。</w:t>
      </w:r>
    </w:p>
    <w:p>
      <w:pPr>
        <w:ind w:firstLine="638" w:firstLineChars="228"/>
        <w:rPr>
          <w:color w:val="auto"/>
        </w:rPr>
      </w:pPr>
      <w:r>
        <w:rPr>
          <w:rFonts w:hint="eastAsia"/>
          <w:color w:val="auto"/>
        </w:rPr>
        <w:t>f.对分离度的书写要求同高效液相色谱法。</w:t>
      </w:r>
    </w:p>
    <w:p>
      <w:pPr>
        <w:ind w:firstLine="638" w:firstLineChars="228"/>
        <w:rPr>
          <w:color w:val="auto"/>
        </w:rPr>
      </w:pPr>
      <w:r>
        <w:rPr>
          <w:rFonts w:hint="eastAsia"/>
          <w:color w:val="auto"/>
        </w:rPr>
        <w:t>9.6.1.2内标法</w:t>
      </w:r>
    </w:p>
    <w:p>
      <w:pPr>
        <w:ind w:firstLine="638" w:firstLineChars="228"/>
        <w:rPr>
          <w:color w:val="auto"/>
        </w:rPr>
      </w:pPr>
      <w:r>
        <w:rPr>
          <w:rFonts w:hint="eastAsia"/>
          <w:color w:val="auto"/>
        </w:rPr>
        <w:t>a书写内容包括：色谱条件与系统适用性试验，校正因子测定，测定法，并规定含量限度。</w:t>
      </w:r>
    </w:p>
    <w:p>
      <w:pPr>
        <w:ind w:firstLine="638" w:firstLineChars="228"/>
        <w:rPr>
          <w:color w:val="auto"/>
        </w:rPr>
      </w:pPr>
      <w:r>
        <w:rPr>
          <w:rFonts w:hint="eastAsia"/>
          <w:color w:val="auto"/>
        </w:rPr>
        <w:t>b.在“校正因子测定”中，应写明对照品与内标物质的混合溶液的配制方法、测定法及计算校正因子。</w:t>
      </w:r>
    </w:p>
    <w:p>
      <w:pPr>
        <w:ind w:firstLine="638" w:firstLineChars="228"/>
        <w:rPr>
          <w:color w:val="auto"/>
        </w:rPr>
      </w:pPr>
      <w:r>
        <w:rPr>
          <w:rFonts w:hint="eastAsia"/>
          <w:color w:val="auto"/>
        </w:rPr>
        <w:t>c.在“测定法”中，应写明供试品溶液的制备方法、进样量和计算要求。</w:t>
      </w:r>
    </w:p>
    <w:p>
      <w:pPr>
        <w:ind w:firstLine="638" w:firstLineChars="228"/>
        <w:rPr>
          <w:color w:val="auto"/>
        </w:rPr>
      </w:pPr>
      <w:r>
        <w:rPr>
          <w:rFonts w:hint="eastAsia"/>
          <w:color w:val="auto"/>
        </w:rPr>
        <w:t>9.6.1.3外标法</w:t>
      </w:r>
    </w:p>
    <w:p>
      <w:pPr>
        <w:ind w:firstLine="638" w:firstLineChars="228"/>
        <w:rPr>
          <w:color w:val="auto"/>
        </w:rPr>
      </w:pPr>
      <w:r>
        <w:rPr>
          <w:rFonts w:hint="eastAsia"/>
          <w:color w:val="auto"/>
        </w:rPr>
        <w:t>a.书写内容包括：色谱条件与系统适用性试验，对照品溶液的制备，供试品溶液的制备，测定法，并规定含量限度。</w:t>
      </w:r>
    </w:p>
    <w:p>
      <w:pPr>
        <w:ind w:firstLine="638" w:firstLineChars="228"/>
        <w:rPr>
          <w:color w:val="auto"/>
        </w:rPr>
      </w:pPr>
      <w:r>
        <w:rPr>
          <w:rFonts w:hint="eastAsia"/>
          <w:color w:val="auto"/>
        </w:rPr>
        <w:t>b.在“测定法”中，应写明对照品溶液与供试品溶液的精密进样量、测定和计算要求。</w:t>
      </w:r>
    </w:p>
    <w:p>
      <w:pPr>
        <w:ind w:firstLine="638" w:firstLineChars="228"/>
        <w:rPr>
          <w:color w:val="auto"/>
        </w:rPr>
      </w:pPr>
      <w:r>
        <w:rPr>
          <w:rFonts w:hint="eastAsia"/>
          <w:color w:val="auto"/>
        </w:rPr>
        <w:t>9.7其他含量测定方法</w:t>
      </w:r>
    </w:p>
    <w:p>
      <w:pPr>
        <w:ind w:firstLine="638" w:firstLineChars="228"/>
        <w:rPr>
          <w:color w:val="auto"/>
        </w:rPr>
      </w:pPr>
      <w:r>
        <w:rPr>
          <w:rFonts w:hint="eastAsia"/>
          <w:color w:val="auto"/>
        </w:rPr>
        <w:t>中药制剂标准中的定量分析方法还有挥发油测定法、氮测定法等。书写格式举例如下：</w:t>
      </w:r>
    </w:p>
    <w:p>
      <w:pPr>
        <w:ind w:firstLine="638" w:firstLineChars="228"/>
        <w:rPr>
          <w:color w:val="auto"/>
        </w:rPr>
      </w:pPr>
      <w:r>
        <w:rPr>
          <w:rFonts w:hint="eastAsia"/>
          <w:color w:val="auto"/>
        </w:rPr>
        <w:t>例：挥发油取本品40丸，照挥发油测定法（通则2204甲法）测定，所得挥发油量按相对密度为0.940计算，即得。</w:t>
      </w:r>
    </w:p>
    <w:p>
      <w:pPr>
        <w:ind w:firstLine="638" w:firstLineChars="228"/>
        <w:rPr>
          <w:color w:val="auto"/>
        </w:rPr>
      </w:pPr>
      <w:r>
        <w:rPr>
          <w:rFonts w:hint="eastAsia"/>
          <w:color w:val="auto"/>
        </w:rPr>
        <w:t>本品每丸含满山红油应为标示量的90.0%</w:t>
      </w:r>
      <w:r>
        <w:rPr>
          <w:rFonts w:ascii="Times New Roman" w:hAnsi="Times New Roman" w:cs="Times New Roman"/>
          <w:color w:val="auto"/>
        </w:rPr>
        <w:t>~</w:t>
      </w:r>
      <w:r>
        <w:rPr>
          <w:rFonts w:hint="eastAsia"/>
          <w:color w:val="auto"/>
        </w:rPr>
        <w:t>110.0%。</w:t>
      </w:r>
    </w:p>
    <w:p>
      <w:pPr>
        <w:ind w:firstLine="638" w:firstLineChars="228"/>
        <w:rPr>
          <w:color w:val="auto"/>
        </w:rPr>
      </w:pPr>
      <w:r>
        <w:rPr>
          <w:rFonts w:hint="eastAsia"/>
          <w:color w:val="auto"/>
        </w:rPr>
        <w:t>例：总氨基酸 取装量差异项下的本品内容物20mg，精密称定，置180mmX18mm试管中，加6mol/L盐酸溶液6ml，真空封管，置110℃烘箱中水解24小时。打开试管封口，将内容物转移至蒸发皿中，用水25ml分次洗涤试管，洗液并入蒸发皿中，蒸干，残渣用0. 02mol/L盐酸溶液分次洗涤，合并洗涤液，滤过，滤液转移至50ml量瓶中，用0. 02mol/L盐酸溶液稀释至刻度，摇匀，用氨基酸分析仪测定。</w:t>
      </w:r>
    </w:p>
    <w:p>
      <w:pPr>
        <w:ind w:firstLine="638" w:firstLineChars="228"/>
        <w:rPr>
          <w:color w:val="auto"/>
        </w:rPr>
      </w:pPr>
      <w:r>
        <w:rPr>
          <w:rFonts w:hint="eastAsia"/>
          <w:color w:val="auto"/>
        </w:rPr>
        <w:t>本品每粒含总氨基酸不得少于60mg。</w:t>
      </w:r>
    </w:p>
    <w:p>
      <w:pPr>
        <w:ind w:firstLine="638" w:firstLineChars="228"/>
        <w:rPr>
          <w:color w:val="auto"/>
        </w:rPr>
      </w:pPr>
      <w:r>
        <w:rPr>
          <w:rFonts w:hint="eastAsia"/>
          <w:color w:val="auto"/>
        </w:rPr>
        <w:t>例：总氮量 取本品约3g，精密称定，照氮测定法（通则0704第一法）测定，即得。</w:t>
      </w:r>
    </w:p>
    <w:p>
      <w:pPr>
        <w:ind w:firstLine="638" w:firstLineChars="228"/>
        <w:rPr>
          <w:color w:val="auto"/>
        </w:rPr>
      </w:pPr>
      <w:r>
        <w:rPr>
          <w:rFonts w:hint="eastAsia"/>
          <w:color w:val="auto"/>
        </w:rPr>
        <w:t>本品含氮（N）量不得少于1.0%。</w:t>
      </w:r>
    </w:p>
    <w:p>
      <w:pPr>
        <w:ind w:firstLine="638" w:firstLineChars="228"/>
        <w:rPr>
          <w:color w:val="auto"/>
        </w:rPr>
      </w:pPr>
      <w:r>
        <w:rPr>
          <w:rFonts w:hint="eastAsia"/>
          <w:color w:val="auto"/>
        </w:rPr>
        <w:t>9.8补充书写要求</w:t>
      </w:r>
    </w:p>
    <w:p>
      <w:pPr>
        <w:ind w:firstLine="638" w:firstLineChars="228"/>
        <w:rPr>
          <w:color w:val="auto"/>
        </w:rPr>
      </w:pPr>
      <w:r>
        <w:rPr>
          <w:rFonts w:hint="eastAsia"/>
          <w:color w:val="auto"/>
        </w:rPr>
        <w:t>9.8.1供试品的取样操作供试品的取样方法因品种的剂型、规格不同而异，具体要求如下:</w:t>
      </w:r>
    </w:p>
    <w:p>
      <w:pPr>
        <w:ind w:firstLine="638" w:firstLineChars="228"/>
        <w:rPr>
          <w:color w:val="auto"/>
        </w:rPr>
      </w:pPr>
      <w:r>
        <w:rPr>
          <w:rFonts w:hint="eastAsia"/>
          <w:color w:val="auto"/>
        </w:rPr>
        <w:t>9.8.1.1丸剂</w:t>
      </w:r>
    </w:p>
    <w:p>
      <w:pPr>
        <w:ind w:firstLine="638" w:firstLineChars="228"/>
        <w:rPr>
          <w:color w:val="auto"/>
        </w:rPr>
      </w:pPr>
      <w:r>
        <w:rPr>
          <w:rFonts w:hint="eastAsia"/>
          <w:color w:val="auto"/>
        </w:rPr>
        <w:t>大蜜丸取重量差异项下的本品，剪碎，混匀，取Xg，精密称定.....</w:t>
      </w:r>
    </w:p>
    <w:p>
      <w:pPr>
        <w:ind w:firstLine="638" w:firstLineChars="228"/>
        <w:rPr>
          <w:color w:val="auto"/>
        </w:rPr>
      </w:pPr>
      <w:r>
        <w:rPr>
          <w:rFonts w:hint="eastAsia"/>
          <w:color w:val="auto"/>
        </w:rPr>
        <w:t>小蜜丸取本品适量，剪碎，混匀，取Xg，精密称定....</w:t>
      </w:r>
    </w:p>
    <w:p>
      <w:pPr>
        <w:ind w:firstLine="638" w:firstLineChars="228"/>
        <w:rPr>
          <w:color w:val="auto"/>
        </w:rPr>
      </w:pPr>
      <w:r>
        <w:rPr>
          <w:rFonts w:hint="eastAsia"/>
          <w:color w:val="auto"/>
        </w:rPr>
        <w:t>水蜜丸取本品适量，研碎，混匀，取Xg，精密称定.... .</w:t>
      </w:r>
    </w:p>
    <w:p>
      <w:pPr>
        <w:ind w:firstLine="638" w:firstLineChars="228"/>
        <w:rPr>
          <w:color w:val="auto"/>
        </w:rPr>
      </w:pPr>
      <w:r>
        <w:rPr>
          <w:rFonts w:hint="eastAsia"/>
          <w:color w:val="auto"/>
        </w:rPr>
        <w:t>其他类别的丸取本品适量，研细，取Xg，精密称定......</w:t>
      </w:r>
    </w:p>
    <w:p>
      <w:pPr>
        <w:ind w:firstLine="638" w:firstLineChars="228"/>
        <w:rPr>
          <w:color w:val="auto"/>
        </w:rPr>
      </w:pPr>
      <w:r>
        <w:rPr>
          <w:rFonts w:hint="eastAsia"/>
          <w:color w:val="auto"/>
        </w:rPr>
        <w:t>例：供试品溶液的制备 取本品水蜜丸或小蜜丸适量，切碎，取约0.7g，精密称定；或取重量差异项下的大蜜丸，剪碎，取约1g，精密称定，</w:t>
      </w:r>
    </w:p>
    <w:p>
      <w:pPr>
        <w:ind w:firstLine="638" w:firstLineChars="228"/>
        <w:rPr>
          <w:color w:val="auto"/>
        </w:rPr>
      </w:pPr>
      <w:r>
        <w:rPr>
          <w:rFonts w:hint="eastAsia"/>
          <w:color w:val="auto"/>
        </w:rPr>
        <w:t>9.8.1.2散剂</w:t>
      </w:r>
    </w:p>
    <w:p>
      <w:pPr>
        <w:ind w:firstLine="638" w:firstLineChars="228"/>
        <w:rPr>
          <w:color w:val="auto"/>
        </w:rPr>
      </w:pPr>
      <w:r>
        <w:rPr>
          <w:rFonts w:hint="eastAsia"/>
          <w:color w:val="auto"/>
        </w:rPr>
        <w:t>取本品Xg，精密称定....</w:t>
      </w:r>
    </w:p>
    <w:p>
      <w:pPr>
        <w:ind w:firstLine="638" w:firstLineChars="228"/>
        <w:rPr>
          <w:color w:val="auto"/>
        </w:rPr>
      </w:pPr>
      <w:r>
        <w:rPr>
          <w:rFonts w:hint="eastAsia"/>
          <w:color w:val="auto"/>
        </w:rPr>
        <w:t>9.8.1.3颗粒剂</w:t>
      </w:r>
    </w:p>
    <w:p>
      <w:pPr>
        <w:ind w:firstLine="638" w:firstLineChars="228"/>
        <w:rPr>
          <w:color w:val="auto"/>
        </w:rPr>
      </w:pPr>
      <w:r>
        <w:rPr>
          <w:rFonts w:hint="eastAsia"/>
          <w:color w:val="auto"/>
        </w:rPr>
        <w:t>a.取装量差异项下的本品，混匀，研细，取Xg，精密称定......</w:t>
      </w:r>
    </w:p>
    <w:p>
      <w:pPr>
        <w:ind w:firstLine="638" w:firstLineChars="228"/>
        <w:rPr>
          <w:color w:val="auto"/>
        </w:rPr>
      </w:pPr>
      <w:r>
        <w:rPr>
          <w:rFonts w:hint="eastAsia"/>
          <w:color w:val="auto"/>
        </w:rPr>
        <w:t>b.包装规格在3g以上的，可在颗粒混匀之后取适量颗粒进行研细，写成：取装量差异项下的本品，混匀，取适量，研细，取Xg，精密称定....</w:t>
      </w:r>
    </w:p>
    <w:p>
      <w:pPr>
        <w:ind w:firstLine="638" w:firstLineChars="228"/>
        <w:rPr>
          <w:color w:val="auto"/>
        </w:rPr>
      </w:pPr>
      <w:r>
        <w:rPr>
          <w:rFonts w:hint="eastAsia"/>
          <w:color w:val="auto"/>
        </w:rPr>
        <w:t>9.8.1.4片剂</w:t>
      </w:r>
    </w:p>
    <w:p>
      <w:pPr>
        <w:ind w:firstLine="638" w:firstLineChars="228"/>
        <w:rPr>
          <w:color w:val="auto"/>
        </w:rPr>
      </w:pPr>
      <w:r>
        <w:rPr>
          <w:rFonts w:hint="eastAsia"/>
          <w:color w:val="auto"/>
        </w:rPr>
        <w:t>素片取本品X片，精密称定，研细，取Xg，精密称定.....</w:t>
      </w:r>
    </w:p>
    <w:p>
      <w:pPr>
        <w:ind w:firstLine="638" w:firstLineChars="228"/>
        <w:rPr>
          <w:color w:val="auto"/>
        </w:rPr>
      </w:pPr>
      <w:r>
        <w:rPr>
          <w:rFonts w:hint="eastAsia"/>
          <w:color w:val="auto"/>
        </w:rPr>
        <w:t>糖衣片取本品X片，除去糖衣，精密称定，研细，取Xg，精密称定......</w:t>
      </w:r>
    </w:p>
    <w:p>
      <w:pPr>
        <w:ind w:firstLine="638" w:firstLineChars="228"/>
        <w:rPr>
          <w:color w:val="auto"/>
        </w:rPr>
      </w:pPr>
      <w:r>
        <w:rPr>
          <w:rFonts w:hint="eastAsia"/>
          <w:color w:val="auto"/>
        </w:rPr>
        <w:t>薄膜衣片/肠溶衣片取本品X片，除去包衣，精密称定，研细，取Xg，精密称定....</w:t>
      </w:r>
    </w:p>
    <w:p>
      <w:pPr>
        <w:ind w:firstLine="638" w:firstLineChars="228"/>
        <w:rPr>
          <w:color w:val="auto"/>
        </w:rPr>
      </w:pPr>
      <w:r>
        <w:rPr>
          <w:rFonts w:hint="eastAsia"/>
          <w:color w:val="auto"/>
        </w:rPr>
        <w:t>9.8.1.5锭剂</w:t>
      </w:r>
    </w:p>
    <w:p>
      <w:pPr>
        <w:ind w:firstLine="638" w:firstLineChars="228"/>
        <w:rPr>
          <w:color w:val="auto"/>
        </w:rPr>
      </w:pPr>
      <w:r>
        <w:rPr>
          <w:rFonts w:hint="eastAsia"/>
          <w:color w:val="auto"/>
        </w:rPr>
        <w:t>a.以锭数计服用量的品种：取重量差异项下的本品适量，研细，混匀，取Xg，精密称定.....</w:t>
      </w:r>
    </w:p>
    <w:p>
      <w:pPr>
        <w:ind w:firstLine="638" w:firstLineChars="228"/>
        <w:rPr>
          <w:color w:val="auto"/>
        </w:rPr>
      </w:pPr>
      <w:r>
        <w:rPr>
          <w:rFonts w:hint="eastAsia"/>
          <w:color w:val="auto"/>
        </w:rPr>
        <w:t>b.以重量计服用量的品种取本品Xg，精密称定，研碎，取Xg，精密称定.....</w:t>
      </w:r>
      <w:r>
        <w:rPr>
          <w:color w:val="auto"/>
        </w:rPr>
        <w:t>.</w:t>
      </w:r>
    </w:p>
    <w:p>
      <w:pPr>
        <w:ind w:firstLine="638" w:firstLineChars="228"/>
        <w:rPr>
          <w:color w:val="auto"/>
        </w:rPr>
      </w:pPr>
      <w:r>
        <w:rPr>
          <w:rFonts w:hint="eastAsia"/>
          <w:color w:val="auto"/>
        </w:rPr>
        <w:t>9.8.1.6煎膏剂</w:t>
      </w:r>
    </w:p>
    <w:p>
      <w:pPr>
        <w:ind w:firstLine="638" w:firstLineChars="228"/>
        <w:rPr>
          <w:color w:val="auto"/>
        </w:rPr>
      </w:pPr>
      <w:r>
        <w:rPr>
          <w:rFonts w:hint="eastAsia"/>
          <w:color w:val="auto"/>
        </w:rPr>
        <w:t>取本品Xg，精密称定.....</w:t>
      </w:r>
    </w:p>
    <w:p>
      <w:pPr>
        <w:ind w:firstLine="638" w:firstLineChars="228"/>
        <w:rPr>
          <w:color w:val="auto"/>
        </w:rPr>
      </w:pPr>
      <w:r>
        <w:rPr>
          <w:rFonts w:hint="eastAsia"/>
          <w:color w:val="auto"/>
        </w:rPr>
        <w:t>9.8.1.7糖浆剂</w:t>
      </w:r>
    </w:p>
    <w:p>
      <w:pPr>
        <w:ind w:firstLine="638" w:firstLineChars="228"/>
        <w:rPr>
          <w:color w:val="auto"/>
        </w:rPr>
      </w:pPr>
      <w:r>
        <w:rPr>
          <w:rFonts w:hint="eastAsia"/>
          <w:color w:val="auto"/>
        </w:rPr>
        <w:t>a.一般情况下，供试品取样量采用容量计量单位。如：精密量取本品X ml.....</w:t>
      </w:r>
      <w:r>
        <w:rPr>
          <w:color w:val="auto"/>
        </w:rPr>
        <w:t>.</w:t>
      </w:r>
    </w:p>
    <w:p>
      <w:pPr>
        <w:ind w:firstLine="638" w:firstLineChars="228"/>
        <w:rPr>
          <w:color w:val="auto"/>
        </w:rPr>
      </w:pPr>
      <w:r>
        <w:rPr>
          <w:rFonts w:hint="eastAsia"/>
          <w:color w:val="auto"/>
        </w:rPr>
        <w:t>b.当药液黏稠时，也可采用重量计量单位。如：取本品Xg，精密称定......</w:t>
      </w:r>
    </w:p>
    <w:p>
      <w:pPr>
        <w:ind w:firstLine="638" w:firstLineChars="228"/>
        <w:rPr>
          <w:color w:val="auto"/>
        </w:rPr>
      </w:pPr>
      <w:r>
        <w:rPr>
          <w:rFonts w:hint="eastAsia"/>
          <w:color w:val="auto"/>
        </w:rPr>
        <w:t>9.8.1.8贴膏剂</w:t>
      </w:r>
    </w:p>
    <w:p>
      <w:pPr>
        <w:ind w:firstLine="638" w:firstLineChars="228"/>
        <w:rPr>
          <w:color w:val="auto"/>
        </w:rPr>
      </w:pPr>
      <w:r>
        <w:rPr>
          <w:rFonts w:hint="eastAsia"/>
          <w:color w:val="auto"/>
        </w:rPr>
        <w:t>取本品X片，除去盖衬....</w:t>
      </w:r>
      <w:r>
        <w:rPr>
          <w:color w:val="auto"/>
        </w:rPr>
        <w:t>..</w:t>
      </w:r>
    </w:p>
    <w:p>
      <w:pPr>
        <w:ind w:firstLine="638" w:firstLineChars="228"/>
        <w:rPr>
          <w:color w:val="auto"/>
        </w:rPr>
      </w:pPr>
      <w:r>
        <w:rPr>
          <w:rFonts w:hint="eastAsia"/>
          <w:color w:val="auto"/>
        </w:rPr>
        <w:t>9.8.1.9合剂</w:t>
      </w:r>
    </w:p>
    <w:p>
      <w:pPr>
        <w:ind w:firstLine="638" w:firstLineChars="228"/>
        <w:rPr>
          <w:color w:val="auto"/>
        </w:rPr>
      </w:pPr>
      <w:r>
        <w:rPr>
          <w:rFonts w:hint="eastAsia"/>
          <w:color w:val="auto"/>
        </w:rPr>
        <w:t>精密量取本品Xml....</w:t>
      </w:r>
      <w:r>
        <w:rPr>
          <w:color w:val="auto"/>
        </w:rPr>
        <w:t>.</w:t>
      </w:r>
      <w:r>
        <w:rPr>
          <w:rFonts w:hint="eastAsia"/>
          <w:color w:val="auto"/>
        </w:rPr>
        <w:t>.</w:t>
      </w:r>
    </w:p>
    <w:p>
      <w:pPr>
        <w:ind w:firstLine="638" w:firstLineChars="228"/>
        <w:rPr>
          <w:color w:val="auto"/>
        </w:rPr>
      </w:pPr>
      <w:r>
        <w:rPr>
          <w:rFonts w:hint="eastAsia"/>
          <w:color w:val="auto"/>
        </w:rPr>
        <w:t>9.8.1.10滴丸剂</w:t>
      </w:r>
    </w:p>
    <w:p>
      <w:pPr>
        <w:ind w:firstLine="638" w:firstLineChars="228"/>
        <w:rPr>
          <w:color w:val="auto"/>
        </w:rPr>
      </w:pPr>
      <w:r>
        <w:rPr>
          <w:rFonts w:hint="eastAsia"/>
          <w:color w:val="auto"/>
        </w:rPr>
        <w:t>以丸数计服用量的品种取本品X丸，精密称定......</w:t>
      </w:r>
    </w:p>
    <w:p>
      <w:pPr>
        <w:ind w:firstLine="638" w:firstLineChars="228"/>
        <w:rPr>
          <w:color w:val="auto"/>
        </w:rPr>
      </w:pPr>
      <w:r>
        <w:rPr>
          <w:rFonts w:hint="eastAsia"/>
          <w:color w:val="auto"/>
        </w:rPr>
        <w:t>以重量计服用量的品种取本品适量，研碎，取Xg，精密称定......</w:t>
      </w:r>
    </w:p>
    <w:p>
      <w:pPr>
        <w:ind w:firstLine="638" w:firstLineChars="228"/>
        <w:rPr>
          <w:color w:val="auto"/>
        </w:rPr>
      </w:pPr>
      <w:r>
        <w:rPr>
          <w:rFonts w:hint="eastAsia"/>
          <w:color w:val="auto"/>
        </w:rPr>
        <w:t>9.8.1.11胶囊剂</w:t>
      </w:r>
    </w:p>
    <w:p>
      <w:pPr>
        <w:ind w:firstLine="638" w:firstLineChars="228"/>
        <w:rPr>
          <w:color w:val="auto"/>
        </w:rPr>
      </w:pPr>
      <w:r>
        <w:rPr>
          <w:rFonts w:hint="eastAsia"/>
          <w:color w:val="auto"/>
        </w:rPr>
        <w:t>1.当装量差异检查项的取样量足够供试品取样量时，写成：取装量差异项下的本品内容物，混匀，取Xg，精密称定......</w:t>
      </w:r>
    </w:p>
    <w:p>
      <w:pPr>
        <w:ind w:firstLine="638" w:firstLineChars="228"/>
        <w:rPr>
          <w:color w:val="auto"/>
        </w:rPr>
      </w:pPr>
      <w:r>
        <w:rPr>
          <w:rFonts w:hint="eastAsia"/>
          <w:color w:val="auto"/>
        </w:rPr>
        <w:t>b.当装量差异检查项的取样量不够供试品取样管时，应明确胶囊的取用粒数，写成：取本品X粒，同装量差异项下操作，计算每粒的平均装量。取本品内容物，混匀，取Xg，精密称定......</w:t>
      </w:r>
    </w:p>
    <w:p>
      <w:pPr>
        <w:ind w:firstLine="638" w:firstLineChars="228"/>
        <w:rPr>
          <w:color w:val="auto"/>
        </w:rPr>
      </w:pPr>
      <w:r>
        <w:rPr>
          <w:rFonts w:hint="eastAsia"/>
          <w:color w:val="auto"/>
        </w:rPr>
        <w:t>9.8.1.12酒剂</w:t>
      </w:r>
    </w:p>
    <w:p>
      <w:pPr>
        <w:ind w:firstLine="638" w:firstLineChars="228"/>
        <w:rPr>
          <w:color w:val="auto"/>
        </w:rPr>
      </w:pPr>
      <w:r>
        <w:rPr>
          <w:rFonts w:hint="eastAsia"/>
          <w:color w:val="auto"/>
        </w:rPr>
        <w:t>精密量取本品Xml......</w:t>
      </w:r>
    </w:p>
    <w:p>
      <w:pPr>
        <w:ind w:firstLine="638" w:firstLineChars="228"/>
        <w:rPr>
          <w:color w:val="auto"/>
        </w:rPr>
      </w:pPr>
      <w:r>
        <w:rPr>
          <w:rFonts w:hint="eastAsia"/>
          <w:color w:val="auto"/>
        </w:rPr>
        <w:t>9.8.1.13酊剂</w:t>
      </w:r>
    </w:p>
    <w:p>
      <w:pPr>
        <w:ind w:firstLine="638" w:firstLineChars="228"/>
        <w:rPr>
          <w:color w:val="auto"/>
        </w:rPr>
      </w:pPr>
      <w:r>
        <w:rPr>
          <w:rFonts w:hint="eastAsia"/>
          <w:color w:val="auto"/>
        </w:rPr>
        <w:t>精密量取本品Xml......</w:t>
      </w:r>
    </w:p>
    <w:p>
      <w:pPr>
        <w:ind w:firstLine="638" w:firstLineChars="228"/>
        <w:rPr>
          <w:color w:val="auto"/>
        </w:rPr>
      </w:pPr>
      <w:r>
        <w:rPr>
          <w:rFonts w:hint="eastAsia"/>
          <w:color w:val="auto"/>
        </w:rPr>
        <w:t>9.8.1.14流浸膏剂</w:t>
      </w:r>
    </w:p>
    <w:p>
      <w:pPr>
        <w:ind w:firstLine="638" w:firstLineChars="228"/>
        <w:rPr>
          <w:color w:val="auto"/>
        </w:rPr>
      </w:pPr>
      <w:r>
        <w:rPr>
          <w:rFonts w:hint="eastAsia"/>
          <w:color w:val="auto"/>
        </w:rPr>
        <w:t>精密量取本品Xml......</w:t>
      </w:r>
    </w:p>
    <w:p>
      <w:pPr>
        <w:ind w:firstLine="638" w:firstLineChars="228"/>
        <w:rPr>
          <w:color w:val="auto"/>
        </w:rPr>
      </w:pPr>
      <w:r>
        <w:rPr>
          <w:rFonts w:hint="eastAsia"/>
          <w:color w:val="auto"/>
        </w:rPr>
        <w:t>9.8.1.15浸膏剂</w:t>
      </w:r>
    </w:p>
    <w:p>
      <w:pPr>
        <w:ind w:firstLine="638" w:firstLineChars="228"/>
        <w:rPr>
          <w:color w:val="auto"/>
        </w:rPr>
      </w:pPr>
      <w:r>
        <w:rPr>
          <w:rFonts w:hint="eastAsia"/>
          <w:color w:val="auto"/>
        </w:rPr>
        <w:t>取本品Xg，精密称定......</w:t>
      </w:r>
    </w:p>
    <w:p>
      <w:pPr>
        <w:ind w:firstLine="638" w:firstLineChars="228"/>
        <w:rPr>
          <w:color w:val="auto"/>
        </w:rPr>
      </w:pPr>
      <w:r>
        <w:rPr>
          <w:rFonts w:hint="eastAsia"/>
          <w:color w:val="auto"/>
        </w:rPr>
        <w:t>9.8.1.16膏药</w:t>
      </w:r>
    </w:p>
    <w:p>
      <w:pPr>
        <w:ind w:firstLine="638" w:firstLineChars="228"/>
        <w:rPr>
          <w:color w:val="auto"/>
        </w:rPr>
      </w:pPr>
      <w:r>
        <w:rPr>
          <w:rFonts w:hint="eastAsia"/>
          <w:color w:val="auto"/>
        </w:rPr>
        <w:t>取本品X贴，除去裱背，精密称定，取Xg，精密称定......</w:t>
      </w:r>
    </w:p>
    <w:p>
      <w:pPr>
        <w:ind w:firstLine="638" w:firstLineChars="228"/>
        <w:rPr>
          <w:color w:val="auto"/>
        </w:rPr>
      </w:pPr>
      <w:r>
        <w:rPr>
          <w:rFonts w:hint="eastAsia"/>
          <w:color w:val="auto"/>
        </w:rPr>
        <w:t>9.8.1.17软膏剂</w:t>
      </w:r>
    </w:p>
    <w:p>
      <w:pPr>
        <w:ind w:firstLine="638" w:firstLineChars="228"/>
        <w:rPr>
          <w:color w:val="auto"/>
        </w:rPr>
      </w:pPr>
      <w:r>
        <w:rPr>
          <w:rFonts w:hint="eastAsia"/>
          <w:color w:val="auto"/>
        </w:rPr>
        <w:t>取本品内容物Xg，精密称定......</w:t>
      </w:r>
    </w:p>
    <w:p>
      <w:pPr>
        <w:ind w:firstLine="638" w:firstLineChars="228"/>
        <w:rPr>
          <w:color w:val="auto"/>
        </w:rPr>
      </w:pPr>
      <w:r>
        <w:rPr>
          <w:rFonts w:hint="eastAsia"/>
          <w:color w:val="auto"/>
        </w:rPr>
        <w:t>9.8.1.18露剂</w:t>
      </w:r>
    </w:p>
    <w:p>
      <w:pPr>
        <w:ind w:firstLine="638" w:firstLineChars="228"/>
        <w:rPr>
          <w:color w:val="auto"/>
        </w:rPr>
      </w:pPr>
      <w:r>
        <w:rPr>
          <w:rFonts w:hint="eastAsia"/>
          <w:color w:val="auto"/>
        </w:rPr>
        <w:t>精密量取本品Xml.....</w:t>
      </w:r>
    </w:p>
    <w:p>
      <w:pPr>
        <w:ind w:firstLine="638" w:firstLineChars="228"/>
        <w:rPr>
          <w:color w:val="auto"/>
        </w:rPr>
      </w:pPr>
      <w:r>
        <w:rPr>
          <w:rFonts w:hint="eastAsia"/>
          <w:color w:val="auto"/>
        </w:rPr>
        <w:t>9.8.1.19茶剂</w:t>
      </w:r>
    </w:p>
    <w:p>
      <w:pPr>
        <w:ind w:firstLine="638" w:firstLineChars="228"/>
        <w:rPr>
          <w:color w:val="auto"/>
        </w:rPr>
      </w:pPr>
      <w:r>
        <w:rPr>
          <w:rFonts w:hint="eastAsia"/>
          <w:color w:val="auto"/>
        </w:rPr>
        <w:t>块状茶：取重量差异项下的本品，研碎，混匀，取适量，研细，取Xg，精密称定......</w:t>
      </w:r>
    </w:p>
    <w:p>
      <w:pPr>
        <w:ind w:firstLine="638" w:firstLineChars="228"/>
        <w:rPr>
          <w:color w:val="auto"/>
        </w:rPr>
      </w:pPr>
      <w:r>
        <w:rPr>
          <w:rFonts w:hint="eastAsia"/>
          <w:color w:val="auto"/>
        </w:rPr>
        <w:t>袋泡茶：取装量差异项下的本品，混匀，取适量，研细，取Xg，精密称定.....</w:t>
      </w:r>
      <w:r>
        <w:rPr>
          <w:color w:val="auto"/>
        </w:rPr>
        <w:t>.</w:t>
      </w:r>
    </w:p>
    <w:p>
      <w:pPr>
        <w:ind w:firstLine="638" w:firstLineChars="228"/>
        <w:rPr>
          <w:color w:val="auto"/>
        </w:rPr>
      </w:pPr>
      <w:r>
        <w:rPr>
          <w:rFonts w:hint="eastAsia"/>
          <w:color w:val="auto"/>
        </w:rPr>
        <w:t>煎煮茶：取装量差异项下的本品，混匀，取适量，研细，取Xg，精密称定......</w:t>
      </w:r>
    </w:p>
    <w:p>
      <w:pPr>
        <w:ind w:firstLine="638" w:firstLineChars="228"/>
        <w:rPr>
          <w:color w:val="auto"/>
        </w:rPr>
      </w:pPr>
      <w:r>
        <w:rPr>
          <w:rFonts w:hint="eastAsia"/>
          <w:color w:val="auto"/>
        </w:rPr>
        <w:t>9.8.1.20搽剂</w:t>
      </w:r>
    </w:p>
    <w:p>
      <w:pPr>
        <w:ind w:firstLine="638" w:firstLineChars="228"/>
        <w:rPr>
          <w:color w:val="auto"/>
        </w:rPr>
      </w:pPr>
      <w:r>
        <w:rPr>
          <w:rFonts w:hint="eastAsia"/>
          <w:color w:val="auto"/>
        </w:rPr>
        <w:t>精密量取本品Xml......</w:t>
      </w:r>
    </w:p>
    <w:p>
      <w:pPr>
        <w:ind w:firstLine="638" w:firstLineChars="228"/>
        <w:rPr>
          <w:color w:val="auto"/>
        </w:rPr>
      </w:pPr>
      <w:r>
        <w:rPr>
          <w:rFonts w:hint="eastAsia"/>
          <w:color w:val="auto"/>
        </w:rPr>
        <w:t>9.8.1.21洗剂</w:t>
      </w:r>
    </w:p>
    <w:p>
      <w:pPr>
        <w:ind w:firstLine="638" w:firstLineChars="228"/>
        <w:rPr>
          <w:color w:val="auto"/>
        </w:rPr>
      </w:pPr>
      <w:r>
        <w:rPr>
          <w:rFonts w:hint="eastAsia"/>
          <w:color w:val="auto"/>
        </w:rPr>
        <w:t>精密量取本品Xml.....</w:t>
      </w:r>
    </w:p>
    <w:p>
      <w:pPr>
        <w:ind w:firstLine="638" w:firstLineChars="228"/>
        <w:rPr>
          <w:color w:val="auto"/>
        </w:rPr>
      </w:pPr>
      <w:r>
        <w:rPr>
          <w:rFonts w:hint="eastAsia"/>
          <w:color w:val="auto"/>
        </w:rPr>
        <w:t>9.8.1.22涂膜剂</w:t>
      </w:r>
    </w:p>
    <w:p>
      <w:pPr>
        <w:ind w:firstLine="638" w:firstLineChars="228"/>
        <w:rPr>
          <w:color w:val="auto"/>
        </w:rPr>
      </w:pPr>
      <w:r>
        <w:rPr>
          <w:rFonts w:hint="eastAsia"/>
          <w:color w:val="auto"/>
        </w:rPr>
        <w:t>精密量取本品Xml.....</w:t>
      </w:r>
    </w:p>
    <w:p>
      <w:pPr>
        <w:ind w:firstLine="638" w:firstLineChars="228"/>
        <w:rPr>
          <w:color w:val="auto"/>
        </w:rPr>
      </w:pPr>
      <w:r>
        <w:rPr>
          <w:rFonts w:hint="eastAsia"/>
          <w:color w:val="auto"/>
        </w:rPr>
        <w:t>9.8.1.24栓剂</w:t>
      </w:r>
    </w:p>
    <w:p>
      <w:pPr>
        <w:ind w:firstLine="638" w:firstLineChars="228"/>
        <w:rPr>
          <w:color w:val="auto"/>
        </w:rPr>
      </w:pPr>
      <w:r>
        <w:rPr>
          <w:rFonts w:hint="eastAsia"/>
          <w:color w:val="auto"/>
        </w:rPr>
        <w:t>取本品X粒，精密称定.....</w:t>
      </w:r>
      <w:r>
        <w:rPr>
          <w:color w:val="auto"/>
        </w:rPr>
        <w:t>.</w:t>
      </w:r>
    </w:p>
    <w:p>
      <w:pPr>
        <w:ind w:firstLine="638" w:firstLineChars="228"/>
        <w:rPr>
          <w:color w:val="auto"/>
        </w:rPr>
      </w:pPr>
      <w:r>
        <w:rPr>
          <w:rFonts w:hint="eastAsia"/>
          <w:color w:val="auto"/>
        </w:rPr>
        <w:t>9.8.1.25气雾剂、喷雾剂</w:t>
      </w:r>
    </w:p>
    <w:p>
      <w:pPr>
        <w:ind w:firstLine="638" w:firstLineChars="228"/>
        <w:rPr>
          <w:color w:val="auto"/>
        </w:rPr>
      </w:pPr>
      <w:r>
        <w:rPr>
          <w:rFonts w:hint="eastAsia"/>
          <w:color w:val="auto"/>
        </w:rPr>
        <w:t>取本品Xg，精密称定......</w:t>
      </w:r>
    </w:p>
    <w:p>
      <w:pPr>
        <w:ind w:firstLine="638" w:firstLineChars="228"/>
        <w:rPr>
          <w:color w:val="auto"/>
        </w:rPr>
      </w:pPr>
      <w:r>
        <w:rPr>
          <w:rFonts w:hint="eastAsia"/>
          <w:color w:val="auto"/>
        </w:rPr>
        <w:t>精密量取本品Xml......</w:t>
      </w:r>
    </w:p>
    <w:p>
      <w:pPr>
        <w:ind w:firstLine="638" w:firstLineChars="228"/>
        <w:rPr>
          <w:color w:val="auto"/>
        </w:rPr>
      </w:pPr>
      <w:r>
        <w:rPr>
          <w:rFonts w:hint="eastAsia"/>
          <w:color w:val="auto"/>
        </w:rPr>
        <w:t>9.8.2对照品溶液的制备方法</w:t>
      </w:r>
    </w:p>
    <w:p>
      <w:pPr>
        <w:ind w:firstLine="638" w:firstLineChars="228"/>
        <w:rPr>
          <w:color w:val="auto"/>
        </w:rPr>
      </w:pPr>
      <w:r>
        <w:rPr>
          <w:rFonts w:hint="eastAsia"/>
          <w:color w:val="auto"/>
        </w:rPr>
        <w:t>9.8.2.1一般情况下，对照品溶液的制备方法可简写成：取XX对照品适量，精密称定，加XX（溶剂名称）制成每1ml含Xmg（</w:t>
      </w:r>
      <w:r>
        <w:rPr>
          <w:rFonts w:ascii="Times New Roman" w:hAnsi="Times New Roman" w:cs="Times New Roman"/>
          <w:color w:val="auto"/>
        </w:rPr>
        <w:t>μ</w:t>
      </w:r>
      <w:r>
        <w:rPr>
          <w:rFonts w:hint="eastAsia"/>
          <w:color w:val="auto"/>
        </w:rPr>
        <w:t>g）的溶液，即得。</w:t>
      </w:r>
    </w:p>
    <w:p>
      <w:pPr>
        <w:ind w:firstLine="638" w:firstLineChars="228"/>
        <w:rPr>
          <w:color w:val="auto"/>
        </w:rPr>
      </w:pPr>
      <w:r>
        <w:rPr>
          <w:rFonts w:hint="eastAsia"/>
          <w:color w:val="auto"/>
        </w:rPr>
        <w:t>9.8.2.2当对照品为被测成分盐的形式时，应在括号内注明每1ml对照品溶液中相当于被测成分的量。</w:t>
      </w:r>
    </w:p>
    <w:p>
      <w:pPr>
        <w:ind w:firstLine="638" w:firstLineChars="228"/>
        <w:rPr>
          <w:color w:val="auto"/>
        </w:rPr>
      </w:pPr>
      <w:r>
        <w:rPr>
          <w:rFonts w:hint="eastAsia"/>
          <w:color w:val="auto"/>
        </w:rPr>
        <w:t>例：取厚朴酚对照品、和厚朴酚铵对照品适量，精密称定，加甲醇制成每1ml含厚朴酚30</w:t>
      </w:r>
      <w:r>
        <w:rPr>
          <w:rFonts w:ascii="Times New Roman" w:hAnsi="Times New Roman" w:cs="Times New Roman"/>
          <w:color w:val="auto"/>
        </w:rPr>
        <w:t>μ</w:t>
      </w:r>
      <w:r>
        <w:rPr>
          <w:rFonts w:hint="eastAsia"/>
          <w:color w:val="auto"/>
        </w:rPr>
        <w:t>g、和厚朴酚25</w:t>
      </w:r>
      <w:r>
        <w:rPr>
          <w:rFonts w:ascii="Times New Roman" w:hAnsi="Times New Roman" w:cs="Times New Roman"/>
          <w:color w:val="auto"/>
        </w:rPr>
        <w:t>μ</w:t>
      </w:r>
      <w:r>
        <w:rPr>
          <w:rFonts w:hint="eastAsia"/>
          <w:color w:val="auto"/>
        </w:rPr>
        <w:t>g的混合溶液，即得。</w:t>
      </w:r>
    </w:p>
    <w:p>
      <w:pPr>
        <w:ind w:firstLine="638" w:firstLineChars="228"/>
        <w:rPr>
          <w:color w:val="auto"/>
        </w:rPr>
      </w:pPr>
      <w:r>
        <w:rPr>
          <w:rFonts w:hint="eastAsia"/>
          <w:color w:val="auto"/>
        </w:rPr>
        <w:t>取甘草酸铵对照品适量，精密称定，加甲醇制成每1ml含80</w:t>
      </w:r>
      <w:r>
        <w:rPr>
          <w:rFonts w:ascii="Times New Roman" w:hAnsi="Times New Roman" w:cs="Times New Roman"/>
          <w:color w:val="auto"/>
        </w:rPr>
        <w:t>μ</w:t>
      </w:r>
      <w:r>
        <w:rPr>
          <w:rFonts w:hint="eastAsia"/>
          <w:color w:val="auto"/>
        </w:rPr>
        <w:t>g的溶液（相当于每1ml含甘草酸78</w:t>
      </w:r>
      <w:r>
        <w:rPr>
          <w:rFonts w:ascii="Times New Roman" w:hAnsi="Times New Roman" w:cs="Times New Roman"/>
          <w:color w:val="auto"/>
        </w:rPr>
        <w:t>μ</w:t>
      </w:r>
      <w:r>
        <w:rPr>
          <w:rFonts w:hint="eastAsia"/>
          <w:color w:val="auto"/>
        </w:rPr>
        <w:t>g），即得。</w:t>
      </w:r>
    </w:p>
    <w:p>
      <w:pPr>
        <w:ind w:firstLine="638" w:firstLineChars="228"/>
        <w:rPr>
          <w:color w:val="auto"/>
        </w:rPr>
      </w:pPr>
      <w:r>
        <w:rPr>
          <w:rFonts w:hint="eastAsia"/>
          <w:color w:val="auto"/>
        </w:rPr>
        <w:t>9.8.3含量限度</w:t>
      </w:r>
    </w:p>
    <w:p>
      <w:pPr>
        <w:ind w:firstLine="638" w:firstLineChars="228"/>
        <w:rPr>
          <w:color w:val="auto"/>
        </w:rPr>
      </w:pPr>
      <w:r>
        <w:rPr>
          <w:rFonts w:hint="eastAsia"/>
          <w:color w:val="auto"/>
        </w:rPr>
        <w:t>9.8.3.1根据制剂的具体情况，应明确被测成分所属药味的名称、被测成分的类别或被测成分的名称、分子式及限量或限量范围。</w:t>
      </w:r>
    </w:p>
    <w:p>
      <w:pPr>
        <w:ind w:firstLine="638" w:firstLineChars="228"/>
        <w:rPr>
          <w:color w:val="auto"/>
        </w:rPr>
      </w:pPr>
      <w:r>
        <w:rPr>
          <w:rFonts w:hint="eastAsia"/>
          <w:color w:val="auto"/>
        </w:rPr>
        <w:t>9.8.3.2检测指标为毒性药中的成分及在规格项注明标示量的成分，其含量限度均须规定被测成分的限量范围。</w:t>
      </w:r>
    </w:p>
    <w:p>
      <w:pPr>
        <w:ind w:firstLine="638" w:firstLineChars="228"/>
        <w:rPr>
          <w:color w:val="auto"/>
        </w:rPr>
      </w:pPr>
      <w:r>
        <w:rPr>
          <w:rFonts w:hint="eastAsia"/>
          <w:color w:val="auto"/>
        </w:rPr>
        <w:t>9.8.3.3在规格项中注明了标示量的某一类化学成分，其含量限度范围应以标示量的百分含量来表示</w:t>
      </w:r>
    </w:p>
    <w:p>
      <w:pPr>
        <w:ind w:firstLine="638" w:firstLineChars="228"/>
        <w:rPr>
          <w:color w:val="auto"/>
        </w:rPr>
      </w:pPr>
      <w:r>
        <w:rPr>
          <w:rFonts w:hint="eastAsia"/>
          <w:color w:val="auto"/>
        </w:rPr>
        <w:t>9.8.4超声处理</w:t>
      </w:r>
    </w:p>
    <w:p>
      <w:pPr>
        <w:ind w:firstLine="638" w:firstLineChars="228"/>
        <w:rPr>
          <w:color w:val="auto"/>
        </w:rPr>
      </w:pPr>
      <w:r>
        <w:rPr>
          <w:rFonts w:hint="eastAsia"/>
          <w:color w:val="auto"/>
        </w:rPr>
        <w:t>在含量测定项的溶液制备过程中采用超声处理时，应注明超声设备的功率以及超声波的频率。如：......超声处理（功率为350W，频率为50kHz）10分钟。</w:t>
      </w:r>
    </w:p>
    <w:p>
      <w:pPr>
        <w:ind w:firstLine="638" w:firstLineChars="228"/>
        <w:rPr>
          <w:color w:val="auto"/>
        </w:rPr>
      </w:pPr>
      <w:r>
        <w:rPr>
          <w:rFonts w:hint="eastAsia"/>
          <w:color w:val="auto"/>
        </w:rPr>
        <w:t>9.8.5计量单位</w:t>
      </w:r>
    </w:p>
    <w:p>
      <w:pPr>
        <w:ind w:firstLine="638" w:firstLineChars="228"/>
        <w:rPr>
          <w:color w:val="auto"/>
        </w:rPr>
      </w:pPr>
      <w:r>
        <w:rPr>
          <w:rFonts w:hint="eastAsia"/>
          <w:color w:val="auto"/>
        </w:rPr>
        <w:t>在取样量、含量限度等的计量中，计量单位的使用要求为：重量在100mg以上（含100mg）的，应以“g”为计量单位。如：“100mg”应写成“0.10g"。重量在99mg至100μg（含100</w:t>
      </w:r>
      <w:r>
        <w:rPr>
          <w:rFonts w:ascii="Times New Roman" w:hAnsi="Times New Roman" w:cs="Times New Roman"/>
          <w:color w:val="auto"/>
        </w:rPr>
        <w:t>μ</w:t>
      </w:r>
      <w:r>
        <w:rPr>
          <w:rFonts w:hint="eastAsia"/>
          <w:color w:val="auto"/>
        </w:rPr>
        <w:t>g）之间的，应以“mg”为计量单位。如：“0.05g”应写成“50mg"；“100</w:t>
      </w:r>
      <w:r>
        <w:rPr>
          <w:rFonts w:ascii="Times New Roman" w:hAnsi="Times New Roman" w:cs="Times New Roman"/>
          <w:color w:val="auto"/>
        </w:rPr>
        <w:t>μ</w:t>
      </w:r>
      <w:r>
        <w:rPr>
          <w:rFonts w:hint="eastAsia"/>
          <w:color w:val="auto"/>
        </w:rPr>
        <w:t>g"应写成“0.10mg"。</w:t>
      </w:r>
    </w:p>
    <w:p>
      <w:pPr>
        <w:ind w:firstLine="638" w:firstLineChars="228"/>
        <w:rPr>
          <w:color w:val="auto"/>
        </w:rPr>
      </w:pPr>
      <w:r>
        <w:rPr>
          <w:rFonts w:hint="eastAsia"/>
          <w:color w:val="auto"/>
        </w:rPr>
        <w:t>10.功能与主治/适应症</w:t>
      </w:r>
    </w:p>
    <w:p>
      <w:pPr>
        <w:rPr>
          <w:color w:val="auto"/>
        </w:rPr>
      </w:pPr>
      <w:r>
        <w:rPr>
          <w:rFonts w:hint="eastAsia"/>
          <w:color w:val="auto"/>
        </w:rPr>
        <w:t>中药（民族药）制剂的功能主治应按中医或民族医学的理论和临床试验的结果拟定，并有符合要求的相关临床试验资料作为技术支持。一般包括制剂的功能与主治两部分，之间以句号分开，先写功能，后写主治。</w:t>
      </w:r>
    </w:p>
    <w:p>
      <w:pPr>
        <w:rPr>
          <w:color w:val="auto"/>
        </w:rPr>
      </w:pPr>
      <w:r>
        <w:rPr>
          <w:rFonts w:hint="eastAsia"/>
          <w:color w:val="auto"/>
        </w:rPr>
        <w:t>功能：应根据药品的处方组成、中医药理论或民族医药理论和临床试验结果用中医药或民族医药术语规范表述，要突出主要功能。</w:t>
      </w:r>
    </w:p>
    <w:p>
      <w:pPr>
        <w:rPr>
          <w:color w:val="auto"/>
        </w:rPr>
      </w:pPr>
      <w:r>
        <w:rPr>
          <w:rFonts w:hint="eastAsia"/>
          <w:color w:val="auto"/>
        </w:rPr>
        <w:t>主治：除《医疗机构制剂注册管理办法》（试行）（局令第20号）和《云南省医疗机构制剂注册管理实施细则》中规定不需要进行临床试验的医疗机构制剂外，一般医疗机构制剂说明书中所列的主治必须有充分的临床证据支持，应来源于规范的临床试验。中药医疗机构制剂，其主治中一般应有相应的中医证候或中医病机的表述，有明确的中西医病名者，应根据临床试验的结果确定其合理表述。但中医病名应注意其概念的认同性，尽量不用生僻或容易产生误解的概念和名称。同时为了便于指导临床用药，应包括相应的症状和体征等内容。</w:t>
      </w:r>
    </w:p>
    <w:p>
      <w:pPr>
        <w:rPr>
          <w:color w:val="auto"/>
        </w:rPr>
      </w:pPr>
      <w:r>
        <w:rPr>
          <w:rFonts w:hint="eastAsia"/>
          <w:color w:val="auto"/>
        </w:rPr>
        <w:t>功能主治的描述应使用规范的医学术语，不得使用生僻或有歧义的术语。制剂功能主治的表述原则上应符合中医（民族医）的传统表述习惯。应注意中医病名、西医病名、中医证候、中西医临床症状和体征的规范表述，注意用于疾病治疗、证候治疗和症状治疗在表述上的区别，注意区分疾病治疗、缓解或减轻症状、辅助治疗、联合用药的不同。注意制剂作用特点的说明，如用于缓解急性发作、或降低发作频率等。另外，注意根据临床试验的结果说明适用病证的病情、分期、分型的限定等，以全面反映临床试验的结果。</w:t>
      </w:r>
    </w:p>
    <w:p>
      <w:pPr>
        <w:ind w:firstLine="638" w:firstLineChars="228"/>
        <w:rPr>
          <w:color w:val="auto"/>
        </w:rPr>
      </w:pPr>
      <w:r>
        <w:rPr>
          <w:rFonts w:hint="eastAsia"/>
          <w:color w:val="auto"/>
        </w:rPr>
        <w:t>11</w:t>
      </w:r>
      <w:r>
        <w:rPr>
          <w:color w:val="auto"/>
        </w:rPr>
        <w:t>.</w:t>
      </w:r>
      <w:r>
        <w:rPr>
          <w:rFonts w:hint="eastAsia"/>
          <w:color w:val="auto"/>
        </w:rPr>
        <w:t>用法与用量</w:t>
      </w:r>
    </w:p>
    <w:p>
      <w:pPr>
        <w:rPr>
          <w:color w:val="auto"/>
        </w:rPr>
      </w:pPr>
      <w:r>
        <w:rPr>
          <w:rFonts w:hint="eastAsia"/>
          <w:color w:val="auto"/>
        </w:rPr>
        <w:t>此项内容包括药品的服用或使用方法、每次用药剂量、每日用药次数及疗程、患者用药时间等。一般为用法和用量两部分，之间以句号分开。</w:t>
      </w:r>
    </w:p>
    <w:p>
      <w:pPr>
        <w:rPr>
          <w:color w:val="auto"/>
        </w:rPr>
      </w:pPr>
      <w:r>
        <w:rPr>
          <w:rFonts w:hint="eastAsia"/>
          <w:color w:val="auto"/>
        </w:rPr>
        <w:t>有规范的临床试验者，应根据临床试验结果说明临床推荐使用的制剂的用法和用量。</w:t>
      </w:r>
    </w:p>
    <w:p>
      <w:pPr>
        <w:rPr>
          <w:color w:val="auto"/>
        </w:rPr>
      </w:pPr>
      <w:r>
        <w:rPr>
          <w:rFonts w:hint="eastAsia"/>
          <w:color w:val="auto"/>
        </w:rPr>
        <w:t>11.1用法</w:t>
      </w:r>
    </w:p>
    <w:p>
      <w:pPr>
        <w:rPr>
          <w:color w:val="auto"/>
        </w:rPr>
      </w:pPr>
      <w:r>
        <w:rPr>
          <w:rFonts w:hint="eastAsia"/>
          <w:color w:val="auto"/>
        </w:rPr>
        <w:t>应明确、详细地列出该药品的临床使用方法。具体可以包括以下几个方面：</w:t>
      </w:r>
    </w:p>
    <w:p>
      <w:pPr>
        <w:rPr>
          <w:color w:val="auto"/>
        </w:rPr>
      </w:pPr>
      <w:r>
        <w:rPr>
          <w:rFonts w:hint="eastAsia"/>
          <w:color w:val="auto"/>
        </w:rPr>
        <w:t>给药途径：如口服、外用等。</w:t>
      </w:r>
    </w:p>
    <w:p>
      <w:pPr>
        <w:rPr>
          <w:color w:val="auto"/>
        </w:rPr>
      </w:pPr>
      <w:r>
        <w:rPr>
          <w:rFonts w:hint="eastAsia"/>
          <w:color w:val="auto"/>
        </w:rPr>
        <w:t>给药方式：如开水冲服，开水泡服，含服等。</w:t>
      </w:r>
    </w:p>
    <w:p>
      <w:pPr>
        <w:rPr>
          <w:color w:val="auto"/>
        </w:rPr>
      </w:pPr>
      <w:r>
        <w:rPr>
          <w:rFonts w:hint="eastAsia"/>
          <w:color w:val="auto"/>
        </w:rPr>
        <w:t>给药时间：如饭前、饭后、睡前等。</w:t>
      </w:r>
    </w:p>
    <w:p>
      <w:pPr>
        <w:rPr>
          <w:color w:val="auto"/>
        </w:rPr>
      </w:pPr>
      <w:r>
        <w:rPr>
          <w:rFonts w:hint="eastAsia"/>
          <w:color w:val="auto"/>
        </w:rPr>
        <w:t>药引：如需要药引，应予以说明。</w:t>
      </w:r>
    </w:p>
    <w:p>
      <w:pPr>
        <w:rPr>
          <w:color w:val="auto"/>
        </w:rPr>
      </w:pPr>
      <w:r>
        <w:rPr>
          <w:rFonts w:hint="eastAsia"/>
          <w:color w:val="auto"/>
        </w:rPr>
        <w:t>给药前的制剂处理：需要根据临床实际详细描述，尤其不太常用的方法、外用药及其他特殊制剂，如临床应用前的稀释、配制、分剂量等步骤和方法应详细说明。</w:t>
      </w:r>
    </w:p>
    <w:p>
      <w:pPr>
        <w:rPr>
          <w:color w:val="auto"/>
        </w:rPr>
      </w:pPr>
      <w:r>
        <w:rPr>
          <w:rFonts w:hint="eastAsia"/>
          <w:color w:val="auto"/>
        </w:rPr>
        <w:t>给药途径、给药方式和给药前制剂的处理方法可在一起表述，如舌下含服。</w:t>
      </w:r>
    </w:p>
    <w:p>
      <w:pPr>
        <w:rPr>
          <w:color w:val="auto"/>
        </w:rPr>
      </w:pPr>
      <w:r>
        <w:rPr>
          <w:rFonts w:hint="eastAsia"/>
          <w:color w:val="auto"/>
        </w:rPr>
        <w:t>穴位给药：需要说明具体的选穴原则和具体操作方法。</w:t>
      </w:r>
    </w:p>
    <w:p>
      <w:pPr>
        <w:rPr>
          <w:color w:val="auto"/>
        </w:rPr>
      </w:pPr>
      <w:r>
        <w:rPr>
          <w:rFonts w:hint="eastAsia"/>
          <w:color w:val="auto"/>
        </w:rPr>
        <w:t>有些制剂，其用法需要由医护人员、甚至需要专科医师才能实施的，应在说明书的该项中特别予以说明。</w:t>
      </w:r>
    </w:p>
    <w:p>
      <w:pPr>
        <w:ind w:firstLine="638" w:firstLineChars="228"/>
        <w:rPr>
          <w:color w:val="auto"/>
        </w:rPr>
      </w:pPr>
      <w:r>
        <w:rPr>
          <w:rFonts w:hint="eastAsia"/>
          <w:color w:val="auto"/>
        </w:rPr>
        <w:t>另外，同一制剂不同的适应症、不同的年龄段其用法可能不完全一致。在用法项也需要注意分别说明。</w:t>
      </w:r>
    </w:p>
    <w:p>
      <w:pPr>
        <w:rPr>
          <w:color w:val="auto"/>
        </w:rPr>
      </w:pPr>
      <w:r>
        <w:rPr>
          <w:rFonts w:hint="eastAsia"/>
          <w:color w:val="auto"/>
        </w:rPr>
        <w:t>11.2用量</w:t>
      </w:r>
    </w:p>
    <w:p>
      <w:pPr>
        <w:rPr>
          <w:color w:val="auto"/>
        </w:rPr>
      </w:pPr>
      <w:r>
        <w:rPr>
          <w:rFonts w:hint="eastAsia"/>
          <w:color w:val="auto"/>
        </w:rPr>
        <w:t>用量为常人有效剂量。须根据临床试验的结果说明临床推荐使用的剂量或常用的剂量范围，给药间隔及疗程。如同一药物不同的适应症、不同的年龄阶段其用法用量可能不完全一致，可根据临床试验的结果提供在特殊患者人群用药所需的剂量调整，并应详细列出。剧毒药要注明极量。</w:t>
      </w:r>
    </w:p>
    <w:p>
      <w:pPr>
        <w:rPr>
          <w:color w:val="auto"/>
        </w:rPr>
      </w:pPr>
      <w:r>
        <w:rPr>
          <w:rFonts w:hint="eastAsia"/>
          <w:color w:val="auto"/>
        </w:rPr>
        <w:t>应准确地列出用药的剂量、计量方法、用药次数，并应特别注意用药剂量与制剂规格的关系。用量一般以“一次××（或者××～××）片（粒、支、袋等），一日×（或者××～××）次”来表示。不采用“××（或者××～××）/次，×次（或者×～×次）／日”的表示方法，也不以英文字母代替“日”。用法特殊的，也应根据临床试验的用法用量如实说明。其中的××需要用阿拉伯数字表示。</w:t>
      </w:r>
    </w:p>
    <w:p>
      <w:pPr>
        <w:rPr>
          <w:color w:val="auto"/>
        </w:rPr>
      </w:pPr>
      <w:r>
        <w:rPr>
          <w:rFonts w:hint="eastAsia"/>
          <w:color w:val="auto"/>
        </w:rPr>
        <w:t>有些药品的剂量分为负荷量及维持量；或者用药时从小剂量开始逐渐增量，以便得到适合于患者的剂量；或者需要按一定的时间间隔用药者，应详细说明。</w:t>
      </w:r>
    </w:p>
    <w:p>
      <w:pPr>
        <w:ind w:firstLine="638" w:firstLineChars="228"/>
        <w:rPr>
          <w:color w:val="auto"/>
        </w:rPr>
      </w:pPr>
      <w:r>
        <w:rPr>
          <w:rFonts w:hint="eastAsia"/>
          <w:color w:val="auto"/>
        </w:rPr>
        <w:t>11.3书写要求</w:t>
      </w:r>
    </w:p>
    <w:p>
      <w:pPr>
        <w:ind w:firstLine="638" w:firstLineChars="228"/>
        <w:rPr>
          <w:color w:val="auto"/>
        </w:rPr>
      </w:pPr>
      <w:r>
        <w:rPr>
          <w:rFonts w:hint="eastAsia"/>
          <w:color w:val="auto"/>
        </w:rPr>
        <w:t>11.3.1一般情况下，内服药的服用方法写成“口服”。有特殊规定的，应根据具体情况写明服用方法，</w:t>
      </w:r>
    </w:p>
    <w:p>
      <w:pPr>
        <w:ind w:firstLine="638" w:firstLineChars="228"/>
        <w:rPr>
          <w:color w:val="auto"/>
        </w:rPr>
      </w:pPr>
      <w:r>
        <w:rPr>
          <w:rFonts w:hint="eastAsia"/>
          <w:color w:val="auto"/>
        </w:rPr>
        <w:t>如：嚼碎服，含服等。</w:t>
      </w:r>
    </w:p>
    <w:p>
      <w:pPr>
        <w:ind w:firstLine="638" w:firstLineChars="228"/>
        <w:rPr>
          <w:color w:val="auto"/>
        </w:rPr>
      </w:pPr>
      <w:r>
        <w:rPr>
          <w:rFonts w:hint="eastAsia"/>
          <w:color w:val="auto"/>
        </w:rPr>
        <w:t>11.3.2颗粒剂的服用方法通常写成“用开水冲服”；用温开水送服的可写成“口服”。</w:t>
      </w:r>
    </w:p>
    <w:p>
      <w:pPr>
        <w:ind w:firstLine="638" w:firstLineChars="228"/>
        <w:rPr>
          <w:color w:val="auto"/>
        </w:rPr>
      </w:pPr>
      <w:r>
        <w:rPr>
          <w:rFonts w:hint="eastAsia"/>
          <w:color w:val="auto"/>
        </w:rPr>
        <w:t>11.3.3外用制剂应写明具体的使用方法。</w:t>
      </w:r>
    </w:p>
    <w:p>
      <w:pPr>
        <w:ind w:firstLine="638" w:firstLineChars="228"/>
        <w:rPr>
          <w:color w:val="auto"/>
        </w:rPr>
      </w:pPr>
      <w:r>
        <w:rPr>
          <w:rFonts w:hint="eastAsia"/>
          <w:color w:val="auto"/>
        </w:rPr>
        <w:t>11.3.4当内服和外用方法并存时，书写顺序以内服在前、外用在后。</w:t>
      </w:r>
    </w:p>
    <w:p>
      <w:pPr>
        <w:ind w:firstLine="638" w:firstLineChars="228"/>
        <w:rPr>
          <w:color w:val="auto"/>
        </w:rPr>
      </w:pPr>
      <w:r>
        <w:rPr>
          <w:rFonts w:hint="eastAsia"/>
          <w:color w:val="auto"/>
        </w:rPr>
        <w:t>11.3.5儿童用药应按有关规定写明不同年龄段儿童的用药量。</w:t>
      </w:r>
    </w:p>
    <w:p>
      <w:pPr>
        <w:rPr>
          <w:color w:val="auto"/>
        </w:rPr>
      </w:pPr>
      <w:r>
        <w:rPr>
          <w:rFonts w:hint="eastAsia"/>
          <w:color w:val="auto"/>
        </w:rPr>
        <w:t>12</w:t>
      </w:r>
      <w:r>
        <w:rPr>
          <w:color w:val="auto"/>
        </w:rPr>
        <w:t>.</w:t>
      </w:r>
      <w:r>
        <w:rPr>
          <w:rFonts w:hint="eastAsia"/>
          <w:color w:val="auto"/>
        </w:rPr>
        <w:t>注意</w:t>
      </w:r>
    </w:p>
    <w:p>
      <w:pPr>
        <w:ind w:firstLine="638" w:firstLineChars="228"/>
        <w:rPr>
          <w:color w:val="auto"/>
        </w:rPr>
      </w:pPr>
      <w:r>
        <w:rPr>
          <w:rFonts w:hint="eastAsia"/>
          <w:color w:val="auto"/>
        </w:rPr>
        <w:t>列出使用该药品时必须注意的问题，包括药物的不良反应、用药禁忌和注意事项三个方面的内容，如孕妇及其他疾患和体质方面的禁忌、饮食禁忌等。属中医一般常规禁忌者从略。</w:t>
      </w:r>
    </w:p>
    <w:p>
      <w:pPr>
        <w:ind w:firstLine="638" w:firstLineChars="228"/>
        <w:rPr>
          <w:color w:val="auto"/>
        </w:rPr>
      </w:pPr>
      <w:r>
        <w:rPr>
          <w:rFonts w:hint="eastAsia"/>
          <w:color w:val="auto"/>
        </w:rPr>
        <w:t>13</w:t>
      </w:r>
      <w:r>
        <w:rPr>
          <w:color w:val="auto"/>
        </w:rPr>
        <w:t>.</w:t>
      </w:r>
      <w:r>
        <w:rPr>
          <w:rFonts w:hint="eastAsia"/>
          <w:color w:val="auto"/>
        </w:rPr>
        <w:t>规格</w:t>
      </w:r>
    </w:p>
    <w:p>
      <w:pPr>
        <w:spacing w:line="580" w:lineRule="exact"/>
        <w:rPr>
          <w:color w:val="auto"/>
        </w:rPr>
      </w:pPr>
      <w:r>
        <w:rPr>
          <w:rFonts w:hint="eastAsia"/>
          <w:color w:val="auto"/>
        </w:rPr>
        <w:t>13.1概述</w:t>
      </w:r>
    </w:p>
    <w:p>
      <w:pPr>
        <w:spacing w:line="580" w:lineRule="exact"/>
        <w:rPr>
          <w:color w:val="auto"/>
        </w:rPr>
      </w:pPr>
      <w:r>
        <w:rPr>
          <w:rFonts w:hint="eastAsia"/>
          <w:color w:val="auto"/>
        </w:rPr>
        <w:t>药品规格通常以单位制剂（每粒、片、克、毫升、丸）中所含药物成份的量表示。但是，中成药大多为复方制剂，所含成份复杂，难以直接在规格项下直接标示所含成份的量。</w:t>
      </w:r>
    </w:p>
    <w:p>
      <w:pPr>
        <w:spacing w:line="580" w:lineRule="exact"/>
        <w:rPr>
          <w:color w:val="auto"/>
        </w:rPr>
      </w:pPr>
      <w:r>
        <w:rPr>
          <w:rFonts w:hint="eastAsia"/>
          <w:color w:val="auto"/>
        </w:rPr>
        <w:t>规格是药品质量标准和说明书内容的重要组成部分，其表述应尽可能提供准确的药物成份量的信息，以便于药品的销售、贮运、分发、使用。中成药的药品规格虽无法直接标明所含药物成份的量，但可以标示出制成单位制剂所需处方药味的剂量。鉴于以上认识，中成药的药品规格标示内容中一般应包含单位制剂中所相当的处方药味（包括饮片、提取物、有效成份等）的理论量（或标示量）。</w:t>
      </w:r>
    </w:p>
    <w:p>
      <w:pPr>
        <w:spacing w:line="580" w:lineRule="exact"/>
        <w:rPr>
          <w:color w:val="auto"/>
        </w:rPr>
      </w:pPr>
      <w:r>
        <w:rPr>
          <w:rFonts w:hint="eastAsia"/>
          <w:color w:val="auto"/>
        </w:rPr>
        <w:t>中成药的药品规格建议参照本文进行规范表述。由于中成药的情况比较复杂，实际工作中难以按本文规范的，可以具体问题具体分析，采用其他合理的方式标示单位制剂中所含药物量的信息。</w:t>
      </w:r>
    </w:p>
    <w:p>
      <w:pPr>
        <w:ind w:firstLine="638" w:firstLineChars="228"/>
        <w:rPr>
          <w:color w:val="auto"/>
        </w:rPr>
      </w:pPr>
      <w:r>
        <w:rPr>
          <w:rFonts w:hint="eastAsia"/>
          <w:color w:val="auto"/>
        </w:rPr>
        <w:t>13.2中成药规格表述的一般原则</w:t>
      </w:r>
    </w:p>
    <w:p>
      <w:pPr>
        <w:ind w:firstLine="638" w:firstLineChars="228"/>
        <w:rPr>
          <w:color w:val="auto"/>
        </w:rPr>
      </w:pPr>
      <w:r>
        <w:rPr>
          <w:rFonts w:hint="eastAsia"/>
          <w:color w:val="auto"/>
        </w:rPr>
        <w:t>13.2.1与处方药味相对应的原则</w:t>
      </w:r>
    </w:p>
    <w:p>
      <w:pPr>
        <w:spacing w:line="580" w:lineRule="exact"/>
        <w:rPr>
          <w:color w:val="auto"/>
        </w:rPr>
      </w:pPr>
      <w:r>
        <w:rPr>
          <w:rFonts w:hint="eastAsia"/>
          <w:color w:val="auto"/>
        </w:rPr>
        <w:t>处方药味为饮片的制剂，其药品规格标示内容一般应包含单位制剂相当于饮片的重量。如处方药味为饮片的片剂，其药品规格可标示为“每片重**g（相当于饮片**g）”；液体制剂，其药品规格可标示为“每1ml相当于饮片**g”。</w:t>
      </w:r>
    </w:p>
    <w:p>
      <w:pPr>
        <w:spacing w:line="580" w:lineRule="exact"/>
        <w:rPr>
          <w:color w:val="auto"/>
        </w:rPr>
      </w:pPr>
      <w:r>
        <w:rPr>
          <w:rFonts w:hint="eastAsia"/>
          <w:color w:val="auto"/>
        </w:rPr>
        <w:t>处方药味为有效成份等的制剂，其药品规格可直接以单位制剂中所含有效成份等的标示量标示。如处方为有效成份的灯盏花素滴丸，其规格可标示为“每丸含灯盏花素4mg”。</w:t>
      </w:r>
    </w:p>
    <w:p>
      <w:pPr>
        <w:spacing w:line="580" w:lineRule="exact"/>
        <w:rPr>
          <w:color w:val="auto"/>
        </w:rPr>
      </w:pPr>
      <w:r>
        <w:rPr>
          <w:rFonts w:hint="eastAsia"/>
          <w:color w:val="auto"/>
        </w:rPr>
        <w:t>处方药味为浸膏、流浸膏、植物油脂等提取物的，其药品规格可以单位制剂中所含相应药味的理论量标示。如某颗粒剂处方含**浸膏及饮片，其规格可标示为：每1g相当于饮片**g，含**浸膏**mg。</w:t>
      </w:r>
    </w:p>
    <w:p>
      <w:pPr>
        <w:spacing w:line="580" w:lineRule="exact"/>
        <w:rPr>
          <w:color w:val="auto"/>
        </w:rPr>
      </w:pPr>
      <w:r>
        <w:rPr>
          <w:rFonts w:hint="eastAsia"/>
          <w:color w:val="auto"/>
        </w:rPr>
        <w:t>处方药味包含多种类型的制剂，在规格中一般需一一表述。难以在规格项下一一表述的，可按处方药味的类型合并后表述。如某药的处方药味有多个饮片及多种提取物，可分别计算单位制剂中相当的饮片总量及所含提取物的总量，规格标示为：“每片相当于饮片**g，含提取物**mg”。</w:t>
      </w:r>
    </w:p>
    <w:p>
      <w:pPr>
        <w:spacing w:line="580" w:lineRule="exact"/>
        <w:rPr>
          <w:color w:val="auto"/>
        </w:rPr>
      </w:pPr>
      <w:r>
        <w:rPr>
          <w:rFonts w:hint="eastAsia"/>
          <w:color w:val="auto"/>
        </w:rPr>
        <w:t>处方含有效成份的应一一注明标示量。</w:t>
      </w:r>
    </w:p>
    <w:p>
      <w:pPr>
        <w:spacing w:line="580" w:lineRule="exact"/>
        <w:ind w:firstLine="562"/>
        <w:jc w:val="center"/>
        <w:rPr>
          <w:color w:val="auto"/>
        </w:rPr>
      </w:pPr>
      <w:r>
        <w:rPr>
          <w:rFonts w:hint="eastAsia"/>
          <w:b/>
          <w:bCs/>
          <w:color w:val="auto"/>
        </w:rPr>
        <w:t>不同投料药味类型的规格表述举例</w:t>
      </w:r>
    </w:p>
    <w:tbl>
      <w:tblPr>
        <w:tblStyle w:val="13"/>
        <w:tblW w:w="83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842"/>
        <w:gridCol w:w="4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122" w:type="dxa"/>
            <w:shd w:val="clear" w:color="auto" w:fill="auto"/>
            <w:vAlign w:val="center"/>
          </w:tcPr>
          <w:p>
            <w:pPr>
              <w:ind w:firstLine="0" w:firstLineChars="0"/>
              <w:rPr>
                <w:color w:val="auto"/>
                <w:sz w:val="24"/>
                <w:szCs w:val="24"/>
              </w:rPr>
            </w:pPr>
            <w:r>
              <w:rPr>
                <w:rFonts w:hint="eastAsia"/>
                <w:color w:val="auto"/>
                <w:sz w:val="24"/>
                <w:szCs w:val="24"/>
              </w:rPr>
              <w:t>品名</w:t>
            </w:r>
          </w:p>
        </w:tc>
        <w:tc>
          <w:tcPr>
            <w:tcW w:w="1842" w:type="dxa"/>
            <w:shd w:val="clear" w:color="auto" w:fill="auto"/>
            <w:vAlign w:val="center"/>
          </w:tcPr>
          <w:p>
            <w:pPr>
              <w:ind w:firstLine="0" w:firstLineChars="0"/>
              <w:rPr>
                <w:color w:val="auto"/>
                <w:sz w:val="24"/>
                <w:szCs w:val="24"/>
              </w:rPr>
            </w:pPr>
            <w:r>
              <w:rPr>
                <w:rFonts w:hint="eastAsia"/>
                <w:color w:val="auto"/>
                <w:sz w:val="24"/>
                <w:szCs w:val="24"/>
              </w:rPr>
              <w:t>处方药味类型</w:t>
            </w:r>
          </w:p>
        </w:tc>
        <w:tc>
          <w:tcPr>
            <w:tcW w:w="4344" w:type="dxa"/>
            <w:shd w:val="clear" w:color="auto" w:fill="auto"/>
            <w:vAlign w:val="center"/>
          </w:tcPr>
          <w:p>
            <w:pPr>
              <w:ind w:firstLine="0" w:firstLineChars="0"/>
              <w:rPr>
                <w:color w:val="auto"/>
                <w:sz w:val="24"/>
                <w:szCs w:val="24"/>
              </w:rPr>
            </w:pPr>
            <w:r>
              <w:rPr>
                <w:rFonts w:hint="eastAsia"/>
                <w:color w:val="auto"/>
                <w:sz w:val="24"/>
                <w:szCs w:val="24"/>
              </w:rPr>
              <w:t>规格表述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2" w:type="dxa"/>
            <w:shd w:val="clear" w:color="auto" w:fill="auto"/>
            <w:vAlign w:val="center"/>
          </w:tcPr>
          <w:p>
            <w:pPr>
              <w:ind w:firstLine="0" w:firstLineChars="0"/>
              <w:rPr>
                <w:color w:val="auto"/>
                <w:kern w:val="0"/>
                <w:sz w:val="24"/>
              </w:rPr>
            </w:pPr>
            <w:r>
              <w:rPr>
                <w:color w:val="auto"/>
                <w:kern w:val="0"/>
                <w:sz w:val="24"/>
              </w:rPr>
              <w:t>板蓝根颗粒</w:t>
            </w:r>
          </w:p>
        </w:tc>
        <w:tc>
          <w:tcPr>
            <w:tcW w:w="1842" w:type="dxa"/>
            <w:shd w:val="clear" w:color="auto" w:fill="auto"/>
            <w:vAlign w:val="center"/>
          </w:tcPr>
          <w:p>
            <w:pPr>
              <w:ind w:firstLine="0" w:firstLineChars="0"/>
              <w:rPr>
                <w:color w:val="auto"/>
                <w:kern w:val="0"/>
                <w:sz w:val="24"/>
              </w:rPr>
            </w:pPr>
            <w:r>
              <w:rPr>
                <w:color w:val="auto"/>
                <w:kern w:val="0"/>
                <w:sz w:val="24"/>
              </w:rPr>
              <w:t>饮片</w:t>
            </w:r>
          </w:p>
        </w:tc>
        <w:tc>
          <w:tcPr>
            <w:tcW w:w="4344" w:type="dxa"/>
            <w:shd w:val="clear" w:color="auto" w:fill="auto"/>
            <w:vAlign w:val="center"/>
          </w:tcPr>
          <w:p>
            <w:pPr>
              <w:ind w:firstLine="0" w:firstLineChars="0"/>
              <w:rPr>
                <w:color w:val="auto"/>
                <w:kern w:val="0"/>
                <w:sz w:val="24"/>
              </w:rPr>
            </w:pPr>
            <w:r>
              <w:rPr>
                <w:color w:val="auto"/>
                <w:kern w:val="0"/>
                <w:sz w:val="24"/>
              </w:rPr>
              <w:t>每袋相当于饮片7g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2" w:type="dxa"/>
            <w:shd w:val="clear" w:color="auto" w:fill="auto"/>
            <w:vAlign w:val="center"/>
          </w:tcPr>
          <w:p>
            <w:pPr>
              <w:ind w:firstLine="0" w:firstLineChars="0"/>
              <w:rPr>
                <w:color w:val="auto"/>
                <w:kern w:val="0"/>
                <w:sz w:val="24"/>
              </w:rPr>
            </w:pPr>
            <w:r>
              <w:rPr>
                <w:color w:val="auto"/>
                <w:kern w:val="0"/>
                <w:sz w:val="24"/>
              </w:rPr>
              <w:t>灯盏花素注射液</w:t>
            </w:r>
          </w:p>
        </w:tc>
        <w:tc>
          <w:tcPr>
            <w:tcW w:w="1842" w:type="dxa"/>
            <w:shd w:val="clear" w:color="auto" w:fill="auto"/>
            <w:vAlign w:val="center"/>
          </w:tcPr>
          <w:p>
            <w:pPr>
              <w:ind w:firstLine="0" w:firstLineChars="0"/>
              <w:rPr>
                <w:color w:val="auto"/>
                <w:kern w:val="0"/>
                <w:sz w:val="24"/>
              </w:rPr>
            </w:pPr>
            <w:r>
              <w:rPr>
                <w:color w:val="auto"/>
                <w:kern w:val="0"/>
                <w:sz w:val="24"/>
              </w:rPr>
              <w:t>有效成份</w:t>
            </w:r>
          </w:p>
        </w:tc>
        <w:tc>
          <w:tcPr>
            <w:tcW w:w="4344" w:type="dxa"/>
            <w:shd w:val="clear" w:color="auto" w:fill="auto"/>
            <w:vAlign w:val="center"/>
          </w:tcPr>
          <w:p>
            <w:pPr>
              <w:ind w:firstLine="0" w:firstLineChars="0"/>
              <w:rPr>
                <w:color w:val="auto"/>
                <w:kern w:val="0"/>
                <w:sz w:val="24"/>
              </w:rPr>
            </w:pPr>
            <w:r>
              <w:rPr>
                <w:color w:val="auto"/>
                <w:kern w:val="0"/>
                <w:sz w:val="24"/>
              </w:rPr>
              <w:t>每支含灯盏花素4mg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2" w:type="dxa"/>
            <w:shd w:val="clear" w:color="auto" w:fill="auto"/>
            <w:vAlign w:val="center"/>
          </w:tcPr>
          <w:p>
            <w:pPr>
              <w:ind w:firstLine="0" w:firstLineChars="0"/>
              <w:rPr>
                <w:color w:val="auto"/>
                <w:kern w:val="0"/>
                <w:sz w:val="24"/>
              </w:rPr>
            </w:pPr>
            <w:r>
              <w:rPr>
                <w:color w:val="auto"/>
                <w:kern w:val="0"/>
                <w:sz w:val="24"/>
              </w:rPr>
              <w:t>绞股蓝总苷滴丸</w:t>
            </w:r>
          </w:p>
        </w:tc>
        <w:tc>
          <w:tcPr>
            <w:tcW w:w="1842" w:type="dxa"/>
            <w:shd w:val="clear" w:color="auto" w:fill="auto"/>
            <w:vAlign w:val="center"/>
          </w:tcPr>
          <w:p>
            <w:pPr>
              <w:ind w:firstLine="0" w:firstLineChars="0"/>
              <w:rPr>
                <w:color w:val="auto"/>
                <w:kern w:val="0"/>
                <w:sz w:val="24"/>
              </w:rPr>
            </w:pPr>
            <w:r>
              <w:rPr>
                <w:color w:val="auto"/>
                <w:kern w:val="0"/>
                <w:sz w:val="24"/>
              </w:rPr>
              <w:t>提取物</w:t>
            </w:r>
          </w:p>
        </w:tc>
        <w:tc>
          <w:tcPr>
            <w:tcW w:w="4344" w:type="dxa"/>
            <w:shd w:val="clear" w:color="auto" w:fill="auto"/>
            <w:vAlign w:val="center"/>
          </w:tcPr>
          <w:p>
            <w:pPr>
              <w:ind w:firstLine="0" w:firstLineChars="0"/>
              <w:rPr>
                <w:color w:val="auto"/>
                <w:kern w:val="0"/>
                <w:sz w:val="24"/>
              </w:rPr>
            </w:pPr>
            <w:r>
              <w:rPr>
                <w:color w:val="auto"/>
                <w:kern w:val="0"/>
                <w:sz w:val="24"/>
              </w:rPr>
              <w:t>每**丸重**g（每1g含绞股蓝总苷6mg）</w:t>
            </w:r>
          </w:p>
        </w:tc>
      </w:tr>
    </w:tbl>
    <w:p>
      <w:pPr>
        <w:spacing w:line="580" w:lineRule="exact"/>
        <w:rPr>
          <w:color w:val="auto"/>
        </w:rPr>
      </w:pPr>
      <w:r>
        <w:rPr>
          <w:rFonts w:hint="eastAsia"/>
          <w:color w:val="auto"/>
        </w:rPr>
        <w:t>如同品种单位制剂相当的饮片量等相同，一般视为相同药品规格。同品种单位体积或重量制剂中的药物量相同（注射剂、定量型气雾剂及喷雾剂等除外）的，一般视为相同的药品规格；同品种浓度不同的，一般视为不同的药品规格。</w:t>
      </w:r>
    </w:p>
    <w:p>
      <w:pPr>
        <w:spacing w:line="580" w:lineRule="exact"/>
        <w:rPr>
          <w:color w:val="auto"/>
        </w:rPr>
      </w:pPr>
      <w:r>
        <w:rPr>
          <w:rFonts w:hint="eastAsia"/>
          <w:color w:val="auto"/>
        </w:rPr>
        <w:t>药品规格一般不表述与辅料相关的内容。如同品种单位制剂相当的饮片量等相同，因辅料不同而形成的无糖颗粒与乳糖型颗粒，糖衣片与薄膜衣片等均视为相同的药品规格。由于中药丸剂的特殊性，蜜丸、水蜜丸仍视为不同的药品规格。</w:t>
      </w:r>
    </w:p>
    <w:p>
      <w:pPr>
        <w:ind w:firstLine="638" w:firstLineChars="228"/>
        <w:rPr>
          <w:color w:val="auto"/>
        </w:rPr>
      </w:pPr>
      <w:r>
        <w:rPr>
          <w:rFonts w:hint="eastAsia"/>
          <w:color w:val="auto"/>
        </w:rPr>
        <w:t>13.2.2与用法用量、装量规格相协调的原则</w:t>
      </w:r>
    </w:p>
    <w:p>
      <w:pPr>
        <w:spacing w:line="580" w:lineRule="exact"/>
        <w:rPr>
          <w:color w:val="auto"/>
        </w:rPr>
      </w:pPr>
      <w:r>
        <w:rPr>
          <w:rFonts w:hint="eastAsia"/>
          <w:color w:val="auto"/>
        </w:rPr>
        <w:t>药品的装量规格主要用于标示最小包装容器内所装药物制剂的量，如每板装12片、每瓶装100ml、每袋装10g，等等。药品规格应与说明书的【用法用量】、【包装】的装量规格等协调。</w:t>
      </w:r>
    </w:p>
    <w:p>
      <w:pPr>
        <w:spacing w:line="580" w:lineRule="exact"/>
        <w:rPr>
          <w:color w:val="auto"/>
        </w:rPr>
      </w:pPr>
      <w:r>
        <w:rPr>
          <w:rFonts w:hint="eastAsia"/>
          <w:color w:val="auto"/>
        </w:rPr>
        <w:t>规格表述应便于准确用药。除儿童用药外，一般不应出现一次服用1/3袋（瓶）或1/4袋（瓶）等情形。</w:t>
      </w:r>
    </w:p>
    <w:p>
      <w:pPr>
        <w:spacing w:line="580" w:lineRule="exact"/>
        <w:rPr>
          <w:color w:val="auto"/>
        </w:rPr>
      </w:pPr>
      <w:r>
        <w:rPr>
          <w:rFonts w:hint="eastAsia"/>
          <w:color w:val="auto"/>
        </w:rPr>
        <w:t>规格等的表述应与用法用量相符。例如，当丸剂的【用法用量】为“口服。一次**g……”时，【规格】可表述为“每**丸重**g（相当于饮片**g）”，同时【包装】的装量规格表述为“每瓶装**g”；当其【用法用量】为“口服。一次1袋……”时，【规格】可表述为“每袋相当于饮片**g”，同时【包装】的装量规格表述为“每袋装**g”；当【用法用量】为“口服。一次**丸……”时，【规格】可表述为“每**丸重**g（相当于饮片**g）”，同时【包装】的装量规格表述为“每瓶（袋）装**丸”。</w:t>
      </w:r>
    </w:p>
    <w:p>
      <w:pPr>
        <w:spacing w:line="580" w:lineRule="exact"/>
        <w:rPr>
          <w:color w:val="auto"/>
        </w:rPr>
      </w:pPr>
      <w:r>
        <w:rPr>
          <w:rFonts w:hint="eastAsia"/>
          <w:color w:val="auto"/>
        </w:rPr>
        <w:t>13.2.3用语规范的原则</w:t>
      </w:r>
    </w:p>
    <w:p>
      <w:pPr>
        <w:spacing w:line="580" w:lineRule="exact"/>
        <w:rPr>
          <w:color w:val="auto"/>
        </w:rPr>
      </w:pPr>
      <w:r>
        <w:rPr>
          <w:rFonts w:hint="eastAsia"/>
          <w:color w:val="auto"/>
        </w:rPr>
        <w:t>中药规格中的克、毫升等剂量单位分别用英文g、ml等表示，如每粒相当于饮片**g，每1ml相当于饮片**g等。其他丸、袋、粒等剂量单位均用中文表示。</w:t>
      </w:r>
    </w:p>
    <w:p>
      <w:pPr>
        <w:spacing w:line="580" w:lineRule="exact"/>
        <w:rPr>
          <w:color w:val="auto"/>
        </w:rPr>
      </w:pPr>
      <w:r>
        <w:rPr>
          <w:rFonts w:hint="eastAsia"/>
          <w:color w:val="auto"/>
        </w:rPr>
        <w:t>处方药味为饮片的制剂，用“相当于”表述；处方药味为有效成份、提取物的制剂，用“含”表述；处方药味为饮片、有效成份、提取物等多种形式投料的药物，在规格表述中采用“相当于饮片**g，含……”表述。</w:t>
      </w:r>
    </w:p>
    <w:p>
      <w:pPr>
        <w:spacing w:line="580" w:lineRule="exact"/>
        <w:rPr>
          <w:color w:val="auto"/>
        </w:rPr>
      </w:pPr>
      <w:r>
        <w:rPr>
          <w:rFonts w:hint="eastAsia"/>
          <w:color w:val="auto"/>
        </w:rPr>
        <w:t>如药品规格不是整数，一般保留不多于两位的小数。</w:t>
      </w:r>
    </w:p>
    <w:p>
      <w:pPr>
        <w:spacing w:line="580" w:lineRule="exact"/>
        <w:rPr>
          <w:color w:val="auto"/>
        </w:rPr>
      </w:pPr>
      <w:r>
        <w:rPr>
          <w:rFonts w:hint="eastAsia"/>
          <w:color w:val="auto"/>
        </w:rPr>
        <w:t>13.3不同剂型中成药规格的表述举例</w:t>
      </w:r>
    </w:p>
    <w:p>
      <w:pPr>
        <w:spacing w:line="580" w:lineRule="exact"/>
        <w:rPr>
          <w:color w:val="auto"/>
        </w:rPr>
      </w:pPr>
      <w:r>
        <w:rPr>
          <w:rFonts w:hint="eastAsia"/>
          <w:color w:val="auto"/>
        </w:rPr>
        <w:t>中药复方制剂的药品规格原则上建议按照固体、半固体、液体等的特点分类表述。颗粒剂、片剂、胶囊等固体制剂，其规格可表述为每1g、每片或每粒相当于饮片**g。片剂、胶囊剂建议同时明确片重或胶囊内容物量，如每片重**g（相当于饮片**g）。合剂（口服液）、洗液等液体制剂（注射剂、定量气雾剂及喷雾剂等除外），其规格可按浓度标示为每1ml相当于饮片**g。软膏等半固体制剂，其规格标示为每1g相当于饮片**g。</w:t>
      </w:r>
    </w:p>
    <w:p>
      <w:pPr>
        <w:spacing w:line="580" w:lineRule="exact"/>
        <w:rPr>
          <w:color w:val="auto"/>
        </w:rPr>
      </w:pPr>
      <w:r>
        <w:rPr>
          <w:rFonts w:hint="eastAsia"/>
          <w:color w:val="auto"/>
        </w:rPr>
        <w:t>中药丸剂的规格可根据丸剂的不同情形分别表述。大蜜丸以每丸相当**g饮片表述，同时标明丸重。滴丸以每g滴丸相当**g饮片表述，同时标明丸重。小蜜丸、水丸、浓缩丸等根据用法用量的情况确定，按丸剂重量服用的，规格以每**g丸剂相当于**g饮片表述，同时标明丸重；按丸数服用的，以每**丸相当于**g饮片表述，同时标明丸重。括号内的丸重为对丸剂大小的补充规定。丸剂大小的信息一定程度上可以反映出丸剂所含饮片的量，可作为检验的依据，并为临床用药分剂量提供依据。如同品种丸剂的规格表述为“每10丸重0.25g（每1g相当于饮片0.5g）” “每20丸重0.25g（每1g相当于饮片0.5g）”，二者应视为相同的药品规格。</w:t>
      </w:r>
    </w:p>
    <w:p>
      <w:pPr>
        <w:spacing w:line="580" w:lineRule="exact"/>
        <w:rPr>
          <w:color w:val="auto"/>
        </w:rPr>
      </w:pPr>
      <w:r>
        <w:rPr>
          <w:rFonts w:hint="eastAsia"/>
          <w:color w:val="auto"/>
        </w:rPr>
        <w:t>定量气雾剂及喷雾剂等，在规定包装容器内的装量及其所相当的药味理论量的同时，还应规定每揿所相当的药味理论量。如某定量气雾剂的规格为：10ml：相当于饮片6g（0.1g饮片×60揿）。其中，“10ml”为气雾剂的装量，“相当于饮片6g”为10ml气雾剂所相当的饮片量；“0.1g饮片”为每揿气雾剂所相当的饮片量，“60揿”为10ml气雾剂的可揿次数。</w:t>
      </w:r>
    </w:p>
    <w:p>
      <w:pPr>
        <w:widowControl/>
        <w:ind w:firstLine="600"/>
        <w:jc w:val="center"/>
        <w:rPr>
          <w:rFonts w:eastAsia="仿宋_GB2312"/>
          <w:color w:val="auto"/>
          <w:kern w:val="0"/>
          <w:sz w:val="30"/>
          <w:szCs w:val="30"/>
        </w:rPr>
      </w:pPr>
      <w:r>
        <w:rPr>
          <w:rFonts w:eastAsia="黑体"/>
          <w:color w:val="auto"/>
          <w:kern w:val="0"/>
          <w:sz w:val="30"/>
          <w:szCs w:val="30"/>
        </w:rPr>
        <w:t>不同剂型中成药的药品规格表述举例</w:t>
      </w:r>
      <w:r>
        <w:rPr>
          <w:rFonts w:eastAsia="黑体"/>
          <w:color w:val="auto"/>
          <w:kern w:val="0"/>
          <w:sz w:val="30"/>
          <w:szCs w:val="30"/>
          <w:vertAlign w:val="superscript"/>
        </w:rPr>
        <w:t>#</w:t>
      </w:r>
    </w:p>
    <w:tbl>
      <w:tblPr>
        <w:tblStyle w:val="13"/>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1928"/>
        <w:gridCol w:w="3288"/>
        <w:gridCol w:w="1445"/>
        <w:gridCol w:w="1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序号</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剂型</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药品规格</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装量规格</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71" w:type="dxa"/>
            <w:vMerge w:val="restart"/>
            <w:shd w:val="clear" w:color="auto" w:fill="auto"/>
            <w:vAlign w:val="center"/>
          </w:tcPr>
          <w:p>
            <w:pPr>
              <w:widowControl/>
              <w:ind w:firstLine="0" w:firstLineChars="0"/>
              <w:rPr>
                <w:color w:val="auto"/>
                <w:kern w:val="0"/>
                <w:sz w:val="24"/>
                <w:szCs w:val="24"/>
              </w:rPr>
            </w:pPr>
            <w:r>
              <w:rPr>
                <w:color w:val="auto"/>
                <w:kern w:val="0"/>
                <w:sz w:val="24"/>
                <w:szCs w:val="24"/>
              </w:rPr>
              <w:t>1</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丸剂（大蜜丸）</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每丸重**g（相当于饮片**g）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每盒装**丸</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771" w:type="dxa"/>
            <w:vMerge w:val="continue"/>
            <w:shd w:val="clear" w:color="auto" w:fill="auto"/>
            <w:vAlign w:val="center"/>
          </w:tcPr>
          <w:p>
            <w:pPr>
              <w:widowControl/>
              <w:ind w:firstLine="0" w:firstLineChars="0"/>
              <w:rPr>
                <w:color w:val="auto"/>
                <w:kern w:val="0"/>
                <w:sz w:val="24"/>
                <w:szCs w:val="24"/>
              </w:rPr>
            </w:pP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丸剂（小蜜丸、水蜜丸、水丸、浓缩丸）</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每**丸重**g</w:t>
            </w:r>
          </w:p>
          <w:p>
            <w:pPr>
              <w:widowControl/>
              <w:ind w:firstLine="0" w:firstLineChars="0"/>
              <w:rPr>
                <w:color w:val="auto"/>
                <w:kern w:val="0"/>
                <w:sz w:val="24"/>
                <w:szCs w:val="24"/>
              </w:rPr>
            </w:pPr>
            <w:r>
              <w:rPr>
                <w:color w:val="auto"/>
                <w:kern w:val="0"/>
                <w:sz w:val="24"/>
                <w:szCs w:val="24"/>
              </w:rPr>
              <w:t>（每1g相当于饮片**g）；</w:t>
            </w:r>
          </w:p>
          <w:p>
            <w:pPr>
              <w:widowControl/>
              <w:ind w:firstLine="0" w:firstLineChars="0"/>
              <w:rPr>
                <w:color w:val="auto"/>
                <w:kern w:val="0"/>
                <w:sz w:val="24"/>
                <w:szCs w:val="24"/>
              </w:rPr>
            </w:pPr>
            <w:r>
              <w:rPr>
                <w:color w:val="auto"/>
                <w:kern w:val="0"/>
                <w:sz w:val="24"/>
                <w:szCs w:val="24"/>
              </w:rPr>
              <w:t>每**丸重**g</w:t>
            </w:r>
          </w:p>
          <w:p>
            <w:pPr>
              <w:widowControl/>
              <w:ind w:firstLine="0" w:firstLineChars="0"/>
              <w:rPr>
                <w:color w:val="auto"/>
                <w:kern w:val="0"/>
                <w:sz w:val="24"/>
                <w:szCs w:val="24"/>
              </w:rPr>
            </w:pPr>
            <w:r>
              <w:rPr>
                <w:color w:val="auto"/>
                <w:kern w:val="0"/>
                <w:sz w:val="24"/>
                <w:szCs w:val="24"/>
              </w:rPr>
              <w:t>（相当于饮片**g）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每瓶装**g；</w:t>
            </w:r>
          </w:p>
          <w:p>
            <w:pPr>
              <w:widowControl/>
              <w:ind w:firstLine="0" w:firstLineChars="0"/>
              <w:rPr>
                <w:color w:val="auto"/>
                <w:kern w:val="0"/>
                <w:sz w:val="24"/>
                <w:szCs w:val="24"/>
              </w:rPr>
            </w:pPr>
            <w:r>
              <w:rPr>
                <w:color w:val="auto"/>
                <w:kern w:val="0"/>
                <w:sz w:val="24"/>
                <w:szCs w:val="24"/>
              </w:rPr>
              <w:t>每盒装**丸</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一次**g；</w:t>
            </w:r>
          </w:p>
          <w:p>
            <w:pPr>
              <w:widowControl/>
              <w:ind w:firstLine="0" w:firstLineChars="0"/>
              <w:rPr>
                <w:color w:val="auto"/>
                <w:kern w:val="0"/>
                <w:sz w:val="24"/>
                <w:szCs w:val="24"/>
              </w:rPr>
            </w:pPr>
            <w:r>
              <w:rPr>
                <w:color w:val="auto"/>
                <w:kern w:val="0"/>
                <w:sz w:val="24"/>
                <w:szCs w:val="24"/>
              </w:rPr>
              <w:t>一次**丸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71" w:type="dxa"/>
            <w:vMerge w:val="continue"/>
            <w:shd w:val="clear" w:color="auto" w:fill="auto"/>
            <w:vAlign w:val="center"/>
          </w:tcPr>
          <w:p>
            <w:pPr>
              <w:widowControl/>
              <w:ind w:firstLine="0" w:firstLineChars="0"/>
              <w:rPr>
                <w:color w:val="auto"/>
                <w:kern w:val="0"/>
                <w:sz w:val="24"/>
                <w:szCs w:val="24"/>
              </w:rPr>
            </w:pP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丸剂（滴丸）</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每**丸重**g</w:t>
            </w:r>
          </w:p>
          <w:p>
            <w:pPr>
              <w:widowControl/>
              <w:ind w:firstLine="0" w:firstLineChars="0"/>
              <w:rPr>
                <w:color w:val="auto"/>
                <w:kern w:val="0"/>
                <w:sz w:val="24"/>
                <w:szCs w:val="24"/>
              </w:rPr>
            </w:pPr>
            <w:r>
              <w:rPr>
                <w:color w:val="auto"/>
                <w:kern w:val="0"/>
                <w:sz w:val="24"/>
                <w:szCs w:val="24"/>
              </w:rPr>
              <w:t>（每1g相当于饮片**g）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每瓶装**g；</w:t>
            </w:r>
          </w:p>
          <w:p>
            <w:pPr>
              <w:widowControl/>
              <w:ind w:firstLine="0" w:firstLineChars="0"/>
              <w:rPr>
                <w:color w:val="auto"/>
                <w:kern w:val="0"/>
                <w:sz w:val="24"/>
                <w:szCs w:val="24"/>
              </w:rPr>
            </w:pPr>
            <w:r>
              <w:rPr>
                <w:color w:val="auto"/>
                <w:kern w:val="0"/>
                <w:sz w:val="24"/>
                <w:szCs w:val="24"/>
              </w:rPr>
              <w:t>每瓶装**丸</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一次**g；</w:t>
            </w:r>
          </w:p>
          <w:p>
            <w:pPr>
              <w:widowControl/>
              <w:ind w:firstLine="0" w:firstLineChars="0"/>
              <w:rPr>
                <w:color w:val="auto"/>
                <w:kern w:val="0"/>
                <w:sz w:val="24"/>
                <w:szCs w:val="24"/>
              </w:rPr>
            </w:pPr>
            <w:r>
              <w:rPr>
                <w:color w:val="auto"/>
                <w:kern w:val="0"/>
                <w:sz w:val="24"/>
                <w:szCs w:val="24"/>
              </w:rPr>
              <w:t>一次**丸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2</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颗粒剂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每袋装**g</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3</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片剂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每片重**g（相当于饮片**g）；糖衣片：每片心重**g（相当于饮片**g）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每瓶装**片</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4</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胶囊剂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每粒装**g（相当于饮片**g）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每瓶装**粒</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5</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合剂（口服液）</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每1ml相当于饮片**g；</w:t>
            </w:r>
          </w:p>
          <w:p>
            <w:pPr>
              <w:widowControl/>
              <w:ind w:firstLine="0" w:firstLineChars="0"/>
              <w:rPr>
                <w:color w:val="auto"/>
                <w:kern w:val="0"/>
                <w:sz w:val="24"/>
                <w:szCs w:val="24"/>
              </w:rPr>
            </w:pPr>
            <w:r>
              <w:rPr>
                <w:color w:val="auto"/>
                <w:kern w:val="0"/>
                <w:sz w:val="24"/>
                <w:szCs w:val="24"/>
              </w:rPr>
              <w:t>每支相当于饮片**g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每瓶装**ml；</w:t>
            </w:r>
          </w:p>
          <w:p>
            <w:pPr>
              <w:widowControl/>
              <w:ind w:firstLine="0" w:firstLineChars="0"/>
              <w:rPr>
                <w:color w:val="auto"/>
                <w:kern w:val="0"/>
                <w:sz w:val="24"/>
                <w:szCs w:val="24"/>
              </w:rPr>
            </w:pPr>
            <w:r>
              <w:rPr>
                <w:color w:val="auto"/>
                <w:kern w:val="0"/>
                <w:sz w:val="24"/>
                <w:szCs w:val="24"/>
              </w:rPr>
              <w:t>每支装**ml</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一次**ml；</w:t>
            </w:r>
          </w:p>
          <w:p>
            <w:pPr>
              <w:widowControl/>
              <w:ind w:firstLine="0" w:firstLineChars="0"/>
              <w:rPr>
                <w:color w:val="auto"/>
                <w:kern w:val="0"/>
                <w:sz w:val="24"/>
                <w:szCs w:val="24"/>
              </w:rPr>
            </w:pPr>
            <w:r>
              <w:rPr>
                <w:color w:val="auto"/>
                <w:kern w:val="0"/>
                <w:sz w:val="24"/>
                <w:szCs w:val="24"/>
              </w:rPr>
              <w:t>一次**支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6</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糖浆剂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每1ml相当于饮片**g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每瓶装**ml</w:t>
            </w:r>
          </w:p>
          <w:p>
            <w:pPr>
              <w:widowControl/>
              <w:ind w:firstLine="0" w:firstLineChars="0"/>
              <w:rPr>
                <w:color w:val="auto"/>
                <w:kern w:val="0"/>
                <w:sz w:val="24"/>
                <w:szCs w:val="24"/>
              </w:rPr>
            </w:pPr>
            <w:r>
              <w:rPr>
                <w:color w:val="auto"/>
                <w:kern w:val="0"/>
                <w:sz w:val="24"/>
                <w:szCs w:val="24"/>
              </w:rPr>
              <w:t>（有刻度）</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7</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散剂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每袋装**g</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8</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煎膏剂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每瓶装**g</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9</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酒剂、酊剂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每1ml相当于饮片**g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每瓶装**ml</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10</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贴膏剂、膏药、贴敷剂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每贴相当于饮片**g</w:t>
            </w:r>
          </w:p>
          <w:p>
            <w:pPr>
              <w:widowControl/>
              <w:ind w:firstLine="0" w:firstLineChars="0"/>
              <w:rPr>
                <w:color w:val="auto"/>
                <w:kern w:val="0"/>
                <w:sz w:val="24"/>
                <w:szCs w:val="24"/>
              </w:rPr>
            </w:pPr>
            <w:r>
              <w:rPr>
                <w:color w:val="auto"/>
                <w:kern w:val="0"/>
                <w:sz w:val="24"/>
                <w:szCs w:val="24"/>
              </w:rPr>
              <w:t>（标明尺寸）</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每盒装**贴</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一次1贴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11</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软膏剂、乳膏剂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每支装**g</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12</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凝胶剂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每支装**g</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13</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栓剂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每粒相当于饮片**g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每盒装**粒</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14</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流浸膏与浸膏剂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每瓶装**g</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15</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气雾剂、喷雾剂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定量：**ml：相当于饮片**g（**mg 饮片×**揿或喷）；</w:t>
            </w:r>
          </w:p>
          <w:p>
            <w:pPr>
              <w:widowControl/>
              <w:ind w:firstLine="0" w:firstLineChars="0"/>
              <w:rPr>
                <w:color w:val="auto"/>
                <w:kern w:val="0"/>
                <w:sz w:val="24"/>
                <w:szCs w:val="24"/>
              </w:rPr>
            </w:pPr>
            <w:r>
              <w:rPr>
                <w:color w:val="auto"/>
                <w:kern w:val="0"/>
                <w:sz w:val="24"/>
                <w:szCs w:val="24"/>
              </w:rPr>
              <w:t>非定量：每1ml相当于饮片**g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每瓶装**ml</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定量：一次**ml；</w:t>
            </w:r>
          </w:p>
          <w:p>
            <w:pPr>
              <w:widowControl/>
              <w:ind w:firstLine="0" w:firstLineChars="0"/>
              <w:rPr>
                <w:color w:val="auto"/>
                <w:kern w:val="0"/>
                <w:sz w:val="24"/>
                <w:szCs w:val="24"/>
              </w:rPr>
            </w:pPr>
            <w:r>
              <w:rPr>
                <w:color w:val="auto"/>
                <w:kern w:val="0"/>
                <w:sz w:val="24"/>
                <w:szCs w:val="24"/>
              </w:rPr>
              <w:t>非定量：一次**       揿或喷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16</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锭剂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每锭相当于饮片**g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每盒装**锭</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17</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灸熨剂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每盒装**袋</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18</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涂膜剂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每1ml相当于饮片**g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每瓶装**ml</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19</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膜剂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每片相当于饮片**g</w:t>
            </w:r>
          </w:p>
          <w:p>
            <w:pPr>
              <w:widowControl/>
              <w:ind w:firstLine="0" w:firstLineChars="0"/>
              <w:rPr>
                <w:color w:val="auto"/>
                <w:kern w:val="0"/>
                <w:sz w:val="24"/>
                <w:szCs w:val="24"/>
              </w:rPr>
            </w:pPr>
            <w:r>
              <w:rPr>
                <w:color w:val="auto"/>
                <w:kern w:val="0"/>
                <w:sz w:val="24"/>
                <w:szCs w:val="24"/>
              </w:rPr>
              <w:t>（标明尺寸）</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每盒装**片</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20</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茶剂</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每袋装**g</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21</w:t>
            </w:r>
          </w:p>
        </w:tc>
        <w:tc>
          <w:tcPr>
            <w:tcW w:w="1928" w:type="dxa"/>
            <w:shd w:val="clear" w:color="auto" w:fill="auto"/>
            <w:vAlign w:val="center"/>
          </w:tcPr>
          <w:p>
            <w:pPr>
              <w:ind w:firstLine="0" w:firstLineChars="0"/>
              <w:rPr>
                <w:color w:val="auto"/>
                <w:kern w:val="0"/>
                <w:sz w:val="24"/>
                <w:szCs w:val="24"/>
              </w:rPr>
            </w:pPr>
            <w:r>
              <w:rPr>
                <w:color w:val="auto"/>
                <w:kern w:val="0"/>
                <w:sz w:val="24"/>
                <w:szCs w:val="24"/>
              </w:rPr>
              <w:t>其他半固体及固体制剂（糊剂、</w:t>
            </w:r>
          </w:p>
          <w:p>
            <w:pPr>
              <w:ind w:firstLine="0" w:firstLineChars="0"/>
              <w:rPr>
                <w:color w:val="auto"/>
                <w:kern w:val="0"/>
                <w:sz w:val="24"/>
                <w:szCs w:val="24"/>
              </w:rPr>
            </w:pPr>
            <w:r>
              <w:rPr>
                <w:color w:val="auto"/>
                <w:kern w:val="0"/>
                <w:sz w:val="24"/>
                <w:szCs w:val="24"/>
              </w:rPr>
              <w:t>胶剂等）</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每1g相当于饮片**g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每支（袋、盒）装**g</w:t>
            </w:r>
          </w:p>
        </w:tc>
        <w:tc>
          <w:tcPr>
            <w:tcW w:w="1948" w:type="dxa"/>
            <w:shd w:val="clear" w:color="auto" w:fill="auto"/>
            <w:vAlign w:val="center"/>
          </w:tcPr>
          <w:p>
            <w:pPr>
              <w:ind w:firstLine="0" w:firstLineChars="0"/>
              <w:rPr>
                <w:color w:val="auto"/>
                <w:kern w:val="0"/>
                <w:sz w:val="24"/>
                <w:szCs w:val="24"/>
              </w:rPr>
            </w:pPr>
            <w:r>
              <w:rPr>
                <w:color w:val="auto"/>
                <w:kern w:val="0"/>
                <w:sz w:val="24"/>
                <w:szCs w:val="24"/>
              </w:rPr>
              <w:t>一次**g</w:t>
            </w:r>
          </w:p>
          <w:p>
            <w:pPr>
              <w:ind w:firstLine="0" w:firstLineChars="0"/>
              <w:rPr>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771" w:type="dxa"/>
            <w:shd w:val="clear" w:color="auto" w:fill="auto"/>
            <w:vAlign w:val="center"/>
          </w:tcPr>
          <w:p>
            <w:pPr>
              <w:widowControl/>
              <w:ind w:firstLine="0" w:firstLineChars="0"/>
              <w:rPr>
                <w:color w:val="auto"/>
                <w:kern w:val="0"/>
                <w:sz w:val="24"/>
                <w:szCs w:val="24"/>
              </w:rPr>
            </w:pPr>
            <w:r>
              <w:rPr>
                <w:color w:val="auto"/>
                <w:kern w:val="0"/>
                <w:sz w:val="24"/>
                <w:szCs w:val="24"/>
              </w:rPr>
              <w:t>22</w:t>
            </w:r>
          </w:p>
        </w:tc>
        <w:tc>
          <w:tcPr>
            <w:tcW w:w="1928" w:type="dxa"/>
            <w:shd w:val="clear" w:color="auto" w:fill="auto"/>
            <w:vAlign w:val="center"/>
          </w:tcPr>
          <w:p>
            <w:pPr>
              <w:widowControl/>
              <w:ind w:firstLine="0" w:firstLineChars="0"/>
              <w:rPr>
                <w:color w:val="auto"/>
                <w:kern w:val="0"/>
                <w:sz w:val="24"/>
                <w:szCs w:val="24"/>
              </w:rPr>
            </w:pPr>
            <w:r>
              <w:rPr>
                <w:color w:val="auto"/>
                <w:kern w:val="0"/>
                <w:sz w:val="24"/>
                <w:szCs w:val="24"/>
              </w:rPr>
              <w:t>其他液体制剂（露剂、搽剂、灌肠剂、洗剂、灌注液等）</w:t>
            </w:r>
          </w:p>
        </w:tc>
        <w:tc>
          <w:tcPr>
            <w:tcW w:w="3288" w:type="dxa"/>
            <w:shd w:val="clear" w:color="auto" w:fill="auto"/>
            <w:vAlign w:val="center"/>
          </w:tcPr>
          <w:p>
            <w:pPr>
              <w:widowControl/>
              <w:ind w:firstLine="0" w:firstLineChars="0"/>
              <w:rPr>
                <w:color w:val="auto"/>
                <w:kern w:val="0"/>
                <w:sz w:val="24"/>
                <w:szCs w:val="24"/>
              </w:rPr>
            </w:pPr>
            <w:r>
              <w:rPr>
                <w:color w:val="auto"/>
                <w:kern w:val="0"/>
                <w:sz w:val="24"/>
                <w:szCs w:val="24"/>
              </w:rPr>
              <w:t>每1ml相当于饮片**g</w:t>
            </w:r>
          </w:p>
        </w:tc>
        <w:tc>
          <w:tcPr>
            <w:tcW w:w="1445" w:type="dxa"/>
            <w:shd w:val="clear" w:color="auto" w:fill="auto"/>
            <w:vAlign w:val="center"/>
          </w:tcPr>
          <w:p>
            <w:pPr>
              <w:widowControl/>
              <w:ind w:firstLine="0" w:firstLineChars="0"/>
              <w:rPr>
                <w:color w:val="auto"/>
                <w:kern w:val="0"/>
                <w:sz w:val="24"/>
                <w:szCs w:val="24"/>
              </w:rPr>
            </w:pPr>
            <w:r>
              <w:rPr>
                <w:color w:val="auto"/>
                <w:kern w:val="0"/>
                <w:sz w:val="24"/>
                <w:szCs w:val="24"/>
              </w:rPr>
              <w:t>每瓶装**ml</w:t>
            </w:r>
          </w:p>
        </w:tc>
        <w:tc>
          <w:tcPr>
            <w:tcW w:w="1948" w:type="dxa"/>
            <w:shd w:val="clear" w:color="auto" w:fill="auto"/>
            <w:vAlign w:val="center"/>
          </w:tcPr>
          <w:p>
            <w:pPr>
              <w:widowControl/>
              <w:ind w:firstLine="0" w:firstLineChars="0"/>
              <w:rPr>
                <w:color w:val="auto"/>
                <w:kern w:val="0"/>
                <w:sz w:val="24"/>
                <w:szCs w:val="24"/>
              </w:rPr>
            </w:pPr>
            <w:r>
              <w:rPr>
                <w:color w:val="auto"/>
                <w:kern w:val="0"/>
                <w:sz w:val="24"/>
                <w:szCs w:val="24"/>
              </w:rPr>
              <w:t>一次**ml</w:t>
            </w:r>
          </w:p>
        </w:tc>
      </w:tr>
    </w:tbl>
    <w:p>
      <w:pPr>
        <w:ind w:firstLine="0" w:firstLineChars="0"/>
        <w:jc w:val="left"/>
        <w:rPr>
          <w:color w:val="auto"/>
          <w:sz w:val="24"/>
          <w:szCs w:val="24"/>
        </w:rPr>
      </w:pPr>
      <w:r>
        <w:rPr>
          <w:color w:val="auto"/>
          <w:sz w:val="24"/>
          <w:szCs w:val="24"/>
        </w:rPr>
        <w:t>#：表中药品规格的表述以处方药味均为饮片为例。</w:t>
      </w:r>
    </w:p>
    <w:p>
      <w:pPr>
        <w:ind w:firstLine="638" w:firstLineChars="228"/>
        <w:rPr>
          <w:color w:val="auto"/>
        </w:rPr>
      </w:pPr>
      <w:r>
        <w:rPr>
          <w:rFonts w:hint="eastAsia"/>
          <w:color w:val="auto"/>
        </w:rPr>
        <w:t>14贮藏</w:t>
      </w:r>
    </w:p>
    <w:p>
      <w:pPr>
        <w:ind w:firstLine="638" w:firstLineChars="228"/>
        <w:rPr>
          <w:color w:val="auto"/>
        </w:rPr>
      </w:pPr>
      <w:r>
        <w:rPr>
          <w:rFonts w:hint="eastAsia"/>
          <w:color w:val="auto"/>
        </w:rPr>
        <w:t>贮藏项内容为对药品贮藏与保管条件的基本要求。书写时应做到用词准确，准确理解贮藏项专用术语的含义。按《中国药典》凡例中的解释，“遮光”系指用不透光的容器（棕色容器，或用黑色包装材料包裹的无色透明或半透明容器）包装；“阴凉处”系指不超过20℃的环境，等等。</w:t>
      </w:r>
    </w:p>
    <w:p>
      <w:pPr>
        <w:ind w:firstLine="638" w:firstLineChars="228"/>
        <w:rPr>
          <w:color w:val="auto"/>
        </w:rPr>
      </w:pPr>
      <w:r>
        <w:rPr>
          <w:rFonts w:hint="eastAsia"/>
          <w:color w:val="auto"/>
        </w:rPr>
        <w:t>14.1书写要求</w:t>
      </w:r>
    </w:p>
    <w:p>
      <w:pPr>
        <w:ind w:firstLine="638" w:firstLineChars="228"/>
        <w:rPr>
          <w:color w:val="auto"/>
        </w:rPr>
      </w:pPr>
      <w:r>
        <w:rPr>
          <w:rFonts w:hint="eastAsia"/>
          <w:color w:val="auto"/>
        </w:rPr>
        <w:t>一般情况下，各品种的贮藏条件应符合现行版《中国药典》制剂凡例及通则中的有关规定。因品种特性而对贮藏条件有特殊要求的，可以另行规定，但须在标准的起草说明中说明理由。</w:t>
      </w:r>
    </w:p>
    <w:p>
      <w:pPr>
        <w:ind w:firstLine="638" w:firstLineChars="228"/>
        <w:rPr>
          <w:color w:val="auto"/>
        </w:rPr>
      </w:pPr>
      <w:r>
        <w:rPr>
          <w:rFonts w:hint="eastAsia"/>
          <w:color w:val="auto"/>
        </w:rPr>
        <w:t>14.2书写格式</w:t>
      </w:r>
    </w:p>
    <w:p>
      <w:pPr>
        <w:ind w:firstLine="638" w:firstLineChars="228"/>
        <w:rPr>
          <w:color w:val="auto"/>
        </w:rPr>
      </w:pPr>
      <w:r>
        <w:rPr>
          <w:rFonts w:hint="eastAsia"/>
          <w:color w:val="auto"/>
        </w:rPr>
        <w:t>贮藏条件的表示方法应参照《中国药典》要求规范书写，对贮藏条件有特殊要求的制剂需要予以说明。</w:t>
      </w:r>
    </w:p>
    <w:p>
      <w:pPr>
        <w:ind w:firstLine="638" w:firstLineChars="228"/>
        <w:rPr>
          <w:color w:val="auto"/>
        </w:rPr>
      </w:pPr>
      <w:r>
        <w:rPr>
          <w:rFonts w:hint="eastAsia"/>
          <w:color w:val="auto"/>
        </w:rPr>
        <w:t>15注</w:t>
      </w:r>
    </w:p>
    <w:p>
      <w:pPr>
        <w:ind w:firstLine="638" w:firstLineChars="228"/>
        <w:rPr>
          <w:color w:val="auto"/>
        </w:rPr>
      </w:pPr>
      <w:r>
        <w:rPr>
          <w:rFonts w:hint="eastAsia"/>
          <w:color w:val="auto"/>
        </w:rPr>
        <w:t>药品标准正文之后有时需要附注文字内容，对标准正文中的某些内容进行补充说明。如：药味的植物来源、炮制方法，试剂的配制方法等等。</w:t>
      </w:r>
    </w:p>
    <w:p>
      <w:pPr>
        <w:ind w:firstLine="638" w:firstLineChars="228"/>
        <w:rPr>
          <w:color w:val="auto"/>
        </w:rPr>
      </w:pPr>
      <w:r>
        <w:rPr>
          <w:rFonts w:hint="eastAsia"/>
          <w:color w:val="auto"/>
        </w:rPr>
        <w:t>15.1书写格式举例</w:t>
      </w:r>
    </w:p>
    <w:p>
      <w:pPr>
        <w:ind w:firstLine="638" w:firstLineChars="228"/>
        <w:rPr>
          <w:color w:val="auto"/>
        </w:rPr>
      </w:pPr>
      <w:r>
        <w:rPr>
          <w:rFonts w:hint="eastAsia"/>
          <w:color w:val="auto"/>
        </w:rPr>
        <w:t>15.1.1植物来源</w:t>
      </w:r>
    </w:p>
    <w:p>
      <w:pPr>
        <w:ind w:firstLine="638" w:firstLineChars="228"/>
        <w:rPr>
          <w:color w:val="auto"/>
        </w:rPr>
      </w:pPr>
      <w:r>
        <w:rPr>
          <w:rFonts w:hint="eastAsia"/>
          <w:color w:val="auto"/>
        </w:rPr>
        <w:t>注: 1.葶苈子本品为十字花科植物播娘蒿</w:t>
      </w:r>
      <w:r>
        <w:rPr>
          <w:rFonts w:ascii="Times New Roman" w:hAnsi="Times New Roman" w:cs="Times New Roman"/>
          <w:i/>
          <w:iCs/>
          <w:color w:val="auto"/>
        </w:rPr>
        <w:t>Descurainia sophia</w:t>
      </w:r>
      <w:r>
        <w:rPr>
          <w:rFonts w:ascii="Times New Roman" w:hAnsi="Times New Roman" w:cs="Times New Roman"/>
          <w:color w:val="auto"/>
        </w:rPr>
        <w:t>（L）Webb.ex. Prantl</w:t>
      </w:r>
      <w:r>
        <w:rPr>
          <w:rFonts w:hint="eastAsia"/>
          <w:color w:val="auto"/>
        </w:rPr>
        <w:t>的干燥成熟种子。</w:t>
      </w:r>
    </w:p>
    <w:p>
      <w:pPr>
        <w:ind w:firstLine="638" w:firstLineChars="228"/>
        <w:rPr>
          <w:color w:val="auto"/>
        </w:rPr>
      </w:pPr>
      <w:r>
        <w:rPr>
          <w:rFonts w:hint="eastAsia"/>
          <w:color w:val="auto"/>
        </w:rPr>
        <w:t>2.芥子本品为十字花科植物白芥</w:t>
      </w:r>
      <w:r>
        <w:rPr>
          <w:rFonts w:hint="eastAsia" w:ascii="Times New Roman" w:hAnsi="Times New Roman" w:cs="Times New Roman"/>
          <w:i/>
          <w:iCs/>
          <w:color w:val="auto"/>
        </w:rPr>
        <w:t>Sinapis alba</w:t>
      </w:r>
      <w:r>
        <w:rPr>
          <w:rFonts w:hint="eastAsia" w:ascii="Times New Roman" w:hAnsi="Times New Roman" w:cs="Times New Roman"/>
          <w:color w:val="auto"/>
        </w:rPr>
        <w:t xml:space="preserve"> L</w:t>
      </w:r>
      <w:r>
        <w:rPr>
          <w:rFonts w:hint="eastAsia"/>
          <w:color w:val="auto"/>
        </w:rPr>
        <w:t>的干燥成熟种子。</w:t>
      </w:r>
    </w:p>
    <w:p>
      <w:pPr>
        <w:ind w:firstLine="638" w:firstLineChars="228"/>
        <w:rPr>
          <w:color w:val="auto"/>
        </w:rPr>
      </w:pPr>
      <w:r>
        <w:rPr>
          <w:rFonts w:hint="eastAsia"/>
          <w:color w:val="auto"/>
        </w:rPr>
        <w:t>注:竹叶柴胡本品 为伞形科植物竹叶柴胡</w:t>
      </w:r>
      <w:r>
        <w:rPr>
          <w:rFonts w:hint="eastAsia" w:ascii="Times New Roman" w:hAnsi="Times New Roman" w:cs="Times New Roman"/>
          <w:i/>
          <w:iCs/>
          <w:color w:val="auto"/>
        </w:rPr>
        <w:t>Bupleurum marginatum</w:t>
      </w:r>
      <w:r>
        <w:rPr>
          <w:rFonts w:hint="eastAsia" w:ascii="Times New Roman" w:hAnsi="Times New Roman" w:cs="Times New Roman"/>
          <w:color w:val="auto"/>
        </w:rPr>
        <w:t xml:space="preserve"> Wall.ex. DC.</w:t>
      </w:r>
      <w:r>
        <w:rPr>
          <w:rFonts w:hint="eastAsia"/>
          <w:color w:val="auto"/>
        </w:rPr>
        <w:t>的干燥全草。</w:t>
      </w:r>
    </w:p>
    <w:p>
      <w:pPr>
        <w:ind w:firstLine="638" w:firstLineChars="228"/>
        <w:rPr>
          <w:color w:val="auto"/>
        </w:rPr>
      </w:pPr>
      <w:r>
        <w:rPr>
          <w:rFonts w:hint="eastAsia"/>
          <w:color w:val="auto"/>
        </w:rPr>
        <w:t>15.1.2药味的炮炙方法</w:t>
      </w:r>
    </w:p>
    <w:p>
      <w:pPr>
        <w:ind w:firstLine="638" w:firstLineChars="228"/>
        <w:rPr>
          <w:color w:val="auto"/>
        </w:rPr>
      </w:pPr>
      <w:r>
        <w:rPr>
          <w:rFonts w:hint="eastAsia"/>
          <w:color w:val="auto"/>
        </w:rPr>
        <w:t>注:香附（四制）的炮炙方法取净香附，用酒、醋、姜汁和盐的混合液拌匀，闷润12小时，蒸3小时至透心，取出，晒干。</w:t>
      </w:r>
    </w:p>
    <w:p>
      <w:pPr>
        <w:ind w:firstLine="638" w:firstLineChars="228"/>
        <w:rPr>
          <w:color w:val="auto"/>
        </w:rPr>
      </w:pPr>
      <w:r>
        <w:rPr>
          <w:rFonts w:hint="eastAsia"/>
          <w:color w:val="auto"/>
        </w:rPr>
        <w:t>每100kg香附，用酒、醋和生姜各6kg及盐2kg。</w:t>
      </w:r>
    </w:p>
    <w:p>
      <w:pPr>
        <w:ind w:firstLine="638" w:firstLineChars="228"/>
        <w:rPr>
          <w:color w:val="auto"/>
        </w:rPr>
      </w:pPr>
      <w:r>
        <w:rPr>
          <w:rFonts w:hint="eastAsia"/>
          <w:color w:val="auto"/>
        </w:rPr>
        <w:t>注:香附（四炙）的炮炙方法取净香附，用姜汁、酒、醋和盐的混合液拌匀，稍闷润，待汁吸尽后，照清炒法炒至棕黑色。</w:t>
      </w:r>
    </w:p>
    <w:p>
      <w:pPr>
        <w:ind w:firstLine="638" w:firstLineChars="228"/>
        <w:rPr>
          <w:color w:val="auto"/>
        </w:rPr>
      </w:pPr>
      <w:r>
        <w:rPr>
          <w:rFonts w:hint="eastAsia"/>
          <w:color w:val="auto"/>
        </w:rPr>
        <w:t>每100kg香附，用生姜5kg、白酒5kg、盐1kg、醋5kg；或用生姜5kg、黄酒10kg、食盐2kg，米醋10kg。</w:t>
      </w:r>
    </w:p>
    <w:p>
      <w:pPr>
        <w:ind w:firstLine="638" w:firstLineChars="228"/>
        <w:rPr>
          <w:color w:val="auto"/>
        </w:rPr>
      </w:pPr>
      <w:r>
        <w:rPr>
          <w:rFonts w:hint="eastAsia"/>
          <w:color w:val="auto"/>
        </w:rPr>
        <w:t>15.1.3试剂的配制方法</w:t>
      </w:r>
    </w:p>
    <w:p>
      <w:pPr>
        <w:ind w:firstLine="638" w:firstLineChars="228"/>
        <w:rPr>
          <w:color w:val="auto"/>
        </w:rPr>
      </w:pPr>
      <w:r>
        <w:rPr>
          <w:rFonts w:hint="eastAsia"/>
          <w:color w:val="auto"/>
        </w:rPr>
        <w:t>检测项目中所用的某些化学试剂需要在标准中明确其配制方法，配制方法简单的，可在试剂名称后的括号内注明；配制方法繁琐的，需要在标准正文之后注明。</w:t>
      </w:r>
    </w:p>
    <w:p>
      <w:pPr>
        <w:ind w:firstLine="638" w:firstLineChars="228"/>
        <w:rPr>
          <w:color w:val="auto"/>
        </w:rPr>
      </w:pPr>
      <w:r>
        <w:rPr>
          <w:rFonts w:hint="eastAsia"/>
          <w:color w:val="auto"/>
        </w:rPr>
        <w:t>注：1.酚试剂取钨酸钠25g、钼酸钠6.25g，置500ml圆底烧瓶中，加水175ml、85%磷酸12.5ml，加热。回流10小时，冷却后加硫酸锂37.5g，用水稀释至250ml，摇匀，作为储备液，置暗处保存，用时以等量水稀释。</w:t>
      </w:r>
    </w:p>
    <w:p>
      <w:pPr>
        <w:ind w:firstLine="638" w:firstLineChars="228"/>
        <w:rPr>
          <w:color w:val="auto"/>
        </w:rPr>
      </w:pPr>
      <w:r>
        <w:rPr>
          <w:rFonts w:hint="eastAsia"/>
          <w:color w:val="auto"/>
        </w:rPr>
        <w:t>2.试剂A取碳酸钠2.0g，用0.1mol/L氢氧化钠溶液溶解并稀释至100ml，摇匀，即得。</w:t>
      </w:r>
    </w:p>
    <w:p>
      <w:pPr>
        <w:ind w:firstLine="638" w:firstLineChars="228"/>
        <w:rPr>
          <w:color w:val="auto"/>
        </w:rPr>
      </w:pPr>
      <w:r>
        <w:rPr>
          <w:rFonts w:hint="eastAsia"/>
          <w:color w:val="auto"/>
        </w:rPr>
        <w:t>3.试剂B取硫酸铜0.5g，用1%酒石酸钠溶液溶解并稀释至100ml，摇匀，即得。</w:t>
      </w:r>
    </w:p>
    <w:p>
      <w:pPr>
        <w:ind w:firstLine="638" w:firstLineChars="228"/>
        <w:rPr>
          <w:color w:val="auto"/>
        </w:rPr>
      </w:pPr>
      <w:r>
        <w:rPr>
          <w:rFonts w:hint="eastAsia"/>
          <w:color w:val="auto"/>
        </w:rPr>
        <w:t>4.试剂C临用时，将试剂A与试剂B按50:1的比例混匀，即得（一日内有效）。</w:t>
      </w:r>
    </w:p>
    <w:p>
      <w:pPr>
        <w:ind w:firstLine="638" w:firstLineChars="228"/>
        <w:rPr>
          <w:color w:val="auto"/>
        </w:rPr>
      </w:pPr>
      <w:r>
        <w:rPr>
          <w:rFonts w:hint="eastAsia"/>
          <w:color w:val="auto"/>
        </w:rPr>
        <w:t>16附</w:t>
      </w:r>
    </w:p>
    <w:p>
      <w:pPr>
        <w:ind w:firstLine="638" w:firstLineChars="228"/>
        <w:rPr>
          <w:color w:val="auto"/>
        </w:rPr>
      </w:pPr>
      <w:r>
        <w:rPr>
          <w:rFonts w:hint="eastAsia"/>
          <w:color w:val="auto"/>
        </w:rPr>
        <w:t>如果处方药味无法定标准，可将所用原料内控质量的标准附在制剂标准正文之后。</w:t>
      </w:r>
    </w:p>
    <w:p>
      <w:pPr>
        <w:ind w:firstLine="638" w:firstLineChars="228"/>
        <w:rPr>
          <w:color w:val="auto"/>
        </w:rPr>
      </w:pPr>
      <w:r>
        <w:rPr>
          <w:rFonts w:hint="eastAsia"/>
          <w:color w:val="auto"/>
        </w:rPr>
        <w:t>附:***流浸膏质量标准</w:t>
      </w:r>
    </w:p>
    <w:p>
      <w:pPr>
        <w:ind w:firstLine="638" w:firstLineChars="228"/>
        <w:rPr>
          <w:color w:val="auto"/>
        </w:rPr>
      </w:pPr>
      <w:r>
        <w:rPr>
          <w:rFonts w:hint="eastAsia"/>
          <w:color w:val="auto"/>
        </w:rPr>
        <w:t>***流浸膏</w:t>
      </w:r>
    </w:p>
    <w:p>
      <w:pPr>
        <w:ind w:firstLine="638" w:firstLineChars="228"/>
        <w:rPr>
          <w:color w:val="auto"/>
        </w:rPr>
      </w:pPr>
      <w:r>
        <w:rPr>
          <w:rFonts w:hint="eastAsia"/>
          <w:color w:val="auto"/>
        </w:rPr>
        <w:t>本品为***经加工制成的流浸膏。</w:t>
      </w:r>
    </w:p>
    <w:p>
      <w:pPr>
        <w:ind w:firstLine="638" w:firstLineChars="228"/>
        <w:rPr>
          <w:color w:val="auto"/>
        </w:rPr>
      </w:pPr>
      <w:r>
        <w:rPr>
          <w:rFonts w:hint="eastAsia"/>
          <w:color w:val="auto"/>
        </w:rPr>
        <w:t>[制法]</w:t>
      </w:r>
      <w:r>
        <w:rPr>
          <w:color w:val="auto"/>
        </w:rPr>
        <w:t xml:space="preserve"> </w:t>
      </w:r>
      <w:r>
        <w:rPr>
          <w:rFonts w:hint="eastAsia"/>
          <w:color w:val="auto"/>
        </w:rPr>
        <w:t>....</w:t>
      </w:r>
    </w:p>
    <w:p>
      <w:pPr>
        <w:ind w:firstLine="638" w:firstLineChars="228"/>
        <w:rPr>
          <w:color w:val="auto"/>
        </w:rPr>
      </w:pPr>
      <w:r>
        <w:rPr>
          <w:rFonts w:hint="eastAsia"/>
          <w:color w:val="auto"/>
        </w:rPr>
        <w:t>[性状]</w:t>
      </w:r>
      <w:r>
        <w:rPr>
          <w:color w:val="auto"/>
        </w:rPr>
        <w:t xml:space="preserve"> </w:t>
      </w:r>
      <w:r>
        <w:rPr>
          <w:rFonts w:hint="eastAsia"/>
          <w:color w:val="auto"/>
        </w:rPr>
        <w:t>....</w:t>
      </w:r>
    </w:p>
    <w:p>
      <w:pPr>
        <w:ind w:firstLine="638" w:firstLineChars="228"/>
        <w:rPr>
          <w:color w:val="auto"/>
        </w:rPr>
      </w:pPr>
      <w:r>
        <w:rPr>
          <w:rFonts w:hint="eastAsia"/>
          <w:color w:val="auto"/>
        </w:rPr>
        <w:t>[鉴别] ....</w:t>
      </w:r>
    </w:p>
    <w:p>
      <w:pPr>
        <w:ind w:firstLine="638" w:firstLineChars="228"/>
        <w:rPr>
          <w:color w:val="auto"/>
        </w:rPr>
      </w:pPr>
      <w:r>
        <w:rPr>
          <w:rFonts w:hint="eastAsia"/>
          <w:color w:val="auto"/>
        </w:rPr>
        <w:t>[检查] ....</w:t>
      </w:r>
    </w:p>
    <w:p>
      <w:pPr>
        <w:ind w:firstLine="638" w:firstLineChars="228"/>
        <w:rPr>
          <w:color w:val="auto"/>
        </w:rPr>
      </w:pPr>
      <w:r>
        <w:rPr>
          <w:rFonts w:hint="eastAsia"/>
          <w:color w:val="auto"/>
        </w:rPr>
        <w:t>[贮藏]</w:t>
      </w:r>
      <w:r>
        <w:rPr>
          <w:color w:val="auto"/>
        </w:rPr>
        <w:t xml:space="preserve"> </w:t>
      </w:r>
      <w:r>
        <w:rPr>
          <w:rFonts w:hint="eastAsia"/>
          <w:color w:val="auto"/>
        </w:rPr>
        <w:t>....</w:t>
      </w:r>
    </w:p>
    <w:p>
      <w:pPr>
        <w:rPr>
          <w:color w:val="auto"/>
        </w:rPr>
        <w:sectPr>
          <w:pgSz w:w="11906" w:h="16838"/>
          <w:pgMar w:top="1440" w:right="1800" w:bottom="1440" w:left="1800" w:header="851" w:footer="992" w:gutter="0"/>
          <w:cols w:space="425" w:num="1"/>
          <w:docGrid w:type="lines" w:linePitch="312" w:charSpace="0"/>
        </w:sectPr>
      </w:pPr>
    </w:p>
    <w:p>
      <w:pPr>
        <w:pStyle w:val="2"/>
        <w:rPr>
          <w:color w:val="auto"/>
        </w:rPr>
      </w:pPr>
      <w:bookmarkStart w:id="23" w:name="_Toc133164601"/>
      <w:bookmarkStart w:id="24" w:name="_Toc22533"/>
      <w:bookmarkStart w:id="25" w:name="_Toc4171"/>
      <w:r>
        <w:rPr>
          <w:rFonts w:hint="eastAsia"/>
          <w:color w:val="auto"/>
        </w:rPr>
        <w:t>制剂</w:t>
      </w:r>
      <w:r>
        <w:rPr>
          <w:color w:val="auto"/>
        </w:rPr>
        <w:t>质量标准起草说明编写细则</w:t>
      </w:r>
      <w:bookmarkEnd w:id="23"/>
      <w:bookmarkEnd w:id="24"/>
      <w:bookmarkEnd w:id="25"/>
    </w:p>
    <w:p>
      <w:pPr>
        <w:rPr>
          <w:color w:val="auto"/>
        </w:rPr>
      </w:pPr>
      <w:r>
        <w:rPr>
          <w:color w:val="auto"/>
        </w:rPr>
        <w:t>制剂质量标准起草说明是说明标准起草过程中，制订各个项目的理由及规定各项指标和检测方法的依据；也是对该制剂从处方、制法，以及它们的理化鉴别，质量控制，临床应用，贮藏等方面资料的汇总。</w:t>
      </w:r>
    </w:p>
    <w:p>
      <w:pPr>
        <w:rPr>
          <w:color w:val="auto"/>
        </w:rPr>
      </w:pPr>
      <w:r>
        <w:rPr>
          <w:color w:val="auto"/>
        </w:rPr>
        <w:t>1.编写原则</w:t>
      </w:r>
    </w:p>
    <w:p>
      <w:pPr>
        <w:rPr>
          <w:color w:val="auto"/>
        </w:rPr>
      </w:pPr>
      <w:r>
        <w:rPr>
          <w:color w:val="auto"/>
        </w:rPr>
        <w:t>1.1起草说明不属于药品法规，也不是药典的注释，而是制订各个项目的说明。内容、文字，特别是名词、术语应力求与药典-致。计量单位等统一按药典“凡例”中规定要求编写。</w:t>
      </w:r>
    </w:p>
    <w:p>
      <w:pPr>
        <w:rPr>
          <w:color w:val="auto"/>
        </w:rPr>
      </w:pPr>
      <w:r>
        <w:rPr>
          <w:color w:val="auto"/>
        </w:rPr>
        <w:t>1.2起草说明包括理论性解释和实践工作中的经验总结。尤其是对中药的真伪鉴别及质量控制方面的经验和实验研究，即使不太成熟，但有实用意义的也可编写在内。</w:t>
      </w:r>
    </w:p>
    <w:p>
      <w:pPr>
        <w:rPr>
          <w:color w:val="auto"/>
        </w:rPr>
      </w:pPr>
      <w:r>
        <w:rPr>
          <w:color w:val="auto"/>
        </w:rPr>
        <w:t>1.3每一篇起草说明均应写明作者、审核人的单位、姓名、</w:t>
      </w:r>
      <w:r>
        <w:rPr>
          <w:rFonts w:hint="eastAsia"/>
          <w:color w:val="auto"/>
        </w:rPr>
        <w:t>职称或职务、日期。</w:t>
      </w:r>
    </w:p>
    <w:p>
      <w:pPr>
        <w:rPr>
          <w:color w:val="auto"/>
        </w:rPr>
      </w:pPr>
      <w:r>
        <w:rPr>
          <w:color w:val="auto"/>
        </w:rPr>
        <w:t>2.编写格式及要求</w:t>
      </w:r>
    </w:p>
    <w:p>
      <w:pPr>
        <w:rPr>
          <w:color w:val="auto"/>
        </w:rPr>
      </w:pPr>
      <w:r>
        <w:rPr>
          <w:color w:val="auto"/>
        </w:rPr>
        <w:t>2.1历史沿革</w:t>
      </w:r>
    </w:p>
    <w:p>
      <w:pPr>
        <w:rPr>
          <w:color w:val="auto"/>
        </w:rPr>
      </w:pPr>
      <w:r>
        <w:rPr>
          <w:color w:val="auto"/>
        </w:rPr>
        <w:t>简要说明处方来源，包括验方、古方来源及考证，及历版标准收载、增修订情况。</w:t>
      </w:r>
    </w:p>
    <w:p>
      <w:pPr>
        <w:rPr>
          <w:color w:val="auto"/>
        </w:rPr>
      </w:pPr>
      <w:r>
        <w:rPr>
          <w:color w:val="auto"/>
        </w:rPr>
        <w:t>2.2【名称】应对命名依据作简要说明。曾用名及修改理由。</w:t>
      </w:r>
    </w:p>
    <w:p>
      <w:pPr>
        <w:rPr>
          <w:color w:val="auto"/>
        </w:rPr>
      </w:pPr>
      <w:r>
        <w:rPr>
          <w:color w:val="auto"/>
        </w:rPr>
        <w:t>2.3【处方】</w:t>
      </w:r>
    </w:p>
    <w:p>
      <w:pPr>
        <w:rPr>
          <w:color w:val="auto"/>
        </w:rPr>
      </w:pPr>
      <w:r>
        <w:rPr>
          <w:color w:val="auto"/>
        </w:rPr>
        <w:t>2.3.1对处方药味排列次序进行简要说明。</w:t>
      </w:r>
    </w:p>
    <w:p>
      <w:pPr>
        <w:rPr>
          <w:color w:val="auto"/>
        </w:rPr>
      </w:pPr>
      <w:r>
        <w:rPr>
          <w:color w:val="auto"/>
        </w:rPr>
        <w:t>2.3.2处方中各药味说明其标准收载情况及产地，写法同药典正文来源。</w:t>
      </w:r>
    </w:p>
    <w:p>
      <w:pPr>
        <w:rPr>
          <w:color w:val="auto"/>
        </w:rPr>
      </w:pPr>
      <w:r>
        <w:rPr>
          <w:color w:val="auto"/>
        </w:rPr>
        <w:t>2.3.3处方中如有标准未收载的炮制品，应详细说明炮制方法和质量要求。</w:t>
      </w:r>
    </w:p>
    <w:p>
      <w:pPr>
        <w:rPr>
          <w:color w:val="auto"/>
        </w:rPr>
      </w:pPr>
      <w:r>
        <w:rPr>
          <w:color w:val="auto"/>
        </w:rPr>
        <w:t>2.4【制法】</w:t>
      </w:r>
    </w:p>
    <w:p>
      <w:pPr>
        <w:rPr>
          <w:color w:val="auto"/>
        </w:rPr>
      </w:pPr>
      <w:r>
        <w:rPr>
          <w:color w:val="auto"/>
        </w:rPr>
        <w:t>2.4.1列出工艺流程。包括关键工艺参数和技术指标及确定最终制备工艺及其技术条件的依据。</w:t>
      </w:r>
    </w:p>
    <w:p>
      <w:pPr>
        <w:rPr>
          <w:color w:val="auto"/>
        </w:rPr>
      </w:pPr>
      <w:r>
        <w:rPr>
          <w:color w:val="auto"/>
        </w:rPr>
        <w:t>2.4.2如需粉碎的药材应说明药粉粒度；药材经提取后制成清膏的应说明出膏率(干膏率)并列出相应数据；写明制成品总量。</w:t>
      </w:r>
    </w:p>
    <w:p>
      <w:pPr>
        <w:rPr>
          <w:color w:val="auto"/>
        </w:rPr>
      </w:pPr>
      <w:r>
        <w:rPr>
          <w:color w:val="auto"/>
        </w:rPr>
        <w:t>2.4.3说明主要辅料品种及用量,标准收载情况，药典未收</w:t>
      </w:r>
      <w:r>
        <w:rPr>
          <w:rFonts w:hint="eastAsia"/>
          <w:color w:val="auto"/>
        </w:rPr>
        <w:t>载的辅料应附执行标准。</w:t>
      </w:r>
    </w:p>
    <w:p>
      <w:pPr>
        <w:rPr>
          <w:color w:val="auto"/>
        </w:rPr>
      </w:pPr>
      <w:r>
        <w:rPr>
          <w:color w:val="auto"/>
        </w:rPr>
        <w:t>2.4.4同一品种下收载不同规格应分别说明，如蜜丸，收载水蜜丸、小蜜丸、大蜜丸应分别说明；又如片剂，收载大片与小片、糖衣片、薄膜衣片，应分别说明；如颗粒剂有含糖颗粒、无蔗糖颗粒、含乳糖颗粒等应分别说明。</w:t>
      </w:r>
    </w:p>
    <w:p>
      <w:pPr>
        <w:rPr>
          <w:color w:val="auto"/>
        </w:rPr>
      </w:pPr>
      <w:r>
        <w:rPr>
          <w:color w:val="auto"/>
        </w:rPr>
        <w:t>2.4.5制法过程中的注意事项。</w:t>
      </w:r>
    </w:p>
    <w:p>
      <w:pPr>
        <w:rPr>
          <w:color w:val="auto"/>
        </w:rPr>
      </w:pPr>
      <w:r>
        <w:rPr>
          <w:color w:val="auto"/>
        </w:rPr>
        <w:t>2.5【性状】</w:t>
      </w:r>
    </w:p>
    <w:p>
      <w:pPr>
        <w:rPr>
          <w:color w:val="auto"/>
        </w:rPr>
      </w:pPr>
      <w:r>
        <w:rPr>
          <w:color w:val="auto"/>
        </w:rPr>
        <w:t>2.5.1说明正文中性状内容拟定的依据，对性状进行修订的应说明理由。</w:t>
      </w:r>
    </w:p>
    <w:p>
      <w:pPr>
        <w:rPr>
          <w:color w:val="auto"/>
        </w:rPr>
      </w:pPr>
      <w:r>
        <w:rPr>
          <w:color w:val="auto"/>
        </w:rPr>
        <w:t>2.5.2对性状内容需要说明的其他问题。</w:t>
      </w:r>
    </w:p>
    <w:p>
      <w:pPr>
        <w:rPr>
          <w:color w:val="auto"/>
        </w:rPr>
      </w:pPr>
      <w:r>
        <w:rPr>
          <w:color w:val="auto"/>
        </w:rPr>
        <w:t>2.6【鉴别】</w:t>
      </w:r>
    </w:p>
    <w:p>
      <w:pPr>
        <w:rPr>
          <w:color w:val="auto"/>
        </w:rPr>
      </w:pPr>
      <w:r>
        <w:rPr>
          <w:rFonts w:hint="eastAsia"/>
          <w:color w:val="auto"/>
        </w:rPr>
        <w:t>说明正文收载的各项鉴别试验所鉴别的药味，包括鉴别增订、修订的理由，操作中应注意事项。应首先对君药、臣药、贵重药、毒剧药进行鉴别研究。所控制药味的数量尽量达到总药味数量的三分之一。</w:t>
      </w:r>
    </w:p>
    <w:p>
      <w:pPr>
        <w:rPr>
          <w:color w:val="auto"/>
        </w:rPr>
      </w:pPr>
      <w:r>
        <w:rPr>
          <w:color w:val="auto"/>
        </w:rPr>
        <w:t>鉴别试验应提供前处理条件选择的依据和实验数据，若使用药典未收载的特殊试液应注明配制的方法及依据。</w:t>
      </w:r>
    </w:p>
    <w:p>
      <w:pPr>
        <w:rPr>
          <w:color w:val="auto"/>
        </w:rPr>
      </w:pPr>
      <w:r>
        <w:rPr>
          <w:color w:val="auto"/>
        </w:rPr>
        <w:t>起草过程中曾做过的试验，但未列入正文的鉴别方法，也应说明试验研究方法、试验结果和未列入标准的理由。</w:t>
      </w:r>
    </w:p>
    <w:p>
      <w:pPr>
        <w:rPr>
          <w:color w:val="auto"/>
        </w:rPr>
      </w:pPr>
      <w:r>
        <w:rPr>
          <w:color w:val="auto"/>
        </w:rPr>
        <w:t>2.6.1显微鉴别说明正文各鉴别特征所代表的药材，同时附带标尺的彩色照片。</w:t>
      </w:r>
    </w:p>
    <w:p>
      <w:pPr>
        <w:rPr>
          <w:color w:val="auto"/>
        </w:rPr>
      </w:pPr>
      <w:r>
        <w:rPr>
          <w:color w:val="auto"/>
        </w:rPr>
        <w:t>2.6.2理化鉴别试验若非药典附录“一般鉴别试验”收载的方法，应说明鉴别反应的原理，并说明所鉴别的药味。</w:t>
      </w:r>
    </w:p>
    <w:p>
      <w:pPr>
        <w:rPr>
          <w:color w:val="auto"/>
        </w:rPr>
      </w:pPr>
      <w:r>
        <w:rPr>
          <w:color w:val="auto"/>
        </w:rPr>
        <w:t>2.6.3色谱法应说明色谱条件的选择(如薄层色谱法的吸附</w:t>
      </w:r>
      <w:r>
        <w:rPr>
          <w:rFonts w:hint="eastAsia"/>
          <w:color w:val="auto"/>
        </w:rPr>
        <w:t>剂、展开剂，显色剂的选定等</w:t>
      </w:r>
      <w:r>
        <w:rPr>
          <w:color w:val="auto"/>
        </w:rPr>
        <w:t>)。使用对照物质的来源、批号等信息。说明阴性对照溶液的制备方法，详述专属性与耐用性考察结果（参照现行版《中国药典》“药品质量标准分析方法验证指导原则”），并附彩色照片或色谱图。</w:t>
      </w:r>
    </w:p>
    <w:p>
      <w:pPr>
        <w:rPr>
          <w:color w:val="auto"/>
        </w:rPr>
      </w:pPr>
      <w:r>
        <w:rPr>
          <w:color w:val="auto"/>
        </w:rPr>
        <w:t>TLC鉴别照片中应有供试品(至少3个批号)、对照品或对照药材(多来源者应包括所有来源的对照药材)、阴性样品等。编辑文本时在图像外空白处标记供试品、对照品或对照药材、阴性等编号，以及展开时温度、湿度、点样量等。</w:t>
      </w:r>
    </w:p>
    <w:p>
      <w:pPr>
        <w:rPr>
          <w:color w:val="auto"/>
        </w:rPr>
      </w:pPr>
      <w:r>
        <w:rPr>
          <w:color w:val="auto"/>
        </w:rPr>
        <w:t>2.7【检查】</w:t>
      </w:r>
    </w:p>
    <w:p>
      <w:pPr>
        <w:rPr>
          <w:color w:val="auto"/>
        </w:rPr>
      </w:pPr>
      <w:r>
        <w:rPr>
          <w:color w:val="auto"/>
        </w:rPr>
        <w:t>2.7.1对药典通则规定以外的检查项目除说明制定理由，还要说明其限度拟定的理由。</w:t>
      </w:r>
    </w:p>
    <w:p>
      <w:pPr>
        <w:rPr>
          <w:color w:val="auto"/>
        </w:rPr>
      </w:pPr>
      <w:r>
        <w:rPr>
          <w:color w:val="auto"/>
        </w:rPr>
        <w:t>2.7.2所有检查项目均要列出实验数据。</w:t>
      </w:r>
    </w:p>
    <w:p>
      <w:pPr>
        <w:rPr>
          <w:color w:val="auto"/>
        </w:rPr>
      </w:pPr>
      <w:r>
        <w:rPr>
          <w:color w:val="auto"/>
        </w:rPr>
        <w:t>2.7.3对于处方中的药味在现行标准包含安全性指标考察的项目 （例如：真菌毒素、二氧化硫残留量、农药残留量、重金属及有害元素等），建议对制剂的该项目进行考察试验，并说明试验研究方法、结果，及该检查项列入或不列入质量标准正文的理由。</w:t>
      </w:r>
    </w:p>
    <w:p>
      <w:pPr>
        <w:rPr>
          <w:color w:val="auto"/>
        </w:rPr>
      </w:pPr>
      <w:r>
        <w:rPr>
          <w:color w:val="auto"/>
        </w:rPr>
        <w:t>2.8【含量测定】</w:t>
      </w:r>
    </w:p>
    <w:p>
      <w:pPr>
        <w:rPr>
          <w:color w:val="auto"/>
        </w:rPr>
      </w:pPr>
      <w:r>
        <w:rPr>
          <w:color w:val="auto"/>
        </w:rPr>
        <w:t>2.8.1说明含量测定所测药味和成分选定的理由及测定方法选定的依据。</w:t>
      </w:r>
    </w:p>
    <w:p>
      <w:pPr>
        <w:rPr>
          <w:color w:val="auto"/>
        </w:rPr>
      </w:pPr>
      <w:r>
        <w:rPr>
          <w:color w:val="auto"/>
        </w:rPr>
        <w:t>2.8.2测定方法的原理及其研究资料(包括各项实验条件选</w:t>
      </w:r>
      <w:r>
        <w:rPr>
          <w:rFonts w:hint="eastAsia"/>
          <w:color w:val="auto"/>
        </w:rPr>
        <w:t>择的依据及方法验证的数据与图谱，如干扰成分的去除，阴性对照试验情况以及方法的专属性与可行性，按</w:t>
      </w:r>
      <w:r>
        <w:rPr>
          <w:color w:val="auto"/>
        </w:rPr>
        <w:t>《中国药典》“中药质量标准分析方法验证指导原则”的要求，列出方法学考察的全部研究资料，包括准确度、精密度、专属性、线性、范围、耐用性等考察项目的试验方法、实验数据、结果结论等)。说明含量限度拟定的依据。使用对照物质的来源、批号等信息，并附色谱图。</w:t>
      </w:r>
    </w:p>
    <w:p>
      <w:pPr>
        <w:rPr>
          <w:color w:val="auto"/>
        </w:rPr>
      </w:pPr>
      <w:r>
        <w:rPr>
          <w:rFonts w:hint="eastAsia"/>
          <w:color w:val="auto"/>
        </w:rPr>
        <w:t>所附供试品色谱图中，被测成分峰的峰高应为色谱量程的</w:t>
      </w:r>
      <w:r>
        <w:rPr>
          <w:color w:val="auto"/>
        </w:rPr>
        <w:t>1/3至2/3之间，至少应记录至杂质峰完全出来或主峰保留时间三倍以上，在色谱图上标明各色谱峰对应的已知组分或代号。对照品和阴性样品色谱图应与供试品采用相同的标尺，如果阴性色谱峰较供试品色谱峰缺失过多，需解释原因，必要时附药材或溶剂峰的色谱图。HPLC测定波长选择图若为UV最大吸收扫描图，一般提供对照品的即可。</w:t>
      </w:r>
    </w:p>
    <w:p>
      <w:pPr>
        <w:rPr>
          <w:color w:val="auto"/>
        </w:rPr>
      </w:pPr>
      <w:r>
        <w:rPr>
          <w:color w:val="auto"/>
        </w:rPr>
        <w:t>2.8.3起草过程中所进行的含量测定研究，若未列入标准正文，也应详尽地记述于起草说明中。</w:t>
      </w:r>
    </w:p>
    <w:p>
      <w:pPr>
        <w:rPr>
          <w:color w:val="auto"/>
        </w:rPr>
      </w:pPr>
      <w:r>
        <w:rPr>
          <w:color w:val="auto"/>
        </w:rPr>
        <w:t>2.9【功能与主治】简要说明制订功能与主治项的理由。</w:t>
      </w:r>
    </w:p>
    <w:p>
      <w:pPr>
        <w:rPr>
          <w:color w:val="auto"/>
        </w:rPr>
      </w:pPr>
      <w:r>
        <w:rPr>
          <w:color w:val="auto"/>
        </w:rPr>
        <w:t>2.10【用法与用量】简要说明制订用法与用量项的理由。</w:t>
      </w:r>
    </w:p>
    <w:p>
      <w:pPr>
        <w:rPr>
          <w:color w:val="auto"/>
        </w:rPr>
      </w:pPr>
      <w:r>
        <w:rPr>
          <w:color w:val="auto"/>
        </w:rPr>
        <w:t>2.11【注意】简要说明制订注意事项的理由。</w:t>
      </w:r>
    </w:p>
    <w:p>
      <w:pPr>
        <w:rPr>
          <w:color w:val="auto"/>
        </w:rPr>
      </w:pPr>
      <w:r>
        <w:rPr>
          <w:color w:val="auto"/>
        </w:rPr>
        <w:t>2.12【规格】说明规格拟定的依据，对不合理规格删除的理由，新增修订规格必须予以说明并附证明性文件。</w:t>
      </w:r>
    </w:p>
    <w:p>
      <w:pPr>
        <w:rPr>
          <w:color w:val="auto"/>
        </w:rPr>
      </w:pPr>
      <w:r>
        <w:rPr>
          <w:color w:val="auto"/>
        </w:rPr>
        <w:t>2.13【贮藏】简要说明规定贮存条件的理由；需特殊贮存条件的应有数据说明该特殊条件设定的必要性。</w:t>
      </w:r>
    </w:p>
    <w:p>
      <w:pPr>
        <w:rPr>
          <w:color w:val="auto"/>
        </w:rPr>
      </w:pPr>
      <w:r>
        <w:rPr>
          <w:color w:val="auto"/>
        </w:rPr>
        <w:t>2.14讨论本标准研究过程中尚存在的问题，提出今后进一</w:t>
      </w:r>
      <w:r>
        <w:rPr>
          <w:rFonts w:hint="eastAsia"/>
          <w:color w:val="auto"/>
        </w:rPr>
        <w:t>步研究完善的建议。</w:t>
      </w:r>
    </w:p>
    <w:p>
      <w:pPr>
        <w:rPr>
          <w:color w:val="auto"/>
        </w:rPr>
        <w:sectPr>
          <w:pgSz w:w="11906" w:h="16838"/>
          <w:pgMar w:top="1440" w:right="1800" w:bottom="1440" w:left="1800" w:header="851" w:footer="992" w:gutter="0"/>
          <w:cols w:space="425" w:num="1"/>
          <w:docGrid w:type="lines" w:linePitch="312" w:charSpace="0"/>
        </w:sectPr>
      </w:pPr>
    </w:p>
    <w:p>
      <w:pPr>
        <w:pStyle w:val="2"/>
        <w:rPr>
          <w:color w:val="auto"/>
        </w:rPr>
      </w:pPr>
      <w:bookmarkStart w:id="26" w:name="_Toc3127"/>
      <w:bookmarkStart w:id="27" w:name="_Toc133164602"/>
      <w:bookmarkStart w:id="28" w:name="_Toc31431"/>
      <w:r>
        <w:rPr>
          <w:rFonts w:hint="eastAsia"/>
          <w:color w:val="auto"/>
        </w:rPr>
        <w:t>临床前安全性研究技术指导原则</w:t>
      </w:r>
      <w:bookmarkEnd w:id="26"/>
      <w:bookmarkEnd w:id="27"/>
      <w:bookmarkEnd w:id="28"/>
    </w:p>
    <w:p>
      <w:pPr>
        <w:pStyle w:val="3"/>
        <w:rPr>
          <w:color w:val="auto"/>
        </w:rPr>
      </w:pPr>
      <w:bookmarkStart w:id="29" w:name="_Toc21808"/>
      <w:bookmarkStart w:id="30" w:name="_Toc1913"/>
      <w:r>
        <w:rPr>
          <w:rFonts w:hint="eastAsia"/>
          <w:color w:val="auto"/>
        </w:rPr>
        <w:t>第一部分</w:t>
      </w:r>
      <w:r>
        <w:rPr>
          <w:color w:val="auto"/>
        </w:rPr>
        <w:t xml:space="preserve"> </w:t>
      </w:r>
      <w:r>
        <w:rPr>
          <w:rFonts w:hint="eastAsia"/>
          <w:color w:val="auto"/>
        </w:rPr>
        <w:t>急性</w:t>
      </w:r>
      <w:r>
        <w:rPr>
          <w:color w:val="auto"/>
        </w:rPr>
        <w:t>毒性研究技术指导原则</w:t>
      </w:r>
      <w:bookmarkEnd w:id="29"/>
      <w:bookmarkEnd w:id="30"/>
    </w:p>
    <w:p>
      <w:pPr>
        <w:rPr>
          <w:color w:val="auto"/>
        </w:rPr>
      </w:pPr>
      <w:r>
        <w:rPr>
          <w:rFonts w:hint="eastAsia"/>
          <w:color w:val="auto"/>
        </w:rPr>
        <w:t>一、概述</w:t>
      </w:r>
    </w:p>
    <w:p>
      <w:pPr>
        <w:rPr>
          <w:color w:val="auto"/>
        </w:rPr>
      </w:pPr>
      <w:r>
        <w:rPr>
          <w:rFonts w:hint="eastAsia"/>
          <w:color w:val="auto"/>
        </w:rPr>
        <w:t>急性毒性试验即指采用单次或</w:t>
      </w:r>
      <w:r>
        <w:rPr>
          <w:color w:val="auto"/>
        </w:rPr>
        <w:t>24小时内多次给药的方式，观察动物一定时间内产生毒性反应及死亡情况，获得药物急性毒性信息的过程。</w:t>
      </w:r>
    </w:p>
    <w:p>
      <w:pPr>
        <w:rPr>
          <w:color w:val="auto"/>
        </w:rPr>
      </w:pPr>
      <w:r>
        <w:rPr>
          <w:rFonts w:hint="eastAsia"/>
          <w:color w:val="auto"/>
        </w:rPr>
        <w:t>急性毒性试验处在药物毒理研究的早期阶段，对阐明药物的毒性作用和了解其毒性靶器官具有重要意义。急性毒性试验所获信息不仅可为药效学研究提供剂量参考，对长期毒性（蓄积毒性）试验的剂量设计和某些药物临床试验起始剂量的选择具有重要参考价值，还能提供一些与人类药物过量所致急性中毒相关的信息，并用于质量控制。</w:t>
      </w:r>
    </w:p>
    <w:p>
      <w:pPr>
        <w:rPr>
          <w:color w:val="auto"/>
        </w:rPr>
      </w:pPr>
      <w:r>
        <w:rPr>
          <w:rFonts w:hint="eastAsia"/>
          <w:color w:val="auto"/>
        </w:rPr>
        <w:t>本指导原则适用于云南省医疗机构中药</w:t>
      </w:r>
      <w:r>
        <w:rPr>
          <w:color w:val="auto"/>
        </w:rPr>
        <w:t>(民族药)制剂（以下简称“制剂”）的急性毒性试验研究。</w:t>
      </w:r>
    </w:p>
    <w:p>
      <w:pPr>
        <w:rPr>
          <w:color w:val="auto"/>
        </w:rPr>
      </w:pPr>
      <w:r>
        <w:rPr>
          <w:rFonts w:hint="eastAsia"/>
          <w:color w:val="auto"/>
        </w:rPr>
        <w:t>二、一般要求</w:t>
      </w:r>
    </w:p>
    <w:p>
      <w:pPr>
        <w:rPr>
          <w:color w:val="auto"/>
        </w:rPr>
      </w:pPr>
      <w:r>
        <w:rPr>
          <w:rFonts w:hint="eastAsia"/>
          <w:color w:val="auto"/>
        </w:rPr>
        <w:t>（一）基本原则：云南省医疗机构中药（民族药）制剂情况复杂，本指导原则所提及的内容不可能完全涵盖临床前安全性研究的实际情况，因此开展研究工作时应遵循“具体问题具体分析”的原则。</w:t>
      </w:r>
    </w:p>
    <w:p>
      <w:pPr>
        <w:rPr>
          <w:color w:val="auto"/>
        </w:rPr>
      </w:pPr>
      <w:r>
        <w:rPr>
          <w:rFonts w:hint="eastAsia"/>
          <w:color w:val="auto"/>
        </w:rPr>
        <w:t>（二）实验管理：应遵守《药物非临床研究质量管理规范》。</w:t>
      </w:r>
    </w:p>
    <w:p>
      <w:pPr>
        <w:rPr>
          <w:color w:val="auto"/>
        </w:rPr>
      </w:pPr>
      <w:r>
        <w:rPr>
          <w:rFonts w:hint="eastAsia"/>
          <w:color w:val="auto"/>
        </w:rPr>
        <w:t>（三）试验设计：应符合随机、对照、重复的原则。</w:t>
      </w:r>
    </w:p>
    <w:p>
      <w:pPr>
        <w:rPr>
          <w:color w:val="auto"/>
        </w:rPr>
      </w:pPr>
      <w:r>
        <w:rPr>
          <w:rFonts w:hint="eastAsia"/>
          <w:color w:val="auto"/>
        </w:rPr>
        <w:t>（四）研究机构：必须是已在国内外相关机构注册（或备案）、从事药品安全性评价或毒理研究的具有法人资格的机构。应取得相应实验动物使用许可证，具有相关研究领域的相适应设备设施或者相关资质。</w:t>
      </w:r>
    </w:p>
    <w:p>
      <w:pPr>
        <w:rPr>
          <w:color w:val="auto"/>
        </w:rPr>
      </w:pPr>
      <w:r>
        <w:rPr>
          <w:rFonts w:hint="eastAsia"/>
          <w:color w:val="auto"/>
        </w:rPr>
        <w:t>（五）实验环境：应是与实验动物级别相应的实验环境，并能满足实验动物饲养标准要求。</w:t>
      </w:r>
    </w:p>
    <w:p>
      <w:pPr>
        <w:rPr>
          <w:color w:val="auto"/>
        </w:rPr>
      </w:pPr>
      <w:r>
        <w:rPr>
          <w:rFonts w:hint="eastAsia"/>
          <w:color w:val="auto"/>
        </w:rPr>
        <w:t>（六）研究人员：试验项目负责人必须具备相关专业领域副高级及以上的技术职称；所有参加研究的人员必须接受过相关专业的正规培训或训练。</w:t>
      </w:r>
    </w:p>
    <w:p>
      <w:pPr>
        <w:rPr>
          <w:color w:val="auto"/>
        </w:rPr>
      </w:pPr>
      <w:r>
        <w:rPr>
          <w:rFonts w:hint="eastAsia"/>
          <w:color w:val="auto"/>
        </w:rPr>
        <w:t>（七）受试物和对照样品的要求：应当采用制备工艺相对稳定、符合拟申报医疗机构制剂拟定的质量标准草案要求的中试样品（若因特殊情况不能提供中试样品的，需提供充分理由）。注明受试物的名称、来源、批号、含量（或规格）、保存条件及配制方法、配制单位等，并提供受试样品的检验报告。如果由于给药容量或给药方法限制，可采用提取的浸膏</w:t>
      </w:r>
      <w:r>
        <w:rPr>
          <w:color w:val="auto"/>
        </w:rPr>
        <w:t>/原料药或浓缩液或增加给药次数等进行试验。</w:t>
      </w:r>
    </w:p>
    <w:p>
      <w:pPr>
        <w:rPr>
          <w:color w:val="auto"/>
        </w:rPr>
      </w:pPr>
      <w:r>
        <w:rPr>
          <w:rFonts w:hint="eastAsia"/>
          <w:color w:val="auto"/>
        </w:rPr>
        <w:t>试验中所用溶媒和</w:t>
      </w:r>
      <w:r>
        <w:rPr>
          <w:color w:val="auto"/>
        </w:rPr>
        <w:t>/或辅料，应提供批号、规格、生产厂家。对照药物原则上应采用已上市的、适应症相同或类似且疗效公认的药物。</w:t>
      </w:r>
    </w:p>
    <w:p>
      <w:pPr>
        <w:rPr>
          <w:color w:val="auto"/>
        </w:rPr>
      </w:pPr>
      <w:r>
        <w:rPr>
          <w:rFonts w:hint="eastAsia"/>
          <w:color w:val="auto"/>
        </w:rPr>
        <w:t>由于中药</w:t>
      </w:r>
      <w:r>
        <w:rPr>
          <w:color w:val="auto"/>
        </w:rPr>
        <w:t>(民族药)的特殊性，建议试验中使用的受试物采用临用现配的方法配制；如果给药时间较长，建议考察配制后体积是否存在随放置时间延长而膨胀导致给药终浓度不准等因素。</w:t>
      </w:r>
    </w:p>
    <w:p>
      <w:pPr>
        <w:rPr>
          <w:color w:val="auto"/>
        </w:rPr>
      </w:pPr>
      <w:r>
        <w:rPr>
          <w:rFonts w:hint="eastAsia"/>
          <w:color w:val="auto"/>
        </w:rPr>
        <w:t>制剂生产和使用过程中，若受试物的工艺及其有关参数发生变化，并可能影响到其安全性，则应根据情况补充进行相应的安全性试验。</w:t>
      </w:r>
    </w:p>
    <w:p>
      <w:pPr>
        <w:rPr>
          <w:color w:val="auto"/>
        </w:rPr>
      </w:pPr>
      <w:r>
        <w:rPr>
          <w:rFonts w:hint="eastAsia"/>
          <w:color w:val="auto"/>
        </w:rPr>
        <w:t>三、基本内容</w:t>
      </w:r>
    </w:p>
    <w:p>
      <w:pPr>
        <w:rPr>
          <w:color w:val="auto"/>
        </w:rPr>
      </w:pPr>
      <w:r>
        <w:rPr>
          <w:rFonts w:hint="eastAsia"/>
          <w:color w:val="auto"/>
        </w:rPr>
        <w:t>制剂的临床前安全性研究内容应根据申报品种的立题依据、临床意义和定位、处方来源、使用历史、有效性与安全性等背景资料进行综合考虑，并参考国家药监局发布的法规和技术指导原则中关于药物安全性评价的相关要求，依据总则中相关要求进行试验和申报资料准备。</w:t>
      </w:r>
    </w:p>
    <w:p>
      <w:pPr>
        <w:rPr>
          <w:color w:val="auto"/>
        </w:rPr>
      </w:pPr>
      <w:r>
        <w:rPr>
          <w:rFonts w:hint="eastAsia"/>
          <w:color w:val="auto"/>
        </w:rPr>
        <w:t>研究内容应尽可能对制剂的临床前安全性进行科学、合理、充分地评价。在具体开展试验时应依据受试物的特性和临床应用特点等情况，按以下各具体要求进行。</w:t>
      </w:r>
    </w:p>
    <w:p>
      <w:pPr>
        <w:rPr>
          <w:color w:val="auto"/>
        </w:rPr>
      </w:pPr>
      <w:r>
        <w:rPr>
          <w:rFonts w:hint="eastAsia"/>
          <w:color w:val="auto"/>
        </w:rPr>
        <w:t>（一）口服制剂急性毒性试验</w:t>
      </w:r>
    </w:p>
    <w:p>
      <w:pPr>
        <w:rPr>
          <w:color w:val="auto"/>
        </w:rPr>
      </w:pPr>
      <w:r>
        <w:rPr>
          <w:color w:val="auto"/>
        </w:rPr>
        <w:t>1.实验动物</w:t>
      </w:r>
    </w:p>
    <w:p>
      <w:pPr>
        <w:rPr>
          <w:color w:val="auto"/>
        </w:rPr>
      </w:pPr>
      <w:r>
        <w:rPr>
          <w:rFonts w:hint="eastAsia"/>
          <w:color w:val="auto"/>
        </w:rPr>
        <w:t>（1）</w:t>
      </w:r>
      <w:r>
        <w:rPr>
          <w:color w:val="auto"/>
        </w:rPr>
        <w:t>种属</w:t>
      </w:r>
    </w:p>
    <w:p>
      <w:pPr>
        <w:rPr>
          <w:color w:val="auto"/>
        </w:rPr>
      </w:pPr>
      <w:r>
        <w:rPr>
          <w:rFonts w:hint="eastAsia"/>
          <w:color w:val="auto"/>
        </w:rPr>
        <w:t>一般采用</w:t>
      </w:r>
      <w:r>
        <w:rPr>
          <w:color w:val="auto"/>
        </w:rPr>
        <w:t>1～2种种属的实验动物进行，常使用小鼠或大鼠。特殊情况可选择其它动物如Beagle犬、家兔进行试验，但须有充分的理由。</w:t>
      </w:r>
    </w:p>
    <w:p>
      <w:pPr>
        <w:rPr>
          <w:color w:val="auto"/>
        </w:rPr>
      </w:pPr>
      <w:r>
        <w:rPr>
          <w:rFonts w:hint="eastAsia"/>
          <w:color w:val="auto"/>
        </w:rPr>
        <w:t>（2）</w:t>
      </w:r>
      <w:r>
        <w:rPr>
          <w:color w:val="auto"/>
        </w:rPr>
        <w:t>级别</w:t>
      </w:r>
    </w:p>
    <w:p>
      <w:pPr>
        <w:rPr>
          <w:color w:val="auto"/>
        </w:rPr>
      </w:pPr>
      <w:r>
        <w:rPr>
          <w:rFonts w:hint="eastAsia"/>
          <w:color w:val="auto"/>
        </w:rPr>
        <w:t>一般应选择正常、健康的动物，雌性动物须未孕。</w:t>
      </w:r>
    </w:p>
    <w:p>
      <w:pPr>
        <w:rPr>
          <w:color w:val="auto"/>
        </w:rPr>
      </w:pPr>
      <w:r>
        <w:rPr>
          <w:rFonts w:hint="eastAsia"/>
          <w:color w:val="auto"/>
        </w:rPr>
        <w:t>动物应符合国家有关规定的等级要求（清洁级或</w:t>
      </w:r>
      <w:r>
        <w:rPr>
          <w:color w:val="auto"/>
        </w:rPr>
        <w:t>SPF级），来源、品系、遗传背景清楚，并具有实验动物质量合格证。</w:t>
      </w:r>
    </w:p>
    <w:p>
      <w:pPr>
        <w:rPr>
          <w:color w:val="auto"/>
        </w:rPr>
      </w:pPr>
      <w:r>
        <w:rPr>
          <w:rFonts w:hint="eastAsia"/>
          <w:color w:val="auto"/>
        </w:rPr>
        <w:t>（3）</w:t>
      </w:r>
      <w:r>
        <w:rPr>
          <w:color w:val="auto"/>
        </w:rPr>
        <w:t>性别</w:t>
      </w:r>
    </w:p>
    <w:p>
      <w:pPr>
        <w:rPr>
          <w:color w:val="auto"/>
        </w:rPr>
      </w:pPr>
      <w:r>
        <w:rPr>
          <w:rFonts w:hint="eastAsia"/>
          <w:color w:val="auto"/>
        </w:rPr>
        <w:t>通常需采用两种性别的动物进行试验，雌雄各半，若因特殊情况仅采用单性别动物，应阐明其合理性。</w:t>
      </w:r>
    </w:p>
    <w:p>
      <w:pPr>
        <w:rPr>
          <w:color w:val="auto"/>
        </w:rPr>
      </w:pPr>
      <w:r>
        <w:rPr>
          <w:rFonts w:hint="eastAsia"/>
          <w:color w:val="auto"/>
        </w:rPr>
        <w:t>对于临床单性别用药，则采用对应单一性别的动物即可。</w:t>
      </w:r>
    </w:p>
    <w:p>
      <w:pPr>
        <w:rPr>
          <w:color w:val="auto"/>
        </w:rPr>
      </w:pPr>
      <w:r>
        <w:rPr>
          <w:rFonts w:hint="eastAsia"/>
          <w:color w:val="auto"/>
        </w:rPr>
        <w:t>（4）</w:t>
      </w:r>
      <w:r>
        <w:rPr>
          <w:color w:val="auto"/>
        </w:rPr>
        <w:t>年龄</w:t>
      </w:r>
    </w:p>
    <w:p>
      <w:pPr>
        <w:rPr>
          <w:color w:val="auto"/>
        </w:rPr>
      </w:pPr>
      <w:r>
        <w:rPr>
          <w:rFonts w:hint="eastAsia"/>
          <w:color w:val="auto"/>
        </w:rPr>
        <w:t>通常采用健康成年动物进行试验。如果受试物拟用于或可能用于儿童，建议采用与儿童年龄段相对应的幼年动物。</w:t>
      </w:r>
    </w:p>
    <w:p>
      <w:pPr>
        <w:rPr>
          <w:color w:val="auto"/>
        </w:rPr>
      </w:pPr>
      <w:r>
        <w:rPr>
          <w:rFonts w:hint="eastAsia"/>
          <w:color w:val="auto"/>
        </w:rPr>
        <w:t>（5）</w:t>
      </w:r>
      <w:r>
        <w:rPr>
          <w:color w:val="auto"/>
        </w:rPr>
        <w:t>动物数</w:t>
      </w:r>
    </w:p>
    <w:p>
      <w:pPr>
        <w:rPr>
          <w:color w:val="auto"/>
        </w:rPr>
      </w:pPr>
      <w:r>
        <w:rPr>
          <w:rFonts w:hint="eastAsia"/>
          <w:color w:val="auto"/>
        </w:rPr>
        <w:t>根据动物种属和研究目的确定所需动物数，动物数应符合试验方法及结果分析评价的需要。</w:t>
      </w:r>
    </w:p>
    <w:p>
      <w:pPr>
        <w:rPr>
          <w:color w:val="auto"/>
        </w:rPr>
      </w:pPr>
      <w:r>
        <w:rPr>
          <w:rFonts w:hint="eastAsia"/>
          <w:color w:val="auto"/>
        </w:rPr>
        <w:t>（6）</w:t>
      </w:r>
      <w:r>
        <w:rPr>
          <w:color w:val="auto"/>
        </w:rPr>
        <w:t>体重</w:t>
      </w:r>
    </w:p>
    <w:p>
      <w:pPr>
        <w:rPr>
          <w:color w:val="auto"/>
        </w:rPr>
      </w:pPr>
      <w:r>
        <w:rPr>
          <w:rFonts w:hint="eastAsia"/>
          <w:color w:val="auto"/>
        </w:rPr>
        <w:t>试验中的每批动物初始给药时的体重差异不宜过大，动物初始给药时体重差异应不超过或低于平均体重的</w:t>
      </w:r>
      <w:r>
        <w:rPr>
          <w:color w:val="auto"/>
        </w:rPr>
        <w:t>20%。</w:t>
      </w:r>
    </w:p>
    <w:p>
      <w:pPr>
        <w:rPr>
          <w:color w:val="auto"/>
        </w:rPr>
      </w:pPr>
      <w:r>
        <w:rPr>
          <w:color w:val="auto"/>
        </w:rPr>
        <w:t>2.实验动物分组</w:t>
      </w:r>
    </w:p>
    <w:p>
      <w:pPr>
        <w:rPr>
          <w:color w:val="auto"/>
        </w:rPr>
      </w:pPr>
      <w:r>
        <w:rPr>
          <w:rFonts w:hint="eastAsia"/>
          <w:color w:val="auto"/>
        </w:rPr>
        <w:t>根据所选用试验方法，合理进行实验动物的分组。一般情况下，除设受试物的不同剂量组外，可根据情况设空白对照组和／或溶媒对照组（阴性对照组）。</w:t>
      </w:r>
    </w:p>
    <w:p>
      <w:pPr>
        <w:rPr>
          <w:color w:val="auto"/>
        </w:rPr>
      </w:pPr>
      <w:r>
        <w:rPr>
          <w:color w:val="auto"/>
        </w:rPr>
        <w:t>3.给药途径</w:t>
      </w:r>
    </w:p>
    <w:p>
      <w:pPr>
        <w:rPr>
          <w:color w:val="auto"/>
        </w:rPr>
      </w:pPr>
      <w:r>
        <w:rPr>
          <w:rFonts w:hint="eastAsia"/>
          <w:color w:val="auto"/>
        </w:rPr>
        <w:t>一般应与制剂临床拟用途径一致。如不采用临床拟用途径，必须充分说明理由。经口给药前动物一般应禁食（不禁水）</w:t>
      </w:r>
      <w:r>
        <w:rPr>
          <w:color w:val="auto"/>
        </w:rPr>
        <w:t>12～16小时。</w:t>
      </w:r>
    </w:p>
    <w:p>
      <w:pPr>
        <w:rPr>
          <w:color w:val="auto"/>
        </w:rPr>
      </w:pPr>
      <w:r>
        <w:rPr>
          <w:color w:val="auto"/>
        </w:rPr>
        <w:t>4.给药容量</w:t>
      </w:r>
    </w:p>
    <w:p>
      <w:pPr>
        <w:rPr>
          <w:color w:val="auto"/>
        </w:rPr>
      </w:pPr>
      <w:r>
        <w:rPr>
          <w:rFonts w:hint="eastAsia"/>
          <w:color w:val="auto"/>
        </w:rPr>
        <w:t>经口给药，大鼠给药容量一般每次不超过</w:t>
      </w:r>
      <w:r>
        <w:rPr>
          <w:color w:val="auto"/>
        </w:rPr>
        <w:t>20mL/kg，小鼠一般每次不超过40mL/kg；其它动物及给药途径的给药容量可参考相关文献及根据实际情况确定。</w:t>
      </w:r>
    </w:p>
    <w:p>
      <w:pPr>
        <w:rPr>
          <w:color w:val="auto"/>
        </w:rPr>
      </w:pPr>
      <w:r>
        <w:rPr>
          <w:color w:val="auto"/>
        </w:rPr>
        <w:t>5.试验方法和给药剂量的选择</w:t>
      </w:r>
    </w:p>
    <w:p>
      <w:pPr>
        <w:rPr>
          <w:color w:val="auto"/>
        </w:rPr>
      </w:pPr>
      <w:r>
        <w:rPr>
          <w:rFonts w:hint="eastAsia"/>
          <w:color w:val="auto"/>
        </w:rPr>
        <w:t>应根据拟申报中药</w:t>
      </w:r>
      <w:r>
        <w:rPr>
          <w:color w:val="auto"/>
        </w:rPr>
        <w:t>(民族药)制剂特性和潜在毒性作用特点选择合适的方法进行急性毒性研究，根据不同的试验方法选择合适的剂量水平。常用的试验方法主要分两类，一类以动物死亡为考察终点，如半数致死量法、上下法、近似致死剂量法；另一类以检测非致死性指标为目的，如最大给药量法、最大耐受量法。总体上，给药剂量应包括从未见毒性剂量到出现严重毒性（危及生命的）的剂量。</w:t>
      </w:r>
    </w:p>
    <w:p>
      <w:pPr>
        <w:rPr>
          <w:color w:val="auto"/>
        </w:rPr>
      </w:pPr>
      <w:r>
        <w:rPr>
          <w:rFonts w:hint="eastAsia"/>
          <w:color w:val="auto"/>
        </w:rPr>
        <w:t>由于中药（民族药）制剂的预期临床用药剂量通常较大，且大多数制剂的急性毒性可能相对较低，故剂量设计应综合考虑多方面因素进行确定，一般常采用最大给药量法或最大耐受量法进行急性毒性研究；如只能测定最大给药量，可不必再进行其它毒性反应剂量的测定。从获取安全性信息的角度考虑，有时对实验动物的异常反应症状和病理过程的观察、分析等，相较以死亡为观察指标更具毒理学意义和价值。</w:t>
      </w:r>
    </w:p>
    <w:p>
      <w:pPr>
        <w:rPr>
          <w:color w:val="auto"/>
        </w:rPr>
      </w:pPr>
      <w:r>
        <w:rPr>
          <w:rFonts w:hint="eastAsia"/>
          <w:color w:val="auto"/>
        </w:rPr>
        <w:t>致死量：指受试物引起动物死亡的剂量，测定的致死量主要有最小致死量、半数致死量（</w:t>
      </w:r>
      <w:r>
        <w:rPr>
          <w:color w:val="auto"/>
        </w:rPr>
        <w:t>Median lethal dose，LD50：即指预期引起50%动物死亡的剂量，该值是经统计学处理所推算出的结果）。在测定致死量的同时，应仔细观察动物死亡前的中毒反应等情况。</w:t>
      </w:r>
    </w:p>
    <w:p>
      <w:pPr>
        <w:rPr>
          <w:color w:val="auto"/>
        </w:rPr>
      </w:pPr>
      <w:r>
        <w:rPr>
          <w:rFonts w:hint="eastAsia"/>
          <w:color w:val="auto"/>
        </w:rPr>
        <w:t>最大给药量试验（</w:t>
      </w:r>
      <w:r>
        <w:rPr>
          <w:color w:val="auto"/>
        </w:rPr>
        <w:t>Maximal feasible dose，MFD）：如因受试物的浓度或体积限制，无法测出半数致死量（LD50）时，可做最大给药量试验。试验应选用临床给药途径，以动物能耐受的最大浓度、最大体积的药量一次或24小时内2～3次给予动物（如用小鼠，动物数不得少于20只，雌雄各半），连续观察14天，详细记录动物反应情况等。</w:t>
      </w:r>
    </w:p>
    <w:p>
      <w:pPr>
        <w:rPr>
          <w:color w:val="auto"/>
        </w:rPr>
      </w:pPr>
      <w:r>
        <w:rPr>
          <w:rFonts w:hint="eastAsia"/>
          <w:color w:val="auto"/>
        </w:rPr>
        <w:t>最大无毒性反应剂量（</w:t>
      </w:r>
      <w:r>
        <w:rPr>
          <w:color w:val="auto"/>
        </w:rPr>
        <w:t>Maximum toxic dose 或者No-toxic-effect dose level，NOAEL）：即未见毒性反应剂量；指受试物在一定时间内，按一定方式与机体接触，用灵敏的现代检测方式未发现损害作用的最高剂量。</w:t>
      </w:r>
    </w:p>
    <w:p>
      <w:pPr>
        <w:rPr>
          <w:color w:val="auto"/>
        </w:rPr>
      </w:pPr>
      <w:r>
        <w:rPr>
          <w:rFonts w:hint="eastAsia"/>
          <w:color w:val="auto"/>
        </w:rPr>
        <w:t>最大耐受量（</w:t>
      </w:r>
      <w:r>
        <w:rPr>
          <w:color w:val="auto"/>
        </w:rPr>
        <w:t>Maximal tolerance dose，MTD）：指动物能够耐受的而不引起动物死亡的最高剂量。</w:t>
      </w:r>
    </w:p>
    <w:p>
      <w:pPr>
        <w:rPr>
          <w:color w:val="auto"/>
        </w:rPr>
      </w:pPr>
      <w:r>
        <w:rPr>
          <w:color w:val="auto"/>
        </w:rPr>
        <w:t>6.观察时间、频率与指标</w:t>
      </w:r>
    </w:p>
    <w:p>
      <w:pPr>
        <w:rPr>
          <w:color w:val="auto"/>
        </w:rPr>
      </w:pPr>
      <w:r>
        <w:rPr>
          <w:rFonts w:hint="eastAsia"/>
          <w:color w:val="auto"/>
        </w:rPr>
        <w:t>观察时间、频率：给药后，一般连续观察</w:t>
      </w:r>
      <w:r>
        <w:rPr>
          <w:color w:val="auto"/>
        </w:rPr>
        <w:t>14天，如果毒性反应出现或恢复较慢，应适当延长观察时间，如观察时间不足14天，应充分说明理由。观察的间隔和频率应适当，以便能观察到毒性反应出现的时间及其持续、恢复时间、动物死亡时间等。</w:t>
      </w:r>
    </w:p>
    <w:p>
      <w:pPr>
        <w:rPr>
          <w:color w:val="auto"/>
        </w:rPr>
      </w:pPr>
      <w:r>
        <w:rPr>
          <w:rFonts w:hint="eastAsia"/>
          <w:color w:val="auto"/>
        </w:rPr>
        <w:t>观察的指标：包括一般指标（如动物外观、行为、饮食、对刺激的反应、分泌物、排泄物等）、动物死亡情况（死亡时间、濒死前反应等）、动物体重变化（给药前、动物濒死前后、试验结束存活动物牺牲前各称重一次，给药后观察期间可据动物毒性反应情况多次称重）等。应记录所有的死亡情况、出现的症状，以及症状起始的时间、严重程度、持续时间和是否有延迟毒性反应等情况。对急死、濒死等中途死亡动物应及时进行大体解剖、系统肉眼观察，存活动物在观察期结束后也应同法进行大体解剖观察，当组织器官出现体积、颜色、质地等改变时，应对异常的组织器官进行组织病理学检查。</w:t>
      </w:r>
    </w:p>
    <w:p>
      <w:pPr>
        <w:rPr>
          <w:color w:val="auto"/>
        </w:rPr>
      </w:pPr>
      <w:r>
        <w:rPr>
          <w:color w:val="auto"/>
        </w:rPr>
        <w:t>7.结果分析及评价</w:t>
      </w:r>
    </w:p>
    <w:p>
      <w:pPr>
        <w:rPr>
          <w:color w:val="auto"/>
        </w:rPr>
      </w:pPr>
      <w:r>
        <w:rPr>
          <w:rFonts w:hint="eastAsia"/>
          <w:color w:val="auto"/>
        </w:rPr>
        <w:t>（1）</w:t>
      </w:r>
      <w:r>
        <w:rPr>
          <w:color w:val="auto"/>
        </w:rPr>
        <w:t>根据所观察到的各种反应出现的时间、持续时间、严重程度等，分析各种反应在不同剂量时的发生率、严重程度。进行观察结果归纳分析，判断每种反应的剂量-反应及时间-反应关系、各种反应可能涉及的组织、器官或系统等。</w:t>
      </w:r>
    </w:p>
    <w:p>
      <w:pPr>
        <w:rPr>
          <w:color w:val="auto"/>
        </w:rPr>
      </w:pPr>
      <w:r>
        <w:rPr>
          <w:rFonts w:hint="eastAsia"/>
          <w:color w:val="auto"/>
        </w:rPr>
        <w:t>（2）</w:t>
      </w:r>
      <w:r>
        <w:rPr>
          <w:color w:val="auto"/>
        </w:rPr>
        <w:t>根据不同剂量组的各种毒性反应及发生率、动物死亡情况等，确定动物对受试物的毒性反应的性质与强度。</w:t>
      </w:r>
    </w:p>
    <w:p>
      <w:pPr>
        <w:rPr>
          <w:color w:val="auto"/>
        </w:rPr>
      </w:pPr>
      <w:r>
        <w:rPr>
          <w:rFonts w:hint="eastAsia"/>
          <w:color w:val="auto"/>
        </w:rPr>
        <w:t>（3）</w:t>
      </w:r>
      <w:r>
        <w:rPr>
          <w:color w:val="auto"/>
        </w:rPr>
        <w:t>说明所使用的计算方法和统计学方法，必要时提供所选用方法合理性的依据。</w:t>
      </w:r>
    </w:p>
    <w:p>
      <w:pPr>
        <w:rPr>
          <w:color w:val="auto"/>
        </w:rPr>
      </w:pPr>
      <w:r>
        <w:rPr>
          <w:rFonts w:hint="eastAsia"/>
          <w:color w:val="auto"/>
        </w:rPr>
        <w:t>（4）</w:t>
      </w:r>
      <w:r>
        <w:rPr>
          <w:color w:val="auto"/>
        </w:rPr>
        <w:t>根据大体解剖中肉眼可见的病变和组织病理学检查的结果，初步判断可能的毒性靶器官。组织病理学检查报告单或报告应附有发现异常改变的组织病理学照片，并由检查者签名和病理检查单位盖章。</w:t>
      </w:r>
    </w:p>
    <w:p>
      <w:pPr>
        <w:rPr>
          <w:color w:val="auto"/>
        </w:rPr>
      </w:pPr>
      <w:r>
        <w:rPr>
          <w:rFonts w:hint="eastAsia"/>
          <w:color w:val="auto"/>
        </w:rPr>
        <w:t>（5）</w:t>
      </w:r>
      <w:r>
        <w:rPr>
          <w:color w:val="auto"/>
        </w:rPr>
        <w:t>应根据急性毒性试验结果，提示在其它安全性试验、临床试验、质量控制方面应注意的问题，并据情况结合其他安全性研究的文献资料权衡利弊，尽可能分析说明受试物的应用前景。</w:t>
      </w:r>
    </w:p>
    <w:p>
      <w:pPr>
        <w:rPr>
          <w:color w:val="auto"/>
        </w:rPr>
      </w:pPr>
      <w:r>
        <w:rPr>
          <w:rFonts w:hint="eastAsia"/>
          <w:color w:val="auto"/>
        </w:rPr>
        <w:t>（二）非口服途径制剂急性毒性试验</w:t>
      </w:r>
    </w:p>
    <w:p>
      <w:pPr>
        <w:rPr>
          <w:color w:val="auto"/>
        </w:rPr>
      </w:pPr>
      <w:r>
        <w:rPr>
          <w:rFonts w:hint="eastAsia"/>
          <w:color w:val="auto"/>
        </w:rPr>
        <w:t>非口服途径药物主要指：经皮肤、粘膜、腔道、血管等非口服途径给药的制剂。本指导原则主要介绍皮肤、鼻腔、直肠、阴道给药制剂的急性毒性试验，其中：</w:t>
      </w:r>
    </w:p>
    <w:p>
      <w:pPr>
        <w:rPr>
          <w:color w:val="auto"/>
        </w:rPr>
      </w:pPr>
      <w:r>
        <w:rPr>
          <w:rFonts w:hint="eastAsia"/>
          <w:color w:val="auto"/>
        </w:rPr>
        <w:t>皮肤用药急性毒性试验：指观察动物完整皮肤及破损皮肤短期内接触受试物所产生的毒性反应。</w:t>
      </w:r>
    </w:p>
    <w:p>
      <w:pPr>
        <w:rPr>
          <w:color w:val="auto"/>
        </w:rPr>
      </w:pPr>
      <w:r>
        <w:rPr>
          <w:rFonts w:hint="eastAsia"/>
          <w:color w:val="auto"/>
        </w:rPr>
        <w:t>鼻腔给药急性毒性试验：指观察受试物一次滴入或吸入后对动物所产生的毒性反应或死亡情况。</w:t>
      </w:r>
    </w:p>
    <w:p>
      <w:pPr>
        <w:rPr>
          <w:color w:val="auto"/>
        </w:rPr>
      </w:pPr>
      <w:r>
        <w:rPr>
          <w:rFonts w:hint="eastAsia"/>
          <w:color w:val="auto"/>
        </w:rPr>
        <w:t>直肠、阴道用药急性毒性试验：指观察动物直肠或阴道一次接触受试物后所产生的毒性反应或死亡情况。</w:t>
      </w:r>
    </w:p>
    <w:p>
      <w:pPr>
        <w:rPr>
          <w:color w:val="auto"/>
        </w:rPr>
      </w:pPr>
      <w:r>
        <w:rPr>
          <w:rFonts w:hint="eastAsia"/>
          <w:color w:val="auto"/>
        </w:rPr>
        <w:t>上述各试验除因临床给药途径不同，试验方法有所区别并分别规定外，其它基本的研究内容可参照下列</w:t>
      </w:r>
      <w:r>
        <w:rPr>
          <w:color w:val="auto"/>
        </w:rPr>
        <w:t>1～6项要求进行。</w:t>
      </w:r>
    </w:p>
    <w:p>
      <w:pPr>
        <w:rPr>
          <w:color w:val="auto"/>
        </w:rPr>
      </w:pPr>
      <w:r>
        <w:rPr>
          <w:color w:val="auto"/>
        </w:rPr>
        <w:t>1.实验动物</w:t>
      </w:r>
    </w:p>
    <w:p>
      <w:pPr>
        <w:rPr>
          <w:color w:val="auto"/>
        </w:rPr>
      </w:pPr>
      <w:r>
        <w:rPr>
          <w:rFonts w:hint="eastAsia"/>
          <w:color w:val="auto"/>
        </w:rPr>
        <w:t>（1）</w:t>
      </w:r>
      <w:r>
        <w:rPr>
          <w:color w:val="auto"/>
        </w:rPr>
        <w:t>种属、级别</w:t>
      </w:r>
    </w:p>
    <w:p>
      <w:pPr>
        <w:rPr>
          <w:color w:val="auto"/>
        </w:rPr>
      </w:pPr>
      <w:r>
        <w:rPr>
          <w:rFonts w:hint="eastAsia"/>
          <w:color w:val="auto"/>
        </w:rPr>
        <w:t>一般选用正常、健康家兔、豚鼠以及大鼠（直肠、阴道用药可选用大鼠或兔），雌性须未孕。应符合国家有关规定的等级要求（清洁级及以上），来源、品系、遗传背景清楚，具有实验动物质量合格证。</w:t>
      </w:r>
    </w:p>
    <w:p>
      <w:pPr>
        <w:rPr>
          <w:color w:val="auto"/>
        </w:rPr>
      </w:pPr>
      <w:r>
        <w:rPr>
          <w:rFonts w:hint="eastAsia"/>
          <w:color w:val="auto"/>
        </w:rPr>
        <w:t>（2）</w:t>
      </w:r>
      <w:r>
        <w:rPr>
          <w:color w:val="auto"/>
        </w:rPr>
        <w:t>动物数、性别</w:t>
      </w:r>
    </w:p>
    <w:p>
      <w:pPr>
        <w:rPr>
          <w:color w:val="auto"/>
        </w:rPr>
      </w:pPr>
      <w:r>
        <w:rPr>
          <w:rFonts w:hint="eastAsia"/>
          <w:color w:val="auto"/>
        </w:rPr>
        <w:t>根据动物种属和研究目的确定所需动物数，动物数应符合试验方法及结果分析评价的需要。一般家兔每组至少</w:t>
      </w:r>
      <w:r>
        <w:rPr>
          <w:color w:val="auto"/>
        </w:rPr>
        <w:t>4只，豚鼠或大鼠每组至少10只，雌雄各半。</w:t>
      </w:r>
    </w:p>
    <w:p>
      <w:pPr>
        <w:rPr>
          <w:color w:val="auto"/>
        </w:rPr>
      </w:pPr>
      <w:r>
        <w:rPr>
          <w:rFonts w:hint="eastAsia"/>
          <w:color w:val="auto"/>
        </w:rPr>
        <w:t>若因特殊情况仅采用单性别动物，应阐明其合理性。对于临床单性别用药，则采用对应单一性别的动物即可。</w:t>
      </w:r>
    </w:p>
    <w:p>
      <w:pPr>
        <w:rPr>
          <w:color w:val="auto"/>
        </w:rPr>
      </w:pPr>
      <w:r>
        <w:rPr>
          <w:rFonts w:hint="eastAsia"/>
          <w:color w:val="auto"/>
        </w:rPr>
        <w:t>（3）</w:t>
      </w:r>
      <w:r>
        <w:rPr>
          <w:color w:val="auto"/>
        </w:rPr>
        <w:t>年龄</w:t>
      </w:r>
    </w:p>
    <w:p>
      <w:pPr>
        <w:rPr>
          <w:color w:val="auto"/>
        </w:rPr>
      </w:pPr>
      <w:r>
        <w:rPr>
          <w:rFonts w:hint="eastAsia"/>
          <w:color w:val="auto"/>
        </w:rPr>
        <w:t>通常采用健康成年动物进行试验。如果受试物拟用于或可能用于儿童，建议采用与儿童年龄段相对应的幼年动物。</w:t>
      </w:r>
    </w:p>
    <w:p>
      <w:pPr>
        <w:rPr>
          <w:color w:val="auto"/>
        </w:rPr>
      </w:pPr>
      <w:r>
        <w:rPr>
          <w:rFonts w:hint="eastAsia"/>
          <w:color w:val="auto"/>
        </w:rPr>
        <w:t>（4）</w:t>
      </w:r>
      <w:r>
        <w:rPr>
          <w:color w:val="auto"/>
        </w:rPr>
        <w:t>体重</w:t>
      </w:r>
    </w:p>
    <w:p>
      <w:pPr>
        <w:rPr>
          <w:color w:val="auto"/>
        </w:rPr>
      </w:pPr>
      <w:r>
        <w:rPr>
          <w:rFonts w:hint="eastAsia"/>
          <w:color w:val="auto"/>
        </w:rPr>
        <w:t>家兔约</w:t>
      </w:r>
      <w:r>
        <w:rPr>
          <w:color w:val="auto"/>
        </w:rPr>
        <w:t>2～3kg、大鼠、豚鼠约250～300g。</w:t>
      </w:r>
    </w:p>
    <w:p>
      <w:pPr>
        <w:rPr>
          <w:color w:val="auto"/>
        </w:rPr>
      </w:pPr>
      <w:r>
        <w:rPr>
          <w:color w:val="auto"/>
        </w:rPr>
        <w:t>2.实验动物分组</w:t>
      </w:r>
    </w:p>
    <w:p>
      <w:pPr>
        <w:rPr>
          <w:color w:val="auto"/>
        </w:rPr>
      </w:pPr>
      <w:r>
        <w:rPr>
          <w:rFonts w:hint="eastAsia"/>
          <w:color w:val="auto"/>
        </w:rPr>
        <w:t>一般应设给药组和</w:t>
      </w:r>
      <w:r>
        <w:rPr>
          <w:color w:val="auto"/>
        </w:rPr>
        <w:t>/或溶媒或赋形剂对照组。其中，经皮给药制剂应根据说明书规定用法用量及使用禁忌的要求，除完整皮肤组还应尽可能采用破损皮肤组进行试验，以充分暴露制剂的毒性反应。</w:t>
      </w:r>
    </w:p>
    <w:p>
      <w:pPr>
        <w:rPr>
          <w:color w:val="auto"/>
        </w:rPr>
      </w:pPr>
      <w:r>
        <w:rPr>
          <w:color w:val="auto"/>
        </w:rPr>
        <w:t>3.给药部位</w:t>
      </w:r>
    </w:p>
    <w:p>
      <w:pPr>
        <w:rPr>
          <w:color w:val="auto"/>
        </w:rPr>
      </w:pPr>
      <w:r>
        <w:rPr>
          <w:rFonts w:hint="eastAsia"/>
          <w:color w:val="auto"/>
        </w:rPr>
        <w:t>一般应选择与临床给药相似的部位，并观察对可能接触到受试物的周围组织的影响。</w:t>
      </w:r>
    </w:p>
    <w:p>
      <w:pPr>
        <w:rPr>
          <w:color w:val="auto"/>
        </w:rPr>
      </w:pPr>
      <w:r>
        <w:rPr>
          <w:color w:val="auto"/>
        </w:rPr>
        <w:t>4.给药途径</w:t>
      </w:r>
    </w:p>
    <w:p>
      <w:pPr>
        <w:rPr>
          <w:color w:val="auto"/>
        </w:rPr>
      </w:pPr>
      <w:r>
        <w:rPr>
          <w:rFonts w:hint="eastAsia"/>
          <w:color w:val="auto"/>
        </w:rPr>
        <w:t>一般应与外用制剂临床拟用途径一致。如不采用临床拟用途径，必须充分说明理由。</w:t>
      </w:r>
    </w:p>
    <w:p>
      <w:pPr>
        <w:rPr>
          <w:color w:val="auto"/>
        </w:rPr>
      </w:pPr>
      <w:r>
        <w:rPr>
          <w:color w:val="auto"/>
        </w:rPr>
        <w:t>5.给药容量</w:t>
      </w:r>
    </w:p>
    <w:p>
      <w:pPr>
        <w:rPr>
          <w:color w:val="auto"/>
        </w:rPr>
      </w:pPr>
      <w:r>
        <w:rPr>
          <w:rFonts w:hint="eastAsia"/>
          <w:color w:val="auto"/>
        </w:rPr>
        <w:t>一般需据预试验确定最适合给药容量。不同动物和给药途径下的最大给药容量可参考相关文献及根据实际情况来确定。</w:t>
      </w:r>
    </w:p>
    <w:p>
      <w:pPr>
        <w:rPr>
          <w:color w:val="auto"/>
        </w:rPr>
      </w:pPr>
      <w:r>
        <w:rPr>
          <w:color w:val="auto"/>
        </w:rPr>
        <w:t>6.给药浓度、剂量与体积和给药频率</w:t>
      </w:r>
    </w:p>
    <w:p>
      <w:pPr>
        <w:rPr>
          <w:color w:val="auto"/>
        </w:rPr>
      </w:pPr>
      <w:r>
        <w:rPr>
          <w:rFonts w:hint="eastAsia"/>
          <w:color w:val="auto"/>
        </w:rPr>
        <w:t>设计给药浓度、剂量与体积和频率时，应根据临床用药情况，并考虑受试动物给药部位的解剖和生理特点，保证受试物在给药部位的有效暴露。可选择包括临床拟用最高浓度的几种不同浓度和频率。如果技术上难以达到临床拟用最高浓度，如皮肤急性毒性试验，不应通过增加厚度来增加给药量，可增加给药面积或在最大给药面积不变的情况下通过改变给药频次进行剂量调整。</w:t>
      </w:r>
    </w:p>
    <w:p>
      <w:pPr>
        <w:rPr>
          <w:color w:val="auto"/>
        </w:rPr>
      </w:pPr>
      <w:r>
        <w:rPr>
          <w:rFonts w:hint="eastAsia"/>
          <w:color w:val="auto"/>
        </w:rPr>
        <w:t>给药组剂量可据动物种属、外用制剂特性和潜在的毒性反应性质及强度设置单个或多个剂量，也可通过预试验进行剂量摸索后确定。其中，在鼻腔给药制剂的急性毒性试验中，如能测出</w:t>
      </w:r>
      <w:r>
        <w:rPr>
          <w:color w:val="auto"/>
        </w:rPr>
        <w:t>LD50，则参照非外用制剂急毒试验中LD50测定方法进行。</w:t>
      </w:r>
    </w:p>
    <w:p>
      <w:pPr>
        <w:rPr>
          <w:color w:val="auto"/>
        </w:rPr>
      </w:pPr>
      <w:r>
        <w:rPr>
          <w:color w:val="auto"/>
        </w:rPr>
        <w:t>7.试验方法</w:t>
      </w:r>
    </w:p>
    <w:p>
      <w:pPr>
        <w:rPr>
          <w:color w:val="auto"/>
        </w:rPr>
      </w:pPr>
      <w:r>
        <w:rPr>
          <w:rFonts w:hint="eastAsia"/>
          <w:color w:val="auto"/>
        </w:rPr>
        <w:t>（1）</w:t>
      </w:r>
      <w:r>
        <w:rPr>
          <w:color w:val="auto"/>
        </w:rPr>
        <w:t>皮肤用药急性毒性试验方法</w:t>
      </w:r>
    </w:p>
    <w:p>
      <w:pPr>
        <w:rPr>
          <w:color w:val="auto"/>
        </w:rPr>
      </w:pPr>
      <w:r>
        <w:rPr>
          <w:rFonts w:hint="eastAsia"/>
          <w:color w:val="auto"/>
        </w:rPr>
        <w:t>①</w:t>
      </w:r>
      <w:r>
        <w:rPr>
          <w:color w:val="auto"/>
        </w:rPr>
        <w:t>皮肤脱毛面积</w:t>
      </w:r>
    </w:p>
    <w:p>
      <w:pPr>
        <w:rPr>
          <w:color w:val="auto"/>
        </w:rPr>
      </w:pPr>
      <w:r>
        <w:rPr>
          <w:rFonts w:hint="eastAsia"/>
          <w:color w:val="auto"/>
        </w:rPr>
        <w:t>一般于动物背部脱毛，根据实验需要选择不同动物脱毛面积的大小，一般不超过动物体表面积的</w:t>
      </w:r>
      <w:r>
        <w:rPr>
          <w:color w:val="auto"/>
        </w:rPr>
        <w:t>10%。</w:t>
      </w:r>
    </w:p>
    <w:p>
      <w:pPr>
        <w:rPr>
          <w:color w:val="auto"/>
        </w:rPr>
      </w:pPr>
      <w:r>
        <w:rPr>
          <w:rFonts w:hint="eastAsia"/>
          <w:color w:val="auto"/>
        </w:rPr>
        <w:t>②</w:t>
      </w:r>
      <w:r>
        <w:rPr>
          <w:color w:val="auto"/>
        </w:rPr>
        <w:t>皮肤给药面积、皮肤破损</w:t>
      </w:r>
    </w:p>
    <w:p>
      <w:pPr>
        <w:rPr>
          <w:color w:val="auto"/>
        </w:rPr>
      </w:pPr>
      <w:r>
        <w:rPr>
          <w:rFonts w:hint="eastAsia"/>
          <w:color w:val="auto"/>
        </w:rPr>
        <w:t>完整皮肤组、破损皮肤组动物均采用相同面积的备皮进行给药。据动物皮肤特点采用适宜方式破损皮肤，破损程度以损伤表皮层为限。</w:t>
      </w:r>
    </w:p>
    <w:p>
      <w:pPr>
        <w:rPr>
          <w:color w:val="auto"/>
        </w:rPr>
      </w:pPr>
      <w:r>
        <w:rPr>
          <w:rFonts w:hint="eastAsia"/>
          <w:color w:val="auto"/>
        </w:rPr>
        <w:t>③</w:t>
      </w:r>
      <w:r>
        <w:rPr>
          <w:color w:val="auto"/>
        </w:rPr>
        <w:t>给药方法及时间</w:t>
      </w:r>
    </w:p>
    <w:p>
      <w:pPr>
        <w:rPr>
          <w:color w:val="auto"/>
        </w:rPr>
      </w:pPr>
      <w:r>
        <w:rPr>
          <w:rFonts w:hint="eastAsia"/>
          <w:color w:val="auto"/>
        </w:rPr>
        <w:t>局部给药时，应尽可能保证给药剂量的准确性及与局部充分接触的时间。</w:t>
      </w:r>
    </w:p>
    <w:p>
      <w:pPr>
        <w:rPr>
          <w:color w:val="auto"/>
        </w:rPr>
      </w:pPr>
      <w:r>
        <w:rPr>
          <w:rFonts w:hint="eastAsia"/>
          <w:color w:val="auto"/>
        </w:rPr>
        <w:t>即：将受试物均匀涂于动物背部完整</w:t>
      </w:r>
      <w:r>
        <w:rPr>
          <w:color w:val="auto"/>
        </w:rPr>
        <w:t>/破损皮肤的脱毛区，并用适宜方法固定，以确保药物与皮肤充分接触，一般贴敷至少12小时（也可根据受试物特点或临床用法用量等设计）后，用温水或适当无刺激溶媒去除残留受试物或赋形剂。</w:t>
      </w:r>
    </w:p>
    <w:p>
      <w:pPr>
        <w:rPr>
          <w:color w:val="auto"/>
        </w:rPr>
      </w:pPr>
      <w:r>
        <w:rPr>
          <w:rFonts w:hint="eastAsia"/>
          <w:color w:val="auto"/>
        </w:rPr>
        <w:t>④</w:t>
      </w:r>
      <w:r>
        <w:rPr>
          <w:color w:val="auto"/>
        </w:rPr>
        <w:t>观察时间、频率</w:t>
      </w:r>
    </w:p>
    <w:p>
      <w:pPr>
        <w:rPr>
          <w:color w:val="auto"/>
        </w:rPr>
      </w:pPr>
      <w:r>
        <w:rPr>
          <w:rFonts w:hint="eastAsia"/>
          <w:color w:val="auto"/>
        </w:rPr>
        <w:t>给药后，一般连续观察</w:t>
      </w:r>
      <w:r>
        <w:rPr>
          <w:color w:val="auto"/>
        </w:rPr>
        <w:t>14天，据毒性反应情况规定每天观察频率。如果毒性反应出现或恢复较慢，应适当延长观察时间，如观察时间不足14天，应充分说明理由。</w:t>
      </w:r>
    </w:p>
    <w:p>
      <w:pPr>
        <w:rPr>
          <w:color w:val="auto"/>
        </w:rPr>
      </w:pPr>
      <w:r>
        <w:rPr>
          <w:rFonts w:hint="eastAsia"/>
          <w:color w:val="auto"/>
        </w:rPr>
        <w:t>⑤</w:t>
      </w:r>
      <w:r>
        <w:rPr>
          <w:color w:val="auto"/>
        </w:rPr>
        <w:t>观察指标</w:t>
      </w:r>
    </w:p>
    <w:p>
      <w:pPr>
        <w:rPr>
          <w:color w:val="auto"/>
        </w:rPr>
      </w:pPr>
      <w:r>
        <w:rPr>
          <w:rFonts w:hint="eastAsia"/>
          <w:color w:val="auto"/>
        </w:rPr>
        <w:t>除参照口服制剂急性毒性的一般观察指标外，需要观察皮肤给药的局部反应情况。</w:t>
      </w:r>
    </w:p>
    <w:p>
      <w:pPr>
        <w:rPr>
          <w:color w:val="auto"/>
        </w:rPr>
      </w:pPr>
      <w:r>
        <w:rPr>
          <w:rFonts w:hint="eastAsia"/>
          <w:color w:val="auto"/>
        </w:rPr>
        <w:t>⑥</w:t>
      </w:r>
      <w:r>
        <w:rPr>
          <w:color w:val="auto"/>
        </w:rPr>
        <w:t>结果分析及评价</w:t>
      </w:r>
    </w:p>
    <w:p>
      <w:pPr>
        <w:rPr>
          <w:color w:val="auto"/>
        </w:rPr>
      </w:pPr>
      <w:r>
        <w:rPr>
          <w:rFonts w:hint="eastAsia"/>
          <w:color w:val="auto"/>
        </w:rPr>
        <w:t>试验报告应全面客观反映整个试验过程收集的原始资料和信息，应详细描述毒性的主要表现、给药局部皮肤及组织和各主要脏器的大体解剖检查和</w:t>
      </w:r>
      <w:r>
        <w:rPr>
          <w:color w:val="auto"/>
        </w:rPr>
        <w:t>/或病理组织学检查结果等，并说明数据处理的统计学方法，如用计算机处理数据，应说明所用软件。结果应以清楚、准确的方式来表示。实验结果的判断应与对照组进行比较判断。组织病理学检查报告单或报告应附有发现异常改变的组织病理学照片，并由检查者签名和病理检查单位盖章。</w:t>
      </w:r>
    </w:p>
    <w:p>
      <w:pPr>
        <w:rPr>
          <w:color w:val="auto"/>
        </w:rPr>
      </w:pPr>
      <w:r>
        <w:rPr>
          <w:rFonts w:hint="eastAsia"/>
          <w:color w:val="auto"/>
        </w:rPr>
        <w:t>（2）</w:t>
      </w:r>
      <w:r>
        <w:rPr>
          <w:color w:val="auto"/>
        </w:rPr>
        <w:t>鼻腔给药急性毒性试验</w:t>
      </w:r>
    </w:p>
    <w:p>
      <w:pPr>
        <w:rPr>
          <w:color w:val="auto"/>
        </w:rPr>
      </w:pPr>
      <w:r>
        <w:rPr>
          <w:rFonts w:hint="eastAsia"/>
          <w:color w:val="auto"/>
        </w:rPr>
        <w:t>①</w:t>
      </w:r>
      <w:r>
        <w:rPr>
          <w:color w:val="auto"/>
        </w:rPr>
        <w:t>给药时间</w:t>
      </w:r>
    </w:p>
    <w:p>
      <w:pPr>
        <w:rPr>
          <w:color w:val="auto"/>
        </w:rPr>
      </w:pPr>
      <w:r>
        <w:rPr>
          <w:rFonts w:hint="eastAsia"/>
          <w:color w:val="auto"/>
        </w:rPr>
        <w:t>给予药物后，尽量保证药物与鼻腔接触适当的时间。</w:t>
      </w:r>
    </w:p>
    <w:p>
      <w:pPr>
        <w:rPr>
          <w:color w:val="auto"/>
        </w:rPr>
      </w:pPr>
      <w:r>
        <w:rPr>
          <w:rFonts w:hint="eastAsia"/>
          <w:color w:val="auto"/>
        </w:rPr>
        <w:t>②</w:t>
      </w:r>
      <w:r>
        <w:rPr>
          <w:color w:val="auto"/>
        </w:rPr>
        <w:t>观察时间、频率与指标</w:t>
      </w:r>
    </w:p>
    <w:p>
      <w:pPr>
        <w:rPr>
          <w:color w:val="auto"/>
        </w:rPr>
      </w:pPr>
      <w:r>
        <w:rPr>
          <w:rFonts w:hint="eastAsia"/>
          <w:color w:val="auto"/>
        </w:rPr>
        <w:t>除了参照口服制剂急性毒性的一般观察时间、频率、指标外，需采取适当措施观察鼻腔的局部反应情况。</w:t>
      </w:r>
    </w:p>
    <w:p>
      <w:pPr>
        <w:rPr>
          <w:color w:val="auto"/>
        </w:rPr>
      </w:pPr>
      <w:r>
        <w:rPr>
          <w:rFonts w:hint="eastAsia"/>
          <w:color w:val="auto"/>
        </w:rPr>
        <w:t>③</w:t>
      </w:r>
      <w:r>
        <w:rPr>
          <w:color w:val="auto"/>
        </w:rPr>
        <w:t>结果分析及评价</w:t>
      </w:r>
    </w:p>
    <w:p>
      <w:pPr>
        <w:rPr>
          <w:color w:val="auto"/>
        </w:rPr>
      </w:pPr>
      <w:r>
        <w:rPr>
          <w:rFonts w:hint="eastAsia"/>
          <w:color w:val="auto"/>
        </w:rPr>
        <w:t>应详细描述毒性的主要表现、鼻腔粘膜及周围组织和主要脏器的大体解剖检查和</w:t>
      </w:r>
      <w:r>
        <w:rPr>
          <w:color w:val="auto"/>
        </w:rPr>
        <w:t>/或病理组织学检查等，参照非外用制剂急性毒性实验结果分析及评价的要求进行评价。</w:t>
      </w:r>
    </w:p>
    <w:p>
      <w:pPr>
        <w:rPr>
          <w:color w:val="auto"/>
        </w:rPr>
      </w:pPr>
      <w:r>
        <w:rPr>
          <w:rFonts w:hint="eastAsia"/>
          <w:color w:val="auto"/>
        </w:rPr>
        <w:t>（3）</w:t>
      </w:r>
      <w:r>
        <w:rPr>
          <w:color w:val="auto"/>
        </w:rPr>
        <w:t>直肠、阴道用药急性毒性试验</w:t>
      </w:r>
    </w:p>
    <w:p>
      <w:pPr>
        <w:rPr>
          <w:color w:val="auto"/>
        </w:rPr>
      </w:pPr>
      <w:r>
        <w:rPr>
          <w:rFonts w:hint="eastAsia"/>
          <w:color w:val="auto"/>
        </w:rPr>
        <w:t>①</w:t>
      </w:r>
      <w:r>
        <w:rPr>
          <w:color w:val="auto"/>
        </w:rPr>
        <w:t>给药时间</w:t>
      </w:r>
    </w:p>
    <w:p>
      <w:pPr>
        <w:rPr>
          <w:color w:val="auto"/>
        </w:rPr>
      </w:pPr>
      <w:r>
        <w:rPr>
          <w:rFonts w:hint="eastAsia"/>
          <w:color w:val="auto"/>
        </w:rPr>
        <w:t>给予药物后，尽量保证药物与直肠、阴道接触适当的时间。</w:t>
      </w:r>
    </w:p>
    <w:p>
      <w:pPr>
        <w:rPr>
          <w:color w:val="auto"/>
        </w:rPr>
      </w:pPr>
      <w:r>
        <w:rPr>
          <w:rFonts w:hint="eastAsia"/>
          <w:color w:val="auto"/>
        </w:rPr>
        <w:t>②</w:t>
      </w:r>
      <w:r>
        <w:rPr>
          <w:color w:val="auto"/>
        </w:rPr>
        <w:t>观察时间、频率与指标</w:t>
      </w:r>
    </w:p>
    <w:p>
      <w:pPr>
        <w:rPr>
          <w:color w:val="auto"/>
        </w:rPr>
      </w:pPr>
      <w:r>
        <w:rPr>
          <w:rFonts w:hint="eastAsia"/>
          <w:color w:val="auto"/>
        </w:rPr>
        <w:t>除了参照口服急性毒性的一般观察时间、频率、指标外，还需要观察直肠、阴道的局部反应情况。</w:t>
      </w:r>
    </w:p>
    <w:p>
      <w:pPr>
        <w:rPr>
          <w:color w:val="auto"/>
        </w:rPr>
      </w:pPr>
      <w:r>
        <w:rPr>
          <w:rFonts w:hint="eastAsia"/>
          <w:color w:val="auto"/>
        </w:rPr>
        <w:t>③</w:t>
      </w:r>
      <w:r>
        <w:rPr>
          <w:color w:val="auto"/>
        </w:rPr>
        <w:t>结果分析及评价</w:t>
      </w:r>
    </w:p>
    <w:p>
      <w:pPr>
        <w:rPr>
          <w:color w:val="auto"/>
        </w:rPr>
      </w:pPr>
      <w:r>
        <w:rPr>
          <w:rFonts w:hint="eastAsia"/>
          <w:color w:val="auto"/>
        </w:rPr>
        <w:t>应详细描述毒性的主要表现、直肠</w:t>
      </w:r>
      <w:r>
        <w:rPr>
          <w:color w:val="auto"/>
        </w:rPr>
        <w:t>/阴道的局部组织和主要脏器的大体解剖检查和/或病理组织学检查等，参照非口服制剂急性毒性实验结果分析及评价的要求进行评价。</w:t>
      </w:r>
    </w:p>
    <w:p>
      <w:pPr>
        <w:rPr>
          <w:color w:val="auto"/>
        </w:rPr>
      </w:pPr>
      <w:r>
        <w:rPr>
          <w:rFonts w:hint="eastAsia"/>
          <w:color w:val="auto"/>
        </w:rPr>
        <w:t>四、实验系统选择要求</w:t>
      </w:r>
    </w:p>
    <w:p>
      <w:pPr>
        <w:rPr>
          <w:color w:val="auto"/>
        </w:rPr>
        <w:sectPr>
          <w:pgSz w:w="11906" w:h="16838"/>
          <w:pgMar w:top="1440" w:right="1800" w:bottom="1440" w:left="1800" w:header="851" w:footer="992" w:gutter="0"/>
          <w:cols w:space="425" w:num="1"/>
          <w:docGrid w:type="lines" w:linePitch="312" w:charSpace="0"/>
        </w:sectPr>
      </w:pPr>
      <w:r>
        <w:rPr>
          <w:rFonts w:hint="eastAsia"/>
          <w:color w:val="auto"/>
        </w:rPr>
        <w:t>具体内容可参照长期毒性研究技术指导原则中相关要求。</w:t>
      </w:r>
    </w:p>
    <w:p>
      <w:pPr>
        <w:pStyle w:val="3"/>
        <w:rPr>
          <w:color w:val="auto"/>
        </w:rPr>
      </w:pPr>
      <w:bookmarkStart w:id="31" w:name="_Toc21830"/>
      <w:bookmarkStart w:id="32" w:name="_Toc30757"/>
      <w:r>
        <w:rPr>
          <w:rFonts w:hint="eastAsia"/>
          <w:color w:val="auto"/>
        </w:rPr>
        <w:t>第二部分</w:t>
      </w:r>
      <w:r>
        <w:rPr>
          <w:color w:val="auto"/>
        </w:rPr>
        <w:t xml:space="preserve"> 长期毒性研究技术指导原则</w:t>
      </w:r>
      <w:bookmarkEnd w:id="31"/>
      <w:bookmarkEnd w:id="32"/>
    </w:p>
    <w:p>
      <w:pPr>
        <w:rPr>
          <w:color w:val="auto"/>
        </w:rPr>
      </w:pPr>
      <w:r>
        <w:rPr>
          <w:rFonts w:hint="eastAsia"/>
          <w:color w:val="auto"/>
        </w:rPr>
        <w:t>一、概述</w:t>
      </w:r>
    </w:p>
    <w:p>
      <w:pPr>
        <w:rPr>
          <w:color w:val="auto"/>
        </w:rPr>
      </w:pPr>
      <w:r>
        <w:rPr>
          <w:rFonts w:hint="eastAsia"/>
          <w:color w:val="auto"/>
        </w:rPr>
        <w:t>长期毒性试验是重复给药毒性试验的总称，主要描述动物重复给予受试物后的毒性特征，为非临床安全性评价的重要内容。该试验可为医疗机构制剂的研发提供重要的安全性参考信息并达到以下目的：预测受试物可能引起的临床不良反应，包括不良反应的性质、程度、剂量</w:t>
      </w:r>
      <w:r>
        <w:rPr>
          <w:color w:val="auto"/>
        </w:rPr>
        <w:t>-反应和时间-反应关系、可逆性等；推测受试物重复给药的临床毒性靶器官或靶组织；预测临床试验的起始剂量和重复用药的安全剂量范围；提示临床试验中需重点监测的指标；为临床试验中的解毒或解救措施提供参考信息。</w:t>
      </w:r>
    </w:p>
    <w:p>
      <w:pPr>
        <w:rPr>
          <w:color w:val="auto"/>
        </w:rPr>
      </w:pPr>
      <w:r>
        <w:rPr>
          <w:rFonts w:hint="eastAsia"/>
          <w:color w:val="auto"/>
        </w:rPr>
        <w:t>本指导原则适用于云南省医疗机构中药</w:t>
      </w:r>
      <w:r>
        <w:rPr>
          <w:color w:val="auto"/>
        </w:rPr>
        <w:t>(民族药)制剂（以下简称“制剂”）的长期毒性试验研究。</w:t>
      </w:r>
    </w:p>
    <w:p>
      <w:pPr>
        <w:rPr>
          <w:color w:val="auto"/>
        </w:rPr>
      </w:pPr>
      <w:r>
        <w:rPr>
          <w:rFonts w:hint="eastAsia"/>
          <w:color w:val="auto"/>
        </w:rPr>
        <w:t>二、一般要求</w:t>
      </w:r>
    </w:p>
    <w:p>
      <w:pPr>
        <w:rPr>
          <w:color w:val="auto"/>
        </w:rPr>
      </w:pPr>
      <w:r>
        <w:rPr>
          <w:rFonts w:hint="eastAsia"/>
          <w:color w:val="auto"/>
        </w:rPr>
        <w:t>基本原则：云南省医疗机构中药（民族药）制剂情况复杂，本指导原则所提及的内容不可能完全涵盖临床前安全性研究的实际情况，因此开展研究工作时应遵循“具体问题具体分析”的原则。</w:t>
      </w:r>
    </w:p>
    <w:p>
      <w:pPr>
        <w:rPr>
          <w:color w:val="auto"/>
        </w:rPr>
      </w:pPr>
      <w:r>
        <w:rPr>
          <w:rFonts w:hint="eastAsia"/>
          <w:color w:val="auto"/>
        </w:rPr>
        <w:t>实验管理：应遵守《药物非临床研究质量管理规范》。</w:t>
      </w:r>
    </w:p>
    <w:p>
      <w:pPr>
        <w:rPr>
          <w:color w:val="auto"/>
        </w:rPr>
      </w:pPr>
      <w:r>
        <w:rPr>
          <w:rFonts w:hint="eastAsia"/>
          <w:color w:val="auto"/>
        </w:rPr>
        <w:t>试验设计：应符合随机、对照、重复的原则。</w:t>
      </w:r>
    </w:p>
    <w:p>
      <w:pPr>
        <w:rPr>
          <w:color w:val="auto"/>
        </w:rPr>
      </w:pPr>
      <w:r>
        <w:rPr>
          <w:rFonts w:hint="eastAsia"/>
          <w:color w:val="auto"/>
        </w:rPr>
        <w:t>研究机构：必须是已在国内外相关机构注册（或备案）、从事药品安全性评价或毒理研究的具有法人资格的机构。应取得相应实验动物使用许可证，具有相关研究领域的相应设备设施或者相关资质。</w:t>
      </w:r>
    </w:p>
    <w:p>
      <w:pPr>
        <w:rPr>
          <w:color w:val="auto"/>
        </w:rPr>
      </w:pPr>
      <w:r>
        <w:rPr>
          <w:rFonts w:hint="eastAsia"/>
          <w:color w:val="auto"/>
        </w:rPr>
        <w:t>实验环境：应是与实验动物级别相适应的实验环境，并能满足实验动物饲养标准要求。</w:t>
      </w:r>
    </w:p>
    <w:p>
      <w:pPr>
        <w:rPr>
          <w:color w:val="auto"/>
        </w:rPr>
      </w:pPr>
      <w:r>
        <w:rPr>
          <w:rFonts w:hint="eastAsia"/>
          <w:color w:val="auto"/>
        </w:rPr>
        <w:t>研究人员：试验项目负责人必须具备相关专业领域副高级及其以上的技术职称；所有参加研究的人员必须接受过相关专业的正规培训或训练。</w:t>
      </w:r>
    </w:p>
    <w:p>
      <w:pPr>
        <w:rPr>
          <w:color w:val="auto"/>
        </w:rPr>
      </w:pPr>
      <w:r>
        <w:rPr>
          <w:rFonts w:hint="eastAsia"/>
          <w:color w:val="auto"/>
        </w:rPr>
        <w:t>受试物和对照样品的要求：应当采用制备工艺相对稳定、符合拟申报医疗机构制剂拟定的质量标准草案要求的中试样品（若因特殊情况不能提供中试样品的，需提供充分理由）。注明受试物的名称、来源、批号、含量（或规格）、保存条件及配制方法、配制单位等，并提供受试样品的检验报告。如果由于给药容量或给药方法限制，可采用提取的浸膏</w:t>
      </w:r>
      <w:r>
        <w:rPr>
          <w:color w:val="auto"/>
        </w:rPr>
        <w:t>/原料药或浓缩液或通过增加给药次数等进行试验。</w:t>
      </w:r>
    </w:p>
    <w:p>
      <w:pPr>
        <w:rPr>
          <w:color w:val="auto"/>
        </w:rPr>
      </w:pPr>
      <w:r>
        <w:rPr>
          <w:rFonts w:hint="eastAsia"/>
          <w:color w:val="auto"/>
        </w:rPr>
        <w:t>试验中所用溶媒和</w:t>
      </w:r>
      <w:r>
        <w:rPr>
          <w:color w:val="auto"/>
        </w:rPr>
        <w:t>/或辅料，应提供批号、规格、生产厂家。对照药物原则上应采用已上市的、适应症相同或类似且疗效公认的药物。</w:t>
      </w:r>
    </w:p>
    <w:p>
      <w:pPr>
        <w:rPr>
          <w:color w:val="auto"/>
        </w:rPr>
      </w:pPr>
      <w:r>
        <w:rPr>
          <w:rFonts w:hint="eastAsia"/>
          <w:color w:val="auto"/>
        </w:rPr>
        <w:t>由于中药</w:t>
      </w:r>
      <w:r>
        <w:rPr>
          <w:color w:val="auto"/>
        </w:rPr>
        <w:t>(民族药)的特殊性，建议试验中使用的受试物采用临用现配的方法配制；如果给药时间较长，建议考察配制后体积是否存在随放置时间延长而膨胀导致给药终浓度不准等因素。</w:t>
      </w:r>
    </w:p>
    <w:p>
      <w:pPr>
        <w:rPr>
          <w:color w:val="auto"/>
        </w:rPr>
      </w:pPr>
      <w:r>
        <w:rPr>
          <w:rFonts w:hint="eastAsia"/>
          <w:color w:val="auto"/>
        </w:rPr>
        <w:t>制剂生产和使用过程中，若受试物的工艺及其有关参数发生变化，并可能影响到其安全性，则应根据情况补充进行相应的安全性试验。</w:t>
      </w:r>
    </w:p>
    <w:p>
      <w:pPr>
        <w:rPr>
          <w:color w:val="auto"/>
        </w:rPr>
      </w:pPr>
      <w:r>
        <w:rPr>
          <w:rFonts w:hint="eastAsia"/>
          <w:color w:val="auto"/>
        </w:rPr>
        <w:t>三、基本内容</w:t>
      </w:r>
    </w:p>
    <w:p>
      <w:pPr>
        <w:rPr>
          <w:color w:val="auto"/>
        </w:rPr>
      </w:pPr>
      <w:r>
        <w:rPr>
          <w:rFonts w:hint="eastAsia"/>
          <w:color w:val="auto"/>
        </w:rPr>
        <w:t>考虑不同制剂其开发背景和研究基础各不相同，制剂的临床前安全性研究内容应根据申报品种的立题依据、临床意义和定位、处方来源、使用历史、有效性与安全性等背景资料进行综合考虑，并参考药品监督管理部门发布的药物研究相关法规和技术指导原则中关于药物安全性评价的相关要求，依据总则中相关要求选择适合动物及给药期限进行长期毒性试验和申报资料准备。</w:t>
      </w:r>
    </w:p>
    <w:p>
      <w:pPr>
        <w:rPr>
          <w:color w:val="auto"/>
        </w:rPr>
      </w:pPr>
      <w:r>
        <w:rPr>
          <w:rFonts w:hint="eastAsia"/>
          <w:color w:val="auto"/>
        </w:rPr>
        <w:t>如果处方中的药材配伍不含有违反“十八反十九畏”的规定，不含有“国家规定的</w:t>
      </w:r>
      <w:r>
        <w:rPr>
          <w:color w:val="auto"/>
        </w:rPr>
        <w:t>28种毒性药材”和（或）国家规定及文献报道的相关药材毒性，且急性毒性试验（采用最大给药容量、最大给药浓度）未见明显毒性反应时，可以只开展一种动物（啮齿类）的毒性研究，当出现明显毒性反应时，再据情况考虑开展另一种动物（非啮齿类）的毒性研究。</w:t>
      </w:r>
    </w:p>
    <w:p>
      <w:pPr>
        <w:rPr>
          <w:color w:val="auto"/>
        </w:rPr>
      </w:pPr>
      <w:r>
        <w:rPr>
          <w:rFonts w:hint="eastAsia"/>
          <w:color w:val="auto"/>
        </w:rPr>
        <w:t>长期毒性研究内容应尽可能对制剂的临床前安全性进行科学、合理、充分地评价。在具体开展试验时应依据受试物的特性和临床应用特点等情况，按以下各具体要求进行。</w:t>
      </w:r>
    </w:p>
    <w:p>
      <w:pPr>
        <w:rPr>
          <w:color w:val="auto"/>
        </w:rPr>
      </w:pPr>
      <w:r>
        <w:rPr>
          <w:rFonts w:hint="eastAsia"/>
          <w:color w:val="auto"/>
        </w:rPr>
        <w:t>（一）口服制剂长期毒性试验</w:t>
      </w:r>
    </w:p>
    <w:p>
      <w:pPr>
        <w:rPr>
          <w:color w:val="auto"/>
        </w:rPr>
      </w:pPr>
      <w:r>
        <w:rPr>
          <w:color w:val="auto"/>
        </w:rPr>
        <w:t>1.实验动物</w:t>
      </w:r>
    </w:p>
    <w:p>
      <w:pPr>
        <w:rPr>
          <w:color w:val="auto"/>
        </w:rPr>
      </w:pPr>
      <w:r>
        <w:rPr>
          <w:rFonts w:hint="eastAsia"/>
          <w:color w:val="auto"/>
        </w:rPr>
        <w:t>（1）</w:t>
      </w:r>
      <w:r>
        <w:rPr>
          <w:color w:val="auto"/>
        </w:rPr>
        <w:t>种属</w:t>
      </w:r>
    </w:p>
    <w:p>
      <w:pPr>
        <w:rPr>
          <w:color w:val="auto"/>
        </w:rPr>
      </w:pPr>
      <w:r>
        <w:rPr>
          <w:rFonts w:hint="eastAsia"/>
          <w:color w:val="auto"/>
        </w:rPr>
        <w:t>通常先进行一种动物（啮齿类，一般为大鼠）的长期毒性试验。当发现明显毒性时，若需进一步研究毒性情况，再采用第二种动物（非啮齿类，一般为</w:t>
      </w:r>
      <w:r>
        <w:rPr>
          <w:color w:val="auto"/>
        </w:rPr>
        <w:t>Beagle犬）进行研究。对于含非标或毒性药材的制剂，需参照总则要求选择一或两种动物进行研究。</w:t>
      </w:r>
    </w:p>
    <w:p>
      <w:pPr>
        <w:rPr>
          <w:color w:val="auto"/>
        </w:rPr>
      </w:pPr>
      <w:r>
        <w:rPr>
          <w:rFonts w:hint="eastAsia"/>
          <w:color w:val="auto"/>
        </w:rPr>
        <w:t>（2）</w:t>
      </w:r>
      <w:r>
        <w:rPr>
          <w:color w:val="auto"/>
        </w:rPr>
        <w:t>级别</w:t>
      </w:r>
    </w:p>
    <w:p>
      <w:pPr>
        <w:rPr>
          <w:color w:val="auto"/>
        </w:rPr>
      </w:pPr>
      <w:r>
        <w:rPr>
          <w:rFonts w:hint="eastAsia"/>
          <w:color w:val="auto"/>
        </w:rPr>
        <w:t>应符合国家有关规定的等级要求（</w:t>
      </w:r>
      <w:r>
        <w:rPr>
          <w:color w:val="auto"/>
        </w:rPr>
        <w:t>SPF级或清洁级），来源、品系、遗传背景清楚，并具有实验动物质量合格证；一般应选择健康、成年、雌性须未孕的动物。</w:t>
      </w:r>
    </w:p>
    <w:p>
      <w:pPr>
        <w:rPr>
          <w:color w:val="auto"/>
        </w:rPr>
      </w:pPr>
      <w:r>
        <w:rPr>
          <w:rFonts w:hint="eastAsia"/>
          <w:color w:val="auto"/>
        </w:rPr>
        <w:t>（3）</w:t>
      </w:r>
      <w:r>
        <w:rPr>
          <w:color w:val="auto"/>
        </w:rPr>
        <w:t>性别</w:t>
      </w:r>
    </w:p>
    <w:p>
      <w:pPr>
        <w:rPr>
          <w:color w:val="auto"/>
        </w:rPr>
      </w:pPr>
      <w:r>
        <w:rPr>
          <w:rFonts w:hint="eastAsia"/>
          <w:color w:val="auto"/>
        </w:rPr>
        <w:t>通常采用两种性别的动物进行试验，雌雄各半。若因特殊情况需采用单性别动物，应阐明其合理性。对于临床单性别用药，则采用对应单一性别的动物即可。</w:t>
      </w:r>
    </w:p>
    <w:p>
      <w:pPr>
        <w:rPr>
          <w:color w:val="auto"/>
        </w:rPr>
      </w:pPr>
      <w:r>
        <w:rPr>
          <w:rFonts w:hint="eastAsia"/>
          <w:color w:val="auto"/>
        </w:rPr>
        <w:t>（4）</w:t>
      </w:r>
      <w:r>
        <w:rPr>
          <w:color w:val="auto"/>
        </w:rPr>
        <w:t xml:space="preserve">年龄 </w:t>
      </w:r>
    </w:p>
    <w:p>
      <w:pPr>
        <w:rPr>
          <w:color w:val="auto"/>
        </w:rPr>
      </w:pPr>
      <w:r>
        <w:rPr>
          <w:rFonts w:hint="eastAsia"/>
          <w:color w:val="auto"/>
        </w:rPr>
        <w:t>应据研究期限的长短和受试物的使用人群范围确定动物的年龄。一般情况下，大鼠为</w:t>
      </w:r>
      <w:r>
        <w:rPr>
          <w:color w:val="auto"/>
        </w:rPr>
        <w:t>6～9周龄；Beagle犬为6～12月龄，如受试物拟用于或可能用于儿童，应采用与儿童年龄段相对应的幼年动物。动物年龄应尽量接近，并注明开始给药时动物年龄。</w:t>
      </w:r>
    </w:p>
    <w:p>
      <w:pPr>
        <w:rPr>
          <w:color w:val="auto"/>
        </w:rPr>
      </w:pPr>
      <w:r>
        <w:rPr>
          <w:rFonts w:hint="eastAsia"/>
          <w:color w:val="auto"/>
        </w:rPr>
        <w:t>（5）</w:t>
      </w:r>
      <w:r>
        <w:rPr>
          <w:color w:val="auto"/>
        </w:rPr>
        <w:t>动物数</w:t>
      </w:r>
    </w:p>
    <w:p>
      <w:pPr>
        <w:rPr>
          <w:color w:val="auto"/>
        </w:rPr>
      </w:pPr>
      <w:r>
        <w:rPr>
          <w:rFonts w:hint="eastAsia"/>
          <w:color w:val="auto"/>
        </w:rPr>
        <w:t>每组动物数应能满足试验结果分析和评价的需要。一般大鼠可为雌、雄各</w:t>
      </w:r>
      <w:r>
        <w:rPr>
          <w:color w:val="auto"/>
        </w:rPr>
        <w:t>10～30只，Beagle犬可为雌、雄各3～6只。</w:t>
      </w:r>
    </w:p>
    <w:p>
      <w:pPr>
        <w:rPr>
          <w:color w:val="auto"/>
        </w:rPr>
      </w:pPr>
      <w:r>
        <w:rPr>
          <w:rFonts w:hint="eastAsia"/>
          <w:color w:val="auto"/>
        </w:rPr>
        <w:t>（6）</w:t>
      </w:r>
      <w:r>
        <w:rPr>
          <w:color w:val="auto"/>
        </w:rPr>
        <w:t>体重</w:t>
      </w:r>
    </w:p>
    <w:p>
      <w:pPr>
        <w:rPr>
          <w:color w:val="auto"/>
        </w:rPr>
      </w:pPr>
      <w:r>
        <w:rPr>
          <w:rFonts w:hint="eastAsia"/>
          <w:color w:val="auto"/>
        </w:rPr>
        <w:t>动物初始给药时体重应均匀且尽量接近。</w:t>
      </w:r>
    </w:p>
    <w:p>
      <w:pPr>
        <w:rPr>
          <w:color w:val="auto"/>
        </w:rPr>
      </w:pPr>
      <w:r>
        <w:rPr>
          <w:color w:val="auto"/>
        </w:rPr>
        <w:t>2.给药方案</w:t>
      </w:r>
    </w:p>
    <w:p>
      <w:pPr>
        <w:rPr>
          <w:color w:val="auto"/>
        </w:rPr>
      </w:pPr>
      <w:r>
        <w:rPr>
          <w:rFonts w:hint="eastAsia"/>
          <w:color w:val="auto"/>
        </w:rPr>
        <w:t>长期毒性试验不能与药效学和其他毒理学研究割裂，试验设计应充分考虑与其他药理毒理研究的试验设计和研究结果的衔接。</w:t>
      </w:r>
    </w:p>
    <w:p>
      <w:pPr>
        <w:rPr>
          <w:color w:val="auto"/>
        </w:rPr>
      </w:pPr>
      <w:r>
        <w:rPr>
          <w:rFonts w:hint="eastAsia"/>
          <w:color w:val="auto"/>
        </w:rPr>
        <w:t>（1）</w:t>
      </w:r>
      <w:r>
        <w:rPr>
          <w:color w:val="auto"/>
        </w:rPr>
        <w:t>给药剂量</w:t>
      </w:r>
    </w:p>
    <w:p>
      <w:pPr>
        <w:rPr>
          <w:color w:val="auto"/>
        </w:rPr>
      </w:pPr>
      <w:r>
        <w:rPr>
          <w:rFonts w:hint="eastAsia"/>
          <w:color w:val="auto"/>
        </w:rPr>
        <w:t>一般至少应设</w:t>
      </w:r>
      <w:r>
        <w:rPr>
          <w:color w:val="auto"/>
        </w:rPr>
        <w:t>3个剂量组及1个溶媒或辅料对照，据试验情况必要时还需设立空白对照组和/或阳性对照组。</w:t>
      </w:r>
    </w:p>
    <w:p>
      <w:pPr>
        <w:rPr>
          <w:color w:val="auto"/>
        </w:rPr>
      </w:pPr>
      <w:r>
        <w:rPr>
          <w:rFonts w:hint="eastAsia"/>
          <w:color w:val="auto"/>
        </w:rPr>
        <w:t>低剂量组原则上应高于动物药效学试验的等效剂量或临床使用剂量的等效剂量和预期的临床治疗剂量；高剂量组原则上应使动物产生明显的毒性反应，甚至可引起个别动物死亡（对于毒性较小的中药，可尽量采用最大可给药量）；在高、低剂量之间至少应再设一个中剂量组，以考察毒性反应剂量</w:t>
      </w:r>
      <w:r>
        <w:rPr>
          <w:color w:val="auto"/>
        </w:rPr>
        <w:t>-反应关系。</w:t>
      </w:r>
    </w:p>
    <w:p>
      <w:pPr>
        <w:rPr>
          <w:color w:val="auto"/>
        </w:rPr>
      </w:pPr>
      <w:r>
        <w:rPr>
          <w:rFonts w:hint="eastAsia"/>
          <w:color w:val="auto"/>
        </w:rPr>
        <w:t>以上仅是剂量设计的一般原则，应根据实际情况进行合理的剂量设计，如出现未预期的毒性反应或不出现毒性反应时，可在设计更长给药期限的长期毒性试验时适当调整剂量。</w:t>
      </w:r>
    </w:p>
    <w:p>
      <w:pPr>
        <w:rPr>
          <w:color w:val="auto"/>
        </w:rPr>
      </w:pPr>
      <w:r>
        <w:rPr>
          <w:rFonts w:hint="eastAsia"/>
          <w:color w:val="auto"/>
        </w:rPr>
        <w:t>（2）</w:t>
      </w:r>
      <w:r>
        <w:rPr>
          <w:color w:val="auto"/>
        </w:rPr>
        <w:t>给药途径</w:t>
      </w:r>
    </w:p>
    <w:p>
      <w:pPr>
        <w:rPr>
          <w:color w:val="auto"/>
        </w:rPr>
      </w:pPr>
      <w:r>
        <w:rPr>
          <w:rFonts w:hint="eastAsia"/>
          <w:color w:val="auto"/>
        </w:rPr>
        <w:t>通常情况下给药途径应与临床使用途径一致。如不采用临床使用途径，必须充分说明理由。</w:t>
      </w:r>
    </w:p>
    <w:p>
      <w:pPr>
        <w:rPr>
          <w:color w:val="auto"/>
        </w:rPr>
      </w:pPr>
      <w:r>
        <w:rPr>
          <w:rFonts w:hint="eastAsia"/>
          <w:color w:val="auto"/>
        </w:rPr>
        <w:t>（3）</w:t>
      </w:r>
      <w:r>
        <w:rPr>
          <w:color w:val="auto"/>
        </w:rPr>
        <w:t>给药频率</w:t>
      </w:r>
    </w:p>
    <w:p>
      <w:pPr>
        <w:rPr>
          <w:color w:val="auto"/>
        </w:rPr>
      </w:pPr>
      <w:r>
        <w:rPr>
          <w:rFonts w:hint="eastAsia"/>
          <w:color w:val="auto"/>
        </w:rPr>
        <w:t>原则上应每天给药，且每天给药时间应基本相同。对于试验周期为</w:t>
      </w:r>
      <w:r>
        <w:rPr>
          <w:color w:val="auto"/>
        </w:rPr>
        <w:t>3个月或以上长的，每周至少应连续给药6天。特殊类型的受试物由于其毒性作用特点和临床给药方案需采取间隔给药等原因，应据具体药物特点设计相应给药频率。</w:t>
      </w:r>
    </w:p>
    <w:p>
      <w:pPr>
        <w:rPr>
          <w:color w:val="auto"/>
        </w:rPr>
      </w:pPr>
      <w:r>
        <w:rPr>
          <w:rFonts w:hint="eastAsia"/>
          <w:color w:val="auto"/>
        </w:rPr>
        <w:t>（4）</w:t>
      </w:r>
      <w:r>
        <w:rPr>
          <w:color w:val="auto"/>
        </w:rPr>
        <w:t>试验期限</w:t>
      </w:r>
    </w:p>
    <w:p>
      <w:pPr>
        <w:rPr>
          <w:color w:val="auto"/>
        </w:rPr>
      </w:pPr>
      <w:r>
        <w:rPr>
          <w:rFonts w:hint="eastAsia"/>
          <w:color w:val="auto"/>
        </w:rPr>
        <w:t>长期毒性试验给药期限的长短，通常与拟定的临床疗程或治疗周期长短、临床适应症、用药人群相关，应充分考虑预期临床的实际疗程。</w:t>
      </w:r>
    </w:p>
    <w:p>
      <w:pPr>
        <w:rPr>
          <w:color w:val="auto"/>
        </w:rPr>
      </w:pPr>
      <w:r>
        <w:rPr>
          <w:rFonts w:hint="eastAsia"/>
          <w:color w:val="auto"/>
        </w:rPr>
        <w:t>原则上临床单次用药，需进行</w:t>
      </w:r>
      <w:r>
        <w:rPr>
          <w:color w:val="auto"/>
        </w:rPr>
        <w:t>2周长期毒性试验；临床用药不超过2周者，需进行1个月长期毒性试验；临床用药超过2周者，试验周期应为临床疗程的3～4倍。采用啮齿类进行试验的一般最长不超过6个月，非啮齿类不超过9个月。</w:t>
      </w:r>
    </w:p>
    <w:p>
      <w:pPr>
        <w:rPr>
          <w:color w:val="auto"/>
        </w:rPr>
      </w:pPr>
      <w:r>
        <w:rPr>
          <w:rFonts w:hint="eastAsia"/>
          <w:color w:val="auto"/>
        </w:rPr>
        <w:t>针对不同临床疗程和用药方案特点，一般①当受试物预期会长期使用，或用于反复发作性疾病时，应考虑进行啮齿类动物的长期毒性试验，其给药周期应为临床拟用药周期的</w:t>
      </w:r>
      <w:r>
        <w:rPr>
          <w:color w:val="auto"/>
        </w:rPr>
        <w:t>4倍或以上。②当临床适应症有若干项的，应按照临床最长疗程的临床适应症来确定长期毒性试验的给药期限。如临床给药需采用多个疗程，疗程之间间隔时间不足以使受试物可能对机体组织器官造成的损害得以恢复，则需按多个疗程的时间之和作为参照的临床疗程；如疗程间隔时间基本可判断足以使受试物可能对机体组织器官造成的损害得以恢复，则可按单个疗程的时间作为参照的临床疗程。</w:t>
      </w:r>
    </w:p>
    <w:p>
      <w:pPr>
        <w:rPr>
          <w:color w:val="auto"/>
        </w:rPr>
      </w:pPr>
      <w:r>
        <w:rPr>
          <w:rFonts w:hint="eastAsia"/>
          <w:color w:val="auto"/>
        </w:rPr>
        <w:t>（5）</w:t>
      </w:r>
      <w:r>
        <w:rPr>
          <w:color w:val="auto"/>
        </w:rPr>
        <w:t>检测指标</w:t>
      </w:r>
    </w:p>
    <w:p>
      <w:pPr>
        <w:rPr>
          <w:color w:val="auto"/>
        </w:rPr>
      </w:pPr>
      <w:r>
        <w:rPr>
          <w:rFonts w:hint="eastAsia"/>
          <w:color w:val="auto"/>
        </w:rPr>
        <w:t>一般需对动物的外观体征、行为活动、腺体分泌、呼吸、粪便性状等进行观察，并据受试物毒性作用和不同动物生长的特点选择适当间隔，测量体重、摄食量和检测血液学、血液生化、电解质的常规指标（参见附表），并对主要脏器组织（包括其它异常脏器组织）进行病理学检查。除上述必需的检测指标外，应根据受试物特点，针对性地选择增加相应的检测指标或（和）检测项目，如非啮齿类一般可据需要增加粪、尿、心电图或眼科检查等。</w:t>
      </w:r>
    </w:p>
    <w:p>
      <w:pPr>
        <w:rPr>
          <w:color w:val="auto"/>
        </w:rPr>
      </w:pPr>
      <w:r>
        <w:rPr>
          <w:rFonts w:hint="eastAsia"/>
          <w:color w:val="auto"/>
        </w:rPr>
        <w:t>特别需要注意的是：①当采用动物为非啮齿类时，应对各组所有动物的器官和组织进行组织病理学检查。②当采用动物为啮齿类时，可先对高剂量组和对照组的器官组织进行组织病理学检查，如果高剂量组出现组织病理学变化时，需对更低剂量组进行组织病理学检查，以确定剂量</w:t>
      </w:r>
      <w:r>
        <w:rPr>
          <w:color w:val="auto"/>
        </w:rPr>
        <w:t>-反应关系。③若在尸检时发现器官或组织有肉眼可见的病理变化时，应对此脏器或组织进行详细的组织病理学检查。④应注意对脏器和组织的标本取材保存。⑤如发现有异常变化，应附有相应的组织病理学照片。组织病理学检查报告应经检查者签名和病理检查单位盖章。</w:t>
      </w:r>
    </w:p>
    <w:p>
      <w:pPr>
        <w:rPr>
          <w:color w:val="auto"/>
        </w:rPr>
      </w:pPr>
      <w:r>
        <w:rPr>
          <w:rFonts w:hint="eastAsia"/>
          <w:color w:val="auto"/>
        </w:rPr>
        <w:t>中药、民族药物复方制剂，成分复杂，靶点多，效应广泛，理论上除了检测附表中所列脏器外，应据所含中药、民族药的性、味、功效、主治等不同情况，以及受试物特性和初步试验结果，增加相应的或更进一步的组织病理学检查，以尽可能的寻找毒性作用靶器官、靶组织。但因中药、民族药复方制剂具有中医药、民族医药理论的指导，有长期应用历史且对其毒性反应有一定的临床认识，如有充分且合理的理由说明所申报的制剂有一定安全性，则所检查的脏器组织可减少为：心、肝、脾、肺、肾、脑、胃、小肠、大肠、垂体、脊髓、骨髓、淋巴结、膀胱、睾丸、附睾（或子宫、卵巢）、胸腺、肾上腺及给药局部组织等其它与受试物毒性作用明确相关的脏器组织。</w:t>
      </w:r>
    </w:p>
    <w:p>
      <w:pPr>
        <w:rPr>
          <w:color w:val="auto"/>
        </w:rPr>
      </w:pPr>
      <w:r>
        <w:rPr>
          <w:rFonts w:hint="eastAsia"/>
          <w:color w:val="auto"/>
        </w:rPr>
        <w:t>（6）</w:t>
      </w:r>
      <w:r>
        <w:rPr>
          <w:color w:val="auto"/>
        </w:rPr>
        <w:t>观察指标的时间和次数</w:t>
      </w:r>
    </w:p>
    <w:p>
      <w:pPr>
        <w:rPr>
          <w:color w:val="auto"/>
        </w:rPr>
      </w:pPr>
      <w:r>
        <w:rPr>
          <w:rFonts w:hint="eastAsia"/>
          <w:color w:val="auto"/>
        </w:rPr>
        <w:t>应根据试验期限的长短和受试物的特点而确定试验期间观察指标的时间和次数，原则上应尽早、及时发现出现的毒性反应。</w:t>
      </w:r>
    </w:p>
    <w:p>
      <w:pPr>
        <w:rPr>
          <w:color w:val="auto"/>
        </w:rPr>
      </w:pPr>
      <w:r>
        <w:rPr>
          <w:rFonts w:hint="eastAsia"/>
          <w:color w:val="auto"/>
        </w:rPr>
        <w:t>给药前，对动物进行适应性饲养。啮齿类动物至少应进行</w:t>
      </w:r>
      <w:r>
        <w:rPr>
          <w:color w:val="auto"/>
        </w:rPr>
        <w:t>5天的适应性观察，并对试验动物进行外观体征、行为活动、摄食量和体重检查。非啮齿类动物至少应驯养观察1～2周，并进行体温、心电图、有关血液学和血液生化学指标的检测1～2次。此外，实验动物相关指标的历史背景数据在长期毒性试验中也具有重要的参考意义。</w:t>
      </w:r>
    </w:p>
    <w:p>
      <w:pPr>
        <w:rPr>
          <w:color w:val="auto"/>
        </w:rPr>
      </w:pPr>
      <w:r>
        <w:rPr>
          <w:rFonts w:hint="eastAsia"/>
          <w:color w:val="auto"/>
        </w:rPr>
        <w:t>给药期间，对动物的一般状况和体征的观察（行为活动、腺体分泌、呼吸、粪便性状、给药局部反应等），应每天至少观察一次，摄食量和体重应每周至少记录一次。大鼠体重应雌雄分开进行计算。此外，还应根据受试物的特点、在其他试验中已观察到的某些改变或其他的相关信息（如处方中组成成分有关于毒性的文献报道），于试验中增加相应的观察和检测指标。</w:t>
      </w:r>
    </w:p>
    <w:p>
      <w:pPr>
        <w:rPr>
          <w:color w:val="auto"/>
        </w:rPr>
      </w:pPr>
      <w:r>
        <w:rPr>
          <w:rFonts w:hint="eastAsia"/>
          <w:color w:val="auto"/>
        </w:rPr>
        <w:t>试验结束时应进行一次全面的检测（血液学指标、血液生化学指标等；非啮齿类动物还应进行体温、眼科检查、心电图、尿液分析等），并进行全面的大体解剖，称重主要脏器、计算脏器系数；进行组织病理学检查并出具附有相应组织病理学照片、经检查者签名和病理检查单位盖章的病理学检查报告。当给药期限较长时，应根据受试物的特点选择合适的时间进行中期阶段性的检测。必要时制备骨髓涂片（非啮齿类动物通常需要制备），以便当受试物可能对造血系统有影响时进一步进行骨髓的检查。除此外，在给药结束时还应留存部分动物进行停药后恢复性观察，以了解毒性反应的可逆程度和可能出现的延迟性毒性反应，恢复观察期结束时应进行一次全面的检测。</w:t>
      </w:r>
    </w:p>
    <w:p>
      <w:pPr>
        <w:rPr>
          <w:color w:val="auto"/>
        </w:rPr>
      </w:pPr>
      <w:r>
        <w:rPr>
          <w:rFonts w:hint="eastAsia"/>
          <w:color w:val="auto"/>
        </w:rPr>
        <w:t>在试验期间，需对濒死或死亡动物及时采集标本进行相关指标检测或（和）组织病理学检查，并分析原因。</w:t>
      </w:r>
    </w:p>
    <w:p>
      <w:pPr>
        <w:rPr>
          <w:color w:val="auto"/>
        </w:rPr>
      </w:pPr>
      <w:r>
        <w:rPr>
          <w:color w:val="auto"/>
        </w:rPr>
        <w:t>3.结果分析及评价</w:t>
      </w:r>
    </w:p>
    <w:p>
      <w:pPr>
        <w:rPr>
          <w:color w:val="auto"/>
        </w:rPr>
      </w:pPr>
      <w:r>
        <w:rPr>
          <w:rFonts w:hint="eastAsia"/>
          <w:color w:val="auto"/>
        </w:rPr>
        <w:t>长期毒性试验的结果应该力求与其他药理毒理研究结果互为印证、说明和补充。试验报告应全面客观反映整个试验过程收集的原始资料和信息，应详细描述毒性的主要表现、大体解剖检查和</w:t>
      </w:r>
      <w:r>
        <w:rPr>
          <w:color w:val="auto"/>
        </w:rPr>
        <w:t>/或病理组织学检查结果等，并说明数据处理的统计学方法。分析长期毒性试验结果的目的是判断动物是否发生毒性反应，最终可判断人体可能出现的毒性反应。通过描述毒性反应的性质、程度（包括毒性起始时间、程度、持续时间以及可逆性等）和靶器官，确定安全范围，探讨可能的毒性作用机制，从而推断其与人体的相关性。</w:t>
      </w:r>
    </w:p>
    <w:p>
      <w:pPr>
        <w:rPr>
          <w:color w:val="auto"/>
        </w:rPr>
      </w:pPr>
      <w:r>
        <w:rPr>
          <w:rFonts w:hint="eastAsia"/>
          <w:color w:val="auto"/>
        </w:rPr>
        <w:t>在分析长期毒性研究结果时应综合考虑数据的统计学意义和生物学意义，正确利用统计学假设检验有助于确定试验结果的生物学意义，需要注意的是具有统计学意义并不一定具有生物学意义。在对长期毒性研究结果进行分析时，应对异常数据进行合理的解释。如果大鼠试验结果显示药物具有明显毒性作用，应提供受试物对非啮齿类动物的长期毒性试验结果，并判断毒性反应是否存在种属差异。</w:t>
      </w:r>
    </w:p>
    <w:p>
      <w:pPr>
        <w:rPr>
          <w:color w:val="auto"/>
        </w:rPr>
      </w:pPr>
      <w:r>
        <w:rPr>
          <w:rFonts w:hint="eastAsia"/>
          <w:color w:val="auto"/>
        </w:rPr>
        <w:t>由于动物和人体的实际差异，动物长期毒性研究的结果一般不会完全再现于人体临床试验。但如果没有试验或文献依据证明受试物对动物的毒性反应与人体无关，在进行制剂评价时必须首先假设人最为敏感，长期毒性研究中动物的毒性反应将会在临床试验中再现。</w:t>
      </w:r>
    </w:p>
    <w:p>
      <w:pPr>
        <w:rPr>
          <w:color w:val="auto"/>
        </w:rPr>
      </w:pPr>
      <w:r>
        <w:rPr>
          <w:rFonts w:hint="eastAsia"/>
          <w:color w:val="auto"/>
        </w:rPr>
        <w:t>总之，在对长期毒性研究结果进行评价时，应结合受试物的药学特点、药效学和其它毒理学研究的结果以及医疗机构制剂临床已取得的研究结果和应用经验，进行综合评价，并分析讨论需在临床、质量可控性研究中注意的问题。</w:t>
      </w:r>
    </w:p>
    <w:p>
      <w:pPr>
        <w:rPr>
          <w:color w:val="auto"/>
        </w:rPr>
      </w:pPr>
      <w:r>
        <w:rPr>
          <w:rFonts w:hint="eastAsia"/>
          <w:color w:val="auto"/>
        </w:rPr>
        <w:t>【附表】</w:t>
      </w:r>
    </w:p>
    <w:p>
      <w:pPr>
        <w:rPr>
          <w:color w:val="auto"/>
        </w:rPr>
      </w:pPr>
      <w:r>
        <w:rPr>
          <w:rFonts w:hint="eastAsia"/>
          <w:color w:val="auto"/>
        </w:rPr>
        <w:t>长期毒性试验中必须检测的指标</w:t>
      </w:r>
    </w:p>
    <w:p>
      <w:pPr>
        <w:rPr>
          <w:color w:val="auto"/>
        </w:rPr>
      </w:pPr>
      <w:r>
        <w:rPr>
          <w:color w:val="auto"/>
        </w:rPr>
        <w:t>1.血液学指标</w:t>
      </w:r>
    </w:p>
    <w:tbl>
      <w:tblPr>
        <w:tblStyle w:val="14"/>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●红细胞计数</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●血红蛋白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●红细胞容积</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●平均红细胞容积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●平均红细胞血红蛋白</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●平均红细胞血红蛋白浓度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●网织红细胞计数</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●白细胞计数及其分类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●血小板计数</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●凝血酶原时间</w:t>
            </w:r>
          </w:p>
        </w:tc>
      </w:tr>
    </w:tbl>
    <w:p>
      <w:pPr>
        <w:rPr>
          <w:color w:val="auto"/>
        </w:rPr>
      </w:pPr>
      <w:r>
        <w:rPr>
          <w:color w:val="auto"/>
        </w:rPr>
        <w:t>2.血液生化学指标</w:t>
      </w:r>
    </w:p>
    <w:tbl>
      <w:tblPr>
        <w:tblStyle w:val="14"/>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●天门冬氨酸氨基转换酶</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●丙氨酸氨基转换酶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●碱性磷酸酶</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●肌酸磷酸激酶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●尿素氮</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●肌酐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●总蛋白</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●白蛋白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●血糖</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●总胆红素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●总胆固醇</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●甘油三酯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●γ-谷氨酰转移酶（非啮齿类动物）</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●钾离子浓度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●氯离子浓度</w:t>
            </w:r>
          </w:p>
        </w:tc>
        <w:tc>
          <w:tcPr>
            <w:tcW w:w="2500" w:type="pct"/>
            <w:shd w:val="clear" w:color="auto" w:fill="auto"/>
            <w:vAlign w:val="center"/>
          </w:tcPr>
          <w:p>
            <w:pPr>
              <w:spacing w:line="240" w:lineRule="auto"/>
              <w:ind w:firstLine="0" w:firstLineChars="0"/>
              <w:rPr>
                <w:rFonts w:cs="Tahoma"/>
                <w:color w:val="auto"/>
                <w:kern w:val="0"/>
                <w:sz w:val="24"/>
                <w:szCs w:val="24"/>
              </w:rPr>
            </w:pPr>
            <w:r>
              <w:rPr>
                <w:rFonts w:cs="Tahoma"/>
                <w:color w:val="auto"/>
                <w:kern w:val="0"/>
                <w:sz w:val="24"/>
                <w:szCs w:val="24"/>
              </w:rPr>
              <w:t>●钠离子浓度</w:t>
            </w:r>
          </w:p>
        </w:tc>
      </w:tr>
    </w:tbl>
    <w:p>
      <w:pPr>
        <w:rPr>
          <w:color w:val="auto"/>
        </w:rPr>
      </w:pPr>
      <w:r>
        <w:rPr>
          <w:color w:val="auto"/>
        </w:rPr>
        <w:t>3.尿液分析指标</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4" w:space="0"/>
              <w:left w:val="nil"/>
              <w:bottom w:val="single" w:color="auto" w:sz="4" w:space="0"/>
              <w:right w:val="nil"/>
            </w:tcBorders>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非啮齿类动物尿液分析指标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tcBorders>
              <w:top w:val="single" w:color="auto" w:sz="4" w:space="0"/>
              <w:left w:val="nil"/>
              <w:bottom w:val="nil"/>
              <w:right w:val="nil"/>
            </w:tcBorders>
            <w:vAlign w:val="center"/>
          </w:tcPr>
          <w:p>
            <w:pPr>
              <w:spacing w:line="240" w:lineRule="auto"/>
              <w:ind w:firstLine="0" w:firstLineChars="0"/>
              <w:rPr>
                <w:rFonts w:cs="Tahoma"/>
                <w:color w:val="auto"/>
                <w:kern w:val="0"/>
                <w:sz w:val="24"/>
                <w:szCs w:val="24"/>
              </w:rPr>
            </w:pPr>
            <w:r>
              <w:rPr>
                <w:rFonts w:cs="Tahoma"/>
                <w:color w:val="auto"/>
                <w:kern w:val="0"/>
                <w:sz w:val="24"/>
                <w:szCs w:val="24"/>
              </w:rPr>
              <w:t>●尿液外观</w:t>
            </w:r>
          </w:p>
        </w:tc>
        <w:tc>
          <w:tcPr>
            <w:tcW w:w="2500" w:type="pct"/>
            <w:tcBorders>
              <w:top w:val="single" w:color="auto" w:sz="4" w:space="0"/>
              <w:left w:val="nil"/>
              <w:bottom w:val="nil"/>
              <w:right w:val="nil"/>
            </w:tcBorders>
            <w:vAlign w:val="center"/>
          </w:tcPr>
          <w:p>
            <w:pPr>
              <w:spacing w:line="240" w:lineRule="auto"/>
              <w:ind w:firstLine="0" w:firstLineChars="0"/>
              <w:rPr>
                <w:rFonts w:cs="Tahoma"/>
                <w:color w:val="auto"/>
                <w:kern w:val="0"/>
                <w:sz w:val="24"/>
                <w:szCs w:val="24"/>
              </w:rPr>
            </w:pPr>
            <w:r>
              <w:rPr>
                <w:rFonts w:cs="Tahoma"/>
                <w:color w:val="auto"/>
                <w:kern w:val="0"/>
                <w:sz w:val="24"/>
                <w:szCs w:val="24"/>
              </w:rPr>
              <w:t>●比重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tcBorders>
              <w:top w:val="nil"/>
              <w:left w:val="nil"/>
              <w:bottom w:val="nil"/>
              <w:right w:val="nil"/>
            </w:tcBorders>
            <w:vAlign w:val="center"/>
          </w:tcPr>
          <w:p>
            <w:pPr>
              <w:spacing w:line="240" w:lineRule="auto"/>
              <w:ind w:firstLine="0" w:firstLineChars="0"/>
              <w:rPr>
                <w:rFonts w:cs="Tahoma"/>
                <w:color w:val="auto"/>
                <w:kern w:val="0"/>
                <w:sz w:val="24"/>
                <w:szCs w:val="24"/>
              </w:rPr>
            </w:pPr>
            <w:r>
              <w:rPr>
                <w:rFonts w:cs="Tahoma"/>
                <w:color w:val="auto"/>
                <w:kern w:val="0"/>
                <w:sz w:val="24"/>
                <w:szCs w:val="24"/>
              </w:rPr>
              <w:t>●pH值</w:t>
            </w:r>
          </w:p>
        </w:tc>
        <w:tc>
          <w:tcPr>
            <w:tcW w:w="2500" w:type="pct"/>
            <w:tcBorders>
              <w:top w:val="nil"/>
              <w:left w:val="nil"/>
              <w:bottom w:val="nil"/>
              <w:right w:val="nil"/>
            </w:tcBorders>
            <w:vAlign w:val="center"/>
          </w:tcPr>
          <w:p>
            <w:pPr>
              <w:spacing w:line="240" w:lineRule="auto"/>
              <w:ind w:firstLine="0" w:firstLineChars="0"/>
              <w:rPr>
                <w:rFonts w:cs="Tahoma"/>
                <w:color w:val="auto"/>
                <w:kern w:val="0"/>
                <w:sz w:val="24"/>
                <w:szCs w:val="24"/>
              </w:rPr>
            </w:pPr>
            <w:r>
              <w:rPr>
                <w:rFonts w:cs="Tahoma"/>
                <w:color w:val="auto"/>
                <w:kern w:val="0"/>
                <w:sz w:val="24"/>
                <w:szCs w:val="24"/>
              </w:rPr>
              <w:t>●尿糖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tcBorders>
              <w:top w:val="nil"/>
              <w:left w:val="nil"/>
              <w:bottom w:val="nil"/>
              <w:right w:val="nil"/>
            </w:tcBorders>
            <w:vAlign w:val="center"/>
          </w:tcPr>
          <w:p>
            <w:pPr>
              <w:spacing w:line="240" w:lineRule="auto"/>
              <w:ind w:firstLine="0" w:firstLineChars="0"/>
              <w:rPr>
                <w:rFonts w:cs="Tahoma"/>
                <w:color w:val="auto"/>
                <w:kern w:val="0"/>
                <w:sz w:val="24"/>
                <w:szCs w:val="24"/>
              </w:rPr>
            </w:pPr>
            <w:r>
              <w:rPr>
                <w:rFonts w:cs="Tahoma"/>
                <w:color w:val="auto"/>
                <w:kern w:val="0"/>
                <w:sz w:val="24"/>
                <w:szCs w:val="24"/>
              </w:rPr>
              <w:t>●尿蛋白</w:t>
            </w:r>
          </w:p>
        </w:tc>
        <w:tc>
          <w:tcPr>
            <w:tcW w:w="2500" w:type="pct"/>
            <w:tcBorders>
              <w:top w:val="nil"/>
              <w:left w:val="nil"/>
              <w:bottom w:val="nil"/>
              <w:right w:val="nil"/>
            </w:tcBorders>
            <w:vAlign w:val="center"/>
          </w:tcPr>
          <w:p>
            <w:pPr>
              <w:spacing w:line="240" w:lineRule="auto"/>
              <w:ind w:firstLine="0" w:firstLineChars="0"/>
              <w:rPr>
                <w:rFonts w:cs="Tahoma"/>
                <w:color w:val="auto"/>
                <w:kern w:val="0"/>
                <w:sz w:val="24"/>
                <w:szCs w:val="24"/>
              </w:rPr>
            </w:pPr>
            <w:r>
              <w:rPr>
                <w:rFonts w:cs="Tahoma"/>
                <w:color w:val="auto"/>
                <w:kern w:val="0"/>
                <w:sz w:val="24"/>
                <w:szCs w:val="24"/>
              </w:rPr>
              <w:t>●尿胆红素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tcBorders>
              <w:top w:val="nil"/>
              <w:left w:val="nil"/>
              <w:bottom w:val="nil"/>
              <w:right w:val="nil"/>
            </w:tcBorders>
            <w:vAlign w:val="center"/>
          </w:tcPr>
          <w:p>
            <w:pPr>
              <w:spacing w:line="240" w:lineRule="auto"/>
              <w:ind w:firstLine="0" w:firstLineChars="0"/>
              <w:rPr>
                <w:rFonts w:cs="Tahoma"/>
                <w:color w:val="auto"/>
                <w:kern w:val="0"/>
                <w:sz w:val="24"/>
                <w:szCs w:val="24"/>
              </w:rPr>
            </w:pPr>
            <w:r>
              <w:rPr>
                <w:rFonts w:cs="Tahoma"/>
                <w:color w:val="auto"/>
                <w:kern w:val="0"/>
                <w:sz w:val="24"/>
                <w:szCs w:val="24"/>
              </w:rPr>
              <w:t>●尿胆原</w:t>
            </w:r>
          </w:p>
        </w:tc>
        <w:tc>
          <w:tcPr>
            <w:tcW w:w="2500" w:type="pct"/>
            <w:tcBorders>
              <w:top w:val="nil"/>
              <w:left w:val="nil"/>
              <w:bottom w:val="nil"/>
              <w:right w:val="nil"/>
            </w:tcBorders>
            <w:vAlign w:val="center"/>
          </w:tcPr>
          <w:p>
            <w:pPr>
              <w:spacing w:line="240" w:lineRule="auto"/>
              <w:ind w:firstLine="0" w:firstLineChars="0"/>
              <w:rPr>
                <w:rFonts w:cs="Tahoma"/>
                <w:color w:val="auto"/>
                <w:kern w:val="0"/>
                <w:sz w:val="24"/>
                <w:szCs w:val="24"/>
              </w:rPr>
            </w:pPr>
            <w:r>
              <w:rPr>
                <w:rFonts w:cs="Tahoma"/>
                <w:color w:val="auto"/>
                <w:kern w:val="0"/>
                <w:sz w:val="24"/>
                <w:szCs w:val="24"/>
              </w:rPr>
              <w:t>●酮体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0" w:type="pct"/>
            <w:tcBorders>
              <w:top w:val="nil"/>
              <w:left w:val="nil"/>
              <w:bottom w:val="single" w:color="auto" w:sz="4" w:space="0"/>
              <w:right w:val="nil"/>
            </w:tcBorders>
            <w:vAlign w:val="center"/>
          </w:tcPr>
          <w:p>
            <w:pPr>
              <w:spacing w:line="240" w:lineRule="auto"/>
              <w:ind w:firstLine="0" w:firstLineChars="0"/>
              <w:rPr>
                <w:rFonts w:cs="Tahoma"/>
                <w:color w:val="auto"/>
                <w:kern w:val="0"/>
                <w:sz w:val="24"/>
                <w:szCs w:val="24"/>
              </w:rPr>
            </w:pPr>
            <w:r>
              <w:rPr>
                <w:rFonts w:cs="Tahoma"/>
                <w:color w:val="auto"/>
                <w:kern w:val="0"/>
                <w:sz w:val="24"/>
                <w:szCs w:val="24"/>
              </w:rPr>
              <w:t>●潜血</w:t>
            </w:r>
          </w:p>
        </w:tc>
        <w:tc>
          <w:tcPr>
            <w:tcW w:w="2500" w:type="pct"/>
            <w:tcBorders>
              <w:top w:val="nil"/>
              <w:left w:val="nil"/>
              <w:bottom w:val="single" w:color="auto" w:sz="4" w:space="0"/>
              <w:right w:val="nil"/>
            </w:tcBorders>
            <w:vAlign w:val="center"/>
          </w:tcPr>
          <w:p>
            <w:pPr>
              <w:spacing w:line="240" w:lineRule="auto"/>
              <w:ind w:firstLine="0" w:firstLineChars="0"/>
              <w:rPr>
                <w:rFonts w:cs="Tahoma"/>
                <w:color w:val="auto"/>
                <w:kern w:val="0"/>
                <w:sz w:val="24"/>
                <w:szCs w:val="24"/>
              </w:rPr>
            </w:pPr>
            <w:r>
              <w:rPr>
                <w:rFonts w:cs="Tahoma"/>
                <w:color w:val="auto"/>
                <w:kern w:val="0"/>
                <w:sz w:val="24"/>
                <w:szCs w:val="24"/>
              </w:rPr>
              <w:t>●白细胞</w:t>
            </w:r>
          </w:p>
        </w:tc>
      </w:tr>
    </w:tbl>
    <w:p>
      <w:pPr>
        <w:rPr>
          <w:color w:val="auto"/>
        </w:rPr>
      </w:pPr>
      <w:r>
        <w:rPr>
          <w:color w:val="auto"/>
        </w:rPr>
        <w:t>4.组织病理学检查指标</w:t>
      </w:r>
    </w:p>
    <w:p>
      <w:pPr>
        <w:rPr>
          <w:color w:val="auto"/>
        </w:rPr>
      </w:pPr>
      <w:r>
        <w:rPr>
          <w:rFonts w:hint="eastAsia"/>
          <w:color w:val="auto"/>
        </w:rPr>
        <w:t>长期毒性试验中需称重并计算脏器系数的器官</w:t>
      </w:r>
    </w:p>
    <w:tbl>
      <w:tblPr>
        <w:tblStyle w:val="14"/>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●脑</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●心脏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●肝脏</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●肺脏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●肾脏</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●肾上腺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●胸腺</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●脾脏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●睾丸</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●附睾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●子宫</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●卵巢</w:t>
            </w:r>
          </w:p>
        </w:tc>
      </w:tr>
    </w:tbl>
    <w:p>
      <w:pPr>
        <w:rPr>
          <w:color w:val="auto"/>
        </w:rPr>
      </w:pPr>
      <w:r>
        <w:rPr>
          <w:rFonts w:hint="eastAsia"/>
          <w:color w:val="auto"/>
        </w:rPr>
        <w:t>长期毒性试验中需进行组织病理学检查的脏器、组织</w:t>
      </w:r>
    </w:p>
    <w:tbl>
      <w:tblPr>
        <w:tblStyle w:val="14"/>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●脑（大脑、小脑、脑干）</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●脊髓（颈、胸、腰段）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●垂体</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●胸腺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●甲状腺</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●甲状旁腺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●食管</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●唾液腺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●胃</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●小肠和大肠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●肝脏</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●胆囊*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●肾脏</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●肾上腺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●脾脏</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●胰腺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●气管</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●主动脉</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●心脏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●附睾</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●睾丸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●卵巢</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●子宫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●前列腺</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●乳腺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●坐骨神经</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●膀胱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●眼（眼科检查发现异常时）*</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●视神经*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●给药局部</w:t>
            </w:r>
          </w:p>
        </w:tc>
        <w:tc>
          <w:tcPr>
            <w:tcW w:w="2500" w:type="pct"/>
            <w:vAlign w:val="center"/>
          </w:tcPr>
          <w:p>
            <w:pPr>
              <w:spacing w:line="240" w:lineRule="auto"/>
              <w:ind w:firstLine="0" w:firstLineChars="0"/>
              <w:rPr>
                <w:rFonts w:cs="Tahoma"/>
                <w:color w:val="auto"/>
                <w:kern w:val="0"/>
                <w:sz w:val="24"/>
                <w:szCs w:val="24"/>
              </w:rPr>
            </w:pPr>
            <w:r>
              <w:rPr>
                <w:rFonts w:cs="Tahoma"/>
                <w:color w:val="auto"/>
                <w:kern w:val="0"/>
                <w:sz w:val="24"/>
                <w:szCs w:val="24"/>
              </w:rPr>
              <w:t>●骨髓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00" w:type="pct"/>
            <w:gridSpan w:val="2"/>
            <w:vAlign w:val="center"/>
          </w:tcPr>
          <w:p>
            <w:pPr>
              <w:spacing w:line="240" w:lineRule="auto"/>
              <w:ind w:firstLine="0" w:firstLineChars="0"/>
              <w:rPr>
                <w:rFonts w:cs="Tahoma"/>
                <w:color w:val="auto"/>
                <w:kern w:val="0"/>
                <w:sz w:val="24"/>
                <w:szCs w:val="24"/>
              </w:rPr>
            </w:pPr>
            <w:r>
              <w:rPr>
                <w:rFonts w:cs="Tahoma"/>
                <w:color w:val="auto"/>
                <w:kern w:val="0"/>
                <w:sz w:val="24"/>
                <w:szCs w:val="24"/>
              </w:rPr>
              <w:t>●淋巴结（包括给药局部淋巴结、肠系膜淋巴结）</w:t>
            </w:r>
          </w:p>
        </w:tc>
      </w:tr>
    </w:tbl>
    <w:p>
      <w:pPr>
        <w:rPr>
          <w:color w:val="auto"/>
        </w:rPr>
      </w:pPr>
      <w:r>
        <w:rPr>
          <w:rFonts w:hint="eastAsia"/>
          <w:color w:val="auto"/>
        </w:rPr>
        <w:t>注：</w:t>
      </w:r>
      <w:r>
        <w:rPr>
          <w:color w:val="auto"/>
        </w:rPr>
        <w:t>*为啮齿类动物，可不进行组织病理学检查的组织或器官。</w:t>
      </w:r>
    </w:p>
    <w:p>
      <w:pPr>
        <w:rPr>
          <w:color w:val="auto"/>
        </w:rPr>
      </w:pPr>
      <w:r>
        <w:rPr>
          <w:rFonts w:hint="eastAsia"/>
          <w:color w:val="auto"/>
        </w:rPr>
        <w:t>（二）非口服途径制剂长期毒性试验</w:t>
      </w:r>
    </w:p>
    <w:p>
      <w:pPr>
        <w:rPr>
          <w:color w:val="auto"/>
        </w:rPr>
      </w:pPr>
      <w:r>
        <w:rPr>
          <w:rFonts w:hint="eastAsia"/>
          <w:color w:val="auto"/>
        </w:rPr>
        <w:t>非口服途径药物主要指：经皮肤、粘膜、腔道、血管等非口服途径给药的制剂。本指导原则主要介绍皮肤给药制剂的长期毒性试验，直肠、阴道用药长期毒性试验和其它组织器官用药的长期毒性试验可参照本原则相应内容，以及国家食品药品监督管理局颁布的相关技术指导原则及有关技术要求。</w:t>
      </w:r>
    </w:p>
    <w:p>
      <w:pPr>
        <w:rPr>
          <w:color w:val="auto"/>
        </w:rPr>
      </w:pPr>
      <w:r>
        <w:rPr>
          <w:color w:val="auto"/>
        </w:rPr>
        <w:t>1.皮肤用药长期毒性试验</w:t>
      </w:r>
    </w:p>
    <w:p>
      <w:pPr>
        <w:rPr>
          <w:color w:val="auto"/>
        </w:rPr>
      </w:pPr>
      <w:r>
        <w:rPr>
          <w:rFonts w:hint="eastAsia"/>
          <w:color w:val="auto"/>
        </w:rPr>
        <w:t>皮肤用药长期毒性试验是指观察动物皮肤长期接触受试物后，对皮肤组织或经皮肤渗透对机体产生的毒性反应和反应的可逆程度，寻找毒性靶器官。</w:t>
      </w:r>
    </w:p>
    <w:p>
      <w:pPr>
        <w:rPr>
          <w:color w:val="auto"/>
        </w:rPr>
      </w:pPr>
      <w:r>
        <w:rPr>
          <w:rFonts w:hint="eastAsia"/>
          <w:color w:val="auto"/>
        </w:rPr>
        <w:t>（1）</w:t>
      </w:r>
      <w:r>
        <w:rPr>
          <w:color w:val="auto"/>
        </w:rPr>
        <w:t>实验动物</w:t>
      </w:r>
    </w:p>
    <w:p>
      <w:pPr>
        <w:rPr>
          <w:color w:val="auto"/>
        </w:rPr>
      </w:pPr>
      <w:r>
        <w:rPr>
          <w:rFonts w:hint="eastAsia"/>
          <w:color w:val="auto"/>
        </w:rPr>
        <w:t>①</w:t>
      </w:r>
      <w:r>
        <w:rPr>
          <w:color w:val="auto"/>
        </w:rPr>
        <w:t>种属、级别</w:t>
      </w:r>
    </w:p>
    <w:p>
      <w:pPr>
        <w:rPr>
          <w:color w:val="auto"/>
        </w:rPr>
      </w:pPr>
      <w:r>
        <w:rPr>
          <w:rFonts w:hint="eastAsia"/>
          <w:color w:val="auto"/>
        </w:rPr>
        <w:t>应尽可能选择与人类皮肤等反应比较相近的动物，如家兔、小型猪，也可据制剂和试验特点及需要选用豚鼠以及大鼠。</w:t>
      </w:r>
    </w:p>
    <w:p>
      <w:pPr>
        <w:rPr>
          <w:color w:val="auto"/>
        </w:rPr>
      </w:pPr>
      <w:r>
        <w:rPr>
          <w:rFonts w:hint="eastAsia"/>
          <w:color w:val="auto"/>
        </w:rPr>
        <w:t>采用动物应符合国家有关规定的等级要求（清洁级及以上），来源、品系、遗传背景清楚，具有实验动物质量合格证。</w:t>
      </w:r>
    </w:p>
    <w:p>
      <w:pPr>
        <w:rPr>
          <w:color w:val="auto"/>
        </w:rPr>
      </w:pPr>
      <w:r>
        <w:rPr>
          <w:rFonts w:hint="eastAsia"/>
          <w:color w:val="auto"/>
        </w:rPr>
        <w:t>②</w:t>
      </w:r>
      <w:r>
        <w:rPr>
          <w:color w:val="auto"/>
        </w:rPr>
        <w:t>动物数、性别</w:t>
      </w:r>
    </w:p>
    <w:p>
      <w:pPr>
        <w:rPr>
          <w:color w:val="auto"/>
        </w:rPr>
      </w:pPr>
      <w:r>
        <w:rPr>
          <w:rFonts w:hint="eastAsia"/>
          <w:color w:val="auto"/>
        </w:rPr>
        <w:t>应据动物种属和研究目的及给药期限确定所需动物数，每组动物数应符合试验方法及结果分析评价的需要。一般家兔每组至少</w:t>
      </w:r>
      <w:r>
        <w:rPr>
          <w:color w:val="auto"/>
        </w:rPr>
        <w:t>6只，豚鼠、大鼠每组至少10只，雌雄各半。</w:t>
      </w:r>
    </w:p>
    <w:p>
      <w:pPr>
        <w:rPr>
          <w:color w:val="auto"/>
        </w:rPr>
      </w:pPr>
      <w:r>
        <w:rPr>
          <w:rFonts w:hint="eastAsia"/>
          <w:color w:val="auto"/>
        </w:rPr>
        <w:t>③</w:t>
      </w:r>
      <w:r>
        <w:rPr>
          <w:color w:val="auto"/>
        </w:rPr>
        <w:t>年龄</w:t>
      </w:r>
    </w:p>
    <w:p>
      <w:pPr>
        <w:rPr>
          <w:color w:val="auto"/>
        </w:rPr>
      </w:pPr>
      <w:r>
        <w:rPr>
          <w:rFonts w:hint="eastAsia"/>
          <w:color w:val="auto"/>
        </w:rPr>
        <w:t>通常采用健康成年动物进行试验。如果受试物拟用于或可能用于儿童或老年人，建议采用与儿童或老年人年龄段相对应的幼年动物。</w:t>
      </w:r>
    </w:p>
    <w:p>
      <w:pPr>
        <w:rPr>
          <w:color w:val="auto"/>
        </w:rPr>
      </w:pPr>
      <w:r>
        <w:rPr>
          <w:rFonts w:hint="eastAsia"/>
          <w:color w:val="auto"/>
        </w:rPr>
        <w:t>④</w:t>
      </w:r>
      <w:r>
        <w:rPr>
          <w:color w:val="auto"/>
        </w:rPr>
        <w:t>体重</w:t>
      </w:r>
    </w:p>
    <w:p>
      <w:pPr>
        <w:rPr>
          <w:color w:val="auto"/>
        </w:rPr>
      </w:pPr>
      <w:r>
        <w:rPr>
          <w:rFonts w:hint="eastAsia"/>
          <w:color w:val="auto"/>
        </w:rPr>
        <w:t>一般家兔体重</w:t>
      </w:r>
      <w:r>
        <w:rPr>
          <w:color w:val="auto"/>
        </w:rPr>
        <w:t>2kg、小型猪4～6kg、豚鼠300g、大鼠200g左右为宜。</w:t>
      </w:r>
    </w:p>
    <w:p>
      <w:pPr>
        <w:rPr>
          <w:color w:val="auto"/>
        </w:rPr>
      </w:pPr>
      <w:r>
        <w:rPr>
          <w:rFonts w:hint="eastAsia"/>
          <w:color w:val="auto"/>
        </w:rPr>
        <w:t>（2）</w:t>
      </w:r>
      <w:r>
        <w:rPr>
          <w:color w:val="auto"/>
        </w:rPr>
        <w:t>实验动物分组</w:t>
      </w:r>
    </w:p>
    <w:p>
      <w:pPr>
        <w:rPr>
          <w:color w:val="auto"/>
        </w:rPr>
      </w:pPr>
      <w:r>
        <w:rPr>
          <w:rFonts w:hint="eastAsia"/>
          <w:color w:val="auto"/>
        </w:rPr>
        <w:t>一般情况下，至少应设</w:t>
      </w:r>
      <w:r>
        <w:rPr>
          <w:color w:val="auto"/>
        </w:rPr>
        <w:t>3个剂量组、溶媒和/或赋形剂对照组。考虑外用制剂临床使用中有可能会应用于破损或近似破损皮肤，因此上述各实验组需同时设置完整皮肤和破损皮肤组，以充分暴露制剂的毒性反应。</w:t>
      </w:r>
    </w:p>
    <w:p>
      <w:pPr>
        <w:rPr>
          <w:color w:val="auto"/>
        </w:rPr>
      </w:pPr>
      <w:r>
        <w:rPr>
          <w:rFonts w:hint="eastAsia"/>
          <w:color w:val="auto"/>
        </w:rPr>
        <w:t>（3）</w:t>
      </w:r>
      <w:r>
        <w:rPr>
          <w:color w:val="auto"/>
        </w:rPr>
        <w:t>给药部位</w:t>
      </w:r>
    </w:p>
    <w:p>
      <w:pPr>
        <w:rPr>
          <w:color w:val="auto"/>
        </w:rPr>
      </w:pPr>
      <w:r>
        <w:rPr>
          <w:rFonts w:hint="eastAsia"/>
          <w:color w:val="auto"/>
        </w:rPr>
        <w:t>一般应选择与临床给药相似的部位，并观察对可能接触到受试物的周围组织的影响。</w:t>
      </w:r>
    </w:p>
    <w:p>
      <w:pPr>
        <w:rPr>
          <w:color w:val="auto"/>
        </w:rPr>
      </w:pPr>
      <w:r>
        <w:rPr>
          <w:rFonts w:hint="eastAsia"/>
          <w:color w:val="auto"/>
        </w:rPr>
        <w:t>（4）</w:t>
      </w:r>
      <w:r>
        <w:rPr>
          <w:color w:val="auto"/>
        </w:rPr>
        <w:t>给药途径</w:t>
      </w:r>
    </w:p>
    <w:p>
      <w:pPr>
        <w:rPr>
          <w:color w:val="auto"/>
        </w:rPr>
      </w:pPr>
      <w:r>
        <w:rPr>
          <w:rFonts w:hint="eastAsia"/>
          <w:color w:val="auto"/>
        </w:rPr>
        <w:t>一般需与外用制剂临床拟用途径和方式一致，如不采用临床拟用途径，必须充分说明理由。</w:t>
      </w:r>
    </w:p>
    <w:p>
      <w:pPr>
        <w:rPr>
          <w:color w:val="auto"/>
        </w:rPr>
      </w:pPr>
      <w:r>
        <w:rPr>
          <w:rFonts w:hint="eastAsia"/>
          <w:color w:val="auto"/>
        </w:rPr>
        <w:t>（5）</w:t>
      </w:r>
      <w:r>
        <w:rPr>
          <w:color w:val="auto"/>
        </w:rPr>
        <w:t>给药容量</w:t>
      </w:r>
    </w:p>
    <w:p>
      <w:pPr>
        <w:rPr>
          <w:color w:val="auto"/>
        </w:rPr>
      </w:pPr>
      <w:r>
        <w:rPr>
          <w:rFonts w:hint="eastAsia"/>
          <w:color w:val="auto"/>
        </w:rPr>
        <w:t>一般需据预试验确定皮肤给药面积最适合给药容量或承载量。不同动物和给药途径及方式下的最大给药容量可参考相关文献及根据实际情况来确定。</w:t>
      </w:r>
    </w:p>
    <w:p>
      <w:pPr>
        <w:rPr>
          <w:color w:val="auto"/>
        </w:rPr>
      </w:pPr>
      <w:r>
        <w:rPr>
          <w:rFonts w:hint="eastAsia"/>
          <w:color w:val="auto"/>
        </w:rPr>
        <w:t>（6）</w:t>
      </w:r>
      <w:r>
        <w:rPr>
          <w:color w:val="auto"/>
        </w:rPr>
        <w:t>给药浓度、剂量与体积和给药频率</w:t>
      </w:r>
    </w:p>
    <w:p>
      <w:pPr>
        <w:rPr>
          <w:color w:val="auto"/>
        </w:rPr>
      </w:pPr>
      <w:r>
        <w:rPr>
          <w:rFonts w:hint="eastAsia"/>
          <w:color w:val="auto"/>
        </w:rPr>
        <w:t>设计给药浓度、剂量与体积和频率时，应根据临床用药情况，并考虑不同受试动物给药部位的解剖和生理特点，保证受试物在给药部位的有效暴露。可选择包括临床拟用最高浓度的几种不同浓度和频率。如果技术上难以达到临床拟用最高浓度，不应通过增加给药局部药物厚度来增加给药量，可增加给药面积或在最大给药面积不变的情况下通过改变给药频次进行剂量调整。</w:t>
      </w:r>
    </w:p>
    <w:p>
      <w:pPr>
        <w:rPr>
          <w:color w:val="auto"/>
        </w:rPr>
      </w:pPr>
      <w:r>
        <w:rPr>
          <w:rFonts w:hint="eastAsia"/>
          <w:color w:val="auto"/>
        </w:rPr>
        <w:t>给药组剂量可通过预试验进行剂量摸索后确定，可据动物种属、制剂特性和潜在的毒性反应性质及强度设置多个剂量，对于临床使用中未见不良反应、急性毒性试验也无明显毒性反应的制剂，可直接采用近似最大给药剂量或单剂量进行试验，但需充分说明理由。</w:t>
      </w:r>
    </w:p>
    <w:p>
      <w:pPr>
        <w:rPr>
          <w:color w:val="auto"/>
        </w:rPr>
      </w:pPr>
      <w:r>
        <w:rPr>
          <w:rFonts w:hint="eastAsia"/>
          <w:color w:val="auto"/>
        </w:rPr>
        <w:t>（7）</w:t>
      </w:r>
      <w:r>
        <w:rPr>
          <w:color w:val="auto"/>
        </w:rPr>
        <w:t>试验方法</w:t>
      </w:r>
    </w:p>
    <w:p>
      <w:pPr>
        <w:rPr>
          <w:color w:val="auto"/>
        </w:rPr>
      </w:pPr>
      <w:r>
        <w:rPr>
          <w:rFonts w:hint="eastAsia"/>
          <w:color w:val="auto"/>
        </w:rPr>
        <w:t>①</w:t>
      </w:r>
      <w:r>
        <w:rPr>
          <w:color w:val="auto"/>
        </w:rPr>
        <w:t>皮肤脱毛面积</w:t>
      </w:r>
    </w:p>
    <w:p>
      <w:pPr>
        <w:rPr>
          <w:color w:val="auto"/>
        </w:rPr>
      </w:pPr>
      <w:r>
        <w:rPr>
          <w:rFonts w:hint="eastAsia"/>
          <w:color w:val="auto"/>
        </w:rPr>
        <w:t>一般于动物背部脱毛，可据实验需要选择脱毛面积的大小，一般不超过动物体表面积的</w:t>
      </w:r>
      <w:r>
        <w:rPr>
          <w:color w:val="auto"/>
        </w:rPr>
        <w:t>10%。</w:t>
      </w:r>
    </w:p>
    <w:p>
      <w:pPr>
        <w:rPr>
          <w:color w:val="auto"/>
        </w:rPr>
      </w:pPr>
      <w:r>
        <w:rPr>
          <w:rFonts w:hint="eastAsia"/>
          <w:color w:val="auto"/>
        </w:rPr>
        <w:t>②</w:t>
      </w:r>
      <w:r>
        <w:rPr>
          <w:color w:val="auto"/>
        </w:rPr>
        <w:t>皮肤给药面积、皮肤破损</w:t>
      </w:r>
    </w:p>
    <w:p>
      <w:pPr>
        <w:rPr>
          <w:color w:val="auto"/>
        </w:rPr>
      </w:pPr>
      <w:r>
        <w:rPr>
          <w:rFonts w:hint="eastAsia"/>
          <w:color w:val="auto"/>
        </w:rPr>
        <w:t>完整皮肤组、破损皮肤组动物均采用相同面积的备皮进行给药，给药面积一般为动物体表面积的</w:t>
      </w:r>
      <w:r>
        <w:rPr>
          <w:color w:val="auto"/>
        </w:rPr>
        <w:t>10%。</w:t>
      </w:r>
    </w:p>
    <w:p>
      <w:pPr>
        <w:rPr>
          <w:color w:val="auto"/>
        </w:rPr>
      </w:pPr>
      <w:r>
        <w:rPr>
          <w:rFonts w:hint="eastAsia"/>
          <w:color w:val="auto"/>
        </w:rPr>
        <w:t>据动物皮肤特点采用适宜方式破损皮肤，破损程度以损伤表皮层为限。</w:t>
      </w:r>
    </w:p>
    <w:p>
      <w:pPr>
        <w:rPr>
          <w:color w:val="auto"/>
        </w:rPr>
      </w:pPr>
      <w:r>
        <w:rPr>
          <w:rFonts w:hint="eastAsia"/>
          <w:color w:val="auto"/>
        </w:rPr>
        <w:t>③</w:t>
      </w:r>
      <w:r>
        <w:rPr>
          <w:color w:val="auto"/>
        </w:rPr>
        <w:t>给药方法及时间</w:t>
      </w:r>
    </w:p>
    <w:p>
      <w:pPr>
        <w:rPr>
          <w:color w:val="auto"/>
        </w:rPr>
      </w:pPr>
      <w:r>
        <w:rPr>
          <w:rFonts w:hint="eastAsia"/>
          <w:color w:val="auto"/>
        </w:rPr>
        <w:t>局部给药时，应尽可能保证给药剂量的准确性及与局部充分接触的时间。</w:t>
      </w:r>
    </w:p>
    <w:p>
      <w:pPr>
        <w:rPr>
          <w:color w:val="auto"/>
        </w:rPr>
      </w:pPr>
      <w:r>
        <w:rPr>
          <w:rFonts w:hint="eastAsia"/>
          <w:color w:val="auto"/>
        </w:rPr>
        <w:t>即：将受试物均匀涂于动物背部完整</w:t>
      </w:r>
      <w:r>
        <w:rPr>
          <w:color w:val="auto"/>
        </w:rPr>
        <w:t>/破损皮肤的脱毛区，并用适宜方法固定，以确保药物与皮肤充分接触，一般需保持接触4～6小时（也可根据受试物特点或临床用法用量等设计）后，用温水或适当无刺激溶媒去除残留受试物或赋形剂。</w:t>
      </w:r>
    </w:p>
    <w:p>
      <w:pPr>
        <w:rPr>
          <w:color w:val="auto"/>
        </w:rPr>
      </w:pPr>
      <w:r>
        <w:rPr>
          <w:rFonts w:hint="eastAsia"/>
          <w:color w:val="auto"/>
        </w:rPr>
        <w:t>④</w:t>
      </w:r>
      <w:r>
        <w:rPr>
          <w:color w:val="auto"/>
        </w:rPr>
        <w:t>给药时间、期限及频率</w:t>
      </w:r>
    </w:p>
    <w:p>
      <w:pPr>
        <w:rPr>
          <w:color w:val="auto"/>
        </w:rPr>
      </w:pPr>
      <w:r>
        <w:rPr>
          <w:rFonts w:hint="eastAsia"/>
          <w:color w:val="auto"/>
        </w:rPr>
        <w:t>参照口服制剂长期毒性试验的一般原则。</w:t>
      </w:r>
    </w:p>
    <w:p>
      <w:pPr>
        <w:rPr>
          <w:color w:val="auto"/>
        </w:rPr>
      </w:pPr>
      <w:r>
        <w:rPr>
          <w:rFonts w:hint="eastAsia"/>
          <w:color w:val="auto"/>
        </w:rPr>
        <w:t>⑤</w:t>
      </w:r>
      <w:r>
        <w:rPr>
          <w:color w:val="auto"/>
        </w:rPr>
        <w:t>观察指标、时间和频率</w:t>
      </w:r>
    </w:p>
    <w:p>
      <w:pPr>
        <w:rPr>
          <w:color w:val="auto"/>
        </w:rPr>
      </w:pPr>
      <w:r>
        <w:rPr>
          <w:rFonts w:hint="eastAsia"/>
          <w:color w:val="auto"/>
        </w:rPr>
        <w:t>除增加给药部位皮肤及其组织乃至全身皮肤变化和皮肤及其周围组织的组织病理学检查外，其余观察和检测指标均参照口服制剂长期毒性试验的一般原则。</w:t>
      </w:r>
    </w:p>
    <w:p>
      <w:pPr>
        <w:rPr>
          <w:color w:val="auto"/>
        </w:rPr>
      </w:pPr>
      <w:r>
        <w:rPr>
          <w:rFonts w:hint="eastAsia"/>
          <w:color w:val="auto"/>
        </w:rPr>
        <w:t>（8）</w:t>
      </w:r>
      <w:r>
        <w:rPr>
          <w:color w:val="auto"/>
        </w:rPr>
        <w:t>结果及分析</w:t>
      </w:r>
    </w:p>
    <w:p>
      <w:pPr>
        <w:rPr>
          <w:color w:val="auto"/>
        </w:rPr>
      </w:pPr>
      <w:r>
        <w:rPr>
          <w:rFonts w:hint="eastAsia"/>
          <w:color w:val="auto"/>
        </w:rPr>
        <w:t>除全身毒性反应的结果分析应参照口服制剂长期毒性试验的一般原则，应详细分析并重点评价给药局部及其周围组织的毒性或</w:t>
      </w:r>
      <w:r>
        <w:rPr>
          <w:color w:val="auto"/>
        </w:rPr>
        <w:t>/和不良反应情况。</w:t>
      </w:r>
    </w:p>
    <w:p>
      <w:pPr>
        <w:rPr>
          <w:color w:val="auto"/>
        </w:rPr>
      </w:pPr>
      <w:r>
        <w:rPr>
          <w:color w:val="auto"/>
        </w:rPr>
        <w:t>2.直肠、阴道用药长期毒性试验</w:t>
      </w:r>
    </w:p>
    <w:p>
      <w:pPr>
        <w:rPr>
          <w:color w:val="auto"/>
        </w:rPr>
      </w:pPr>
      <w:r>
        <w:rPr>
          <w:rFonts w:hint="eastAsia"/>
          <w:color w:val="auto"/>
        </w:rPr>
        <w:t>直肠、阴道用药长期毒性试验是指观察受试物经直肠或阴道反复多次给药后对动物产生的毒性反应或死亡情况。</w:t>
      </w:r>
    </w:p>
    <w:p>
      <w:pPr>
        <w:rPr>
          <w:color w:val="auto"/>
        </w:rPr>
      </w:pPr>
      <w:r>
        <w:rPr>
          <w:rFonts w:hint="eastAsia"/>
          <w:color w:val="auto"/>
        </w:rPr>
        <w:t>（1）</w:t>
      </w:r>
      <w:r>
        <w:rPr>
          <w:color w:val="auto"/>
        </w:rPr>
        <w:t>试验动物</w:t>
      </w:r>
    </w:p>
    <w:p>
      <w:pPr>
        <w:rPr>
          <w:color w:val="auto"/>
        </w:rPr>
      </w:pPr>
      <w:r>
        <w:rPr>
          <w:rFonts w:hint="eastAsia"/>
          <w:color w:val="auto"/>
        </w:rPr>
        <w:t>选择大鼠或兔，雌雄各半。动物数可参照口服和皮肤给药长期毒性试验。</w:t>
      </w:r>
    </w:p>
    <w:p>
      <w:pPr>
        <w:rPr>
          <w:color w:val="auto"/>
        </w:rPr>
      </w:pPr>
      <w:r>
        <w:rPr>
          <w:rFonts w:hint="eastAsia"/>
          <w:color w:val="auto"/>
        </w:rPr>
        <w:t>（2）</w:t>
      </w:r>
      <w:r>
        <w:rPr>
          <w:color w:val="auto"/>
        </w:rPr>
        <w:t>给药剂量及组别</w:t>
      </w:r>
    </w:p>
    <w:p>
      <w:pPr>
        <w:rPr>
          <w:color w:val="auto"/>
        </w:rPr>
      </w:pPr>
      <w:r>
        <w:rPr>
          <w:rFonts w:hint="eastAsia"/>
          <w:color w:val="auto"/>
        </w:rPr>
        <w:t>一般应设计</w:t>
      </w:r>
      <w:r>
        <w:rPr>
          <w:color w:val="auto"/>
        </w:rPr>
        <w:t>3个剂量组，同时还应设赋形剂或空白对照组。</w:t>
      </w:r>
    </w:p>
    <w:p>
      <w:pPr>
        <w:rPr>
          <w:color w:val="auto"/>
        </w:rPr>
      </w:pPr>
      <w:r>
        <w:rPr>
          <w:rFonts w:hint="eastAsia"/>
          <w:color w:val="auto"/>
        </w:rPr>
        <w:t>（3）</w:t>
      </w:r>
      <w:r>
        <w:rPr>
          <w:color w:val="auto"/>
        </w:rPr>
        <w:t>给药时间</w:t>
      </w:r>
    </w:p>
    <w:p>
      <w:pPr>
        <w:rPr>
          <w:color w:val="auto"/>
        </w:rPr>
      </w:pPr>
      <w:r>
        <w:rPr>
          <w:rFonts w:hint="eastAsia"/>
          <w:color w:val="auto"/>
        </w:rPr>
        <w:t>可参照口服和皮肤给药长期毒性试验的一般原则。</w:t>
      </w:r>
    </w:p>
    <w:p>
      <w:pPr>
        <w:rPr>
          <w:color w:val="auto"/>
        </w:rPr>
      </w:pPr>
      <w:r>
        <w:rPr>
          <w:rFonts w:hint="eastAsia"/>
          <w:color w:val="auto"/>
        </w:rPr>
        <w:t>（4）</w:t>
      </w:r>
      <w:r>
        <w:rPr>
          <w:color w:val="auto"/>
        </w:rPr>
        <w:t>观察指标</w:t>
      </w:r>
    </w:p>
    <w:p>
      <w:pPr>
        <w:rPr>
          <w:color w:val="auto"/>
        </w:rPr>
      </w:pPr>
      <w:r>
        <w:rPr>
          <w:rFonts w:hint="eastAsia"/>
          <w:color w:val="auto"/>
        </w:rPr>
        <w:t>除了参照口服和皮肤给药长期毒性试验的一般原则外，还应特别注意观察直肠或阴道黏膜及其周围组织的一般情况、组织病理学检查结果等。</w:t>
      </w:r>
    </w:p>
    <w:p>
      <w:pPr>
        <w:rPr>
          <w:color w:val="auto"/>
        </w:rPr>
      </w:pPr>
      <w:r>
        <w:rPr>
          <w:rFonts w:hint="eastAsia"/>
          <w:color w:val="auto"/>
        </w:rPr>
        <w:t>（5）</w:t>
      </w:r>
      <w:r>
        <w:rPr>
          <w:color w:val="auto"/>
        </w:rPr>
        <w:t>结果及分析</w:t>
      </w:r>
    </w:p>
    <w:p>
      <w:pPr>
        <w:rPr>
          <w:color w:val="auto"/>
        </w:rPr>
      </w:pPr>
      <w:r>
        <w:rPr>
          <w:rFonts w:hint="eastAsia"/>
          <w:color w:val="auto"/>
        </w:rPr>
        <w:t>参照口服和皮肤给药长期毒性试验要求的一般原则。</w:t>
      </w:r>
    </w:p>
    <w:p>
      <w:pPr>
        <w:rPr>
          <w:color w:val="auto"/>
        </w:rPr>
      </w:pPr>
      <w:r>
        <w:rPr>
          <w:rFonts w:hint="eastAsia"/>
          <w:color w:val="auto"/>
        </w:rPr>
        <w:t>四、实验系统选择要求</w:t>
      </w:r>
    </w:p>
    <w:p>
      <w:pPr>
        <w:rPr>
          <w:color w:val="auto"/>
        </w:rPr>
      </w:pPr>
      <w:r>
        <w:rPr>
          <w:rFonts w:hint="eastAsia"/>
          <w:color w:val="auto"/>
        </w:rPr>
        <w:t>处方组成含有法定标准中标识有毒性或现代毒理学证明有毒性的药材、含有十八反和十九畏配伍禁忌的，应采用啮齿类动物（如大鼠）、非啮齿类动物（如</w:t>
      </w:r>
      <w:r>
        <w:rPr>
          <w:color w:val="auto"/>
        </w:rPr>
        <w:t>Beagle犬）两种动物进行长期毒性试验；处方组成药味用量超过药品标准规定的，一般可先进行一种啮齿类动物（如大鼠）长期毒性试验，若制剂具有较明显毒性作用，还需再进行一种非啮齿类动物（如Beagle犬）的长期毒性试验。</w:t>
      </w:r>
    </w:p>
    <w:p>
      <w:pPr>
        <w:rPr>
          <w:color w:val="auto"/>
        </w:rPr>
        <w:sectPr>
          <w:pgSz w:w="11906" w:h="16838"/>
          <w:pgMar w:top="1440" w:right="1800" w:bottom="1440" w:left="1800" w:header="851" w:footer="992" w:gutter="0"/>
          <w:cols w:space="425" w:num="1"/>
          <w:docGrid w:type="lines" w:linePitch="312" w:charSpace="0"/>
        </w:sectPr>
      </w:pPr>
      <w:r>
        <w:rPr>
          <w:rFonts w:hint="eastAsia"/>
          <w:color w:val="auto"/>
        </w:rPr>
        <w:t>对于非口服制剂，应充分考虑临床人拟给药部位组织特点和给药方式等影响因素，尽可能选择能满足毒性研究和结果评价的动物，如眼刺激试验一般选择家兔，皮肤刺激试验一般选择与人皮肤较为接近的家免、小型猪、大鼠等（具体可参照刺激性指导原则相关内容）。</w:t>
      </w:r>
    </w:p>
    <w:p>
      <w:pPr>
        <w:pStyle w:val="3"/>
        <w:rPr>
          <w:color w:val="auto"/>
        </w:rPr>
      </w:pPr>
      <w:bookmarkStart w:id="33" w:name="_Toc24813"/>
      <w:bookmarkStart w:id="34" w:name="_Toc12366"/>
      <w:r>
        <w:rPr>
          <w:rFonts w:hint="eastAsia"/>
          <w:color w:val="auto"/>
        </w:rPr>
        <w:t>第三部分</w:t>
      </w:r>
      <w:r>
        <w:rPr>
          <w:color w:val="auto"/>
        </w:rPr>
        <w:t xml:space="preserve"> 刺激性研究技术指导原则</w:t>
      </w:r>
      <w:bookmarkEnd w:id="33"/>
      <w:bookmarkEnd w:id="34"/>
    </w:p>
    <w:p>
      <w:pPr>
        <w:rPr>
          <w:color w:val="auto"/>
        </w:rPr>
      </w:pPr>
      <w:r>
        <w:rPr>
          <w:rFonts w:hint="eastAsia"/>
          <w:color w:val="auto"/>
        </w:rPr>
        <w:t>一、概述</w:t>
      </w:r>
    </w:p>
    <w:p>
      <w:pPr>
        <w:rPr>
          <w:color w:val="auto"/>
        </w:rPr>
      </w:pPr>
      <w:r>
        <w:rPr>
          <w:rFonts w:hint="eastAsia"/>
          <w:color w:val="auto"/>
        </w:rPr>
        <w:t>刺激性是指药物制剂经皮肤、粘膜、腔道等非口服途径给药，对用药局部产生的刺激性（包括红肿、充血、渗出、变性或坏死等局部反应），为医疗机构制剂临床前安全性评价的组成部分。药物的原形及其代谢物、辅料、有关物质及理化性质（如</w:t>
      </w:r>
      <w:r>
        <w:rPr>
          <w:color w:val="auto"/>
        </w:rPr>
        <w:t>pH值、渗透压等）均有可能引起刺激性的发生，因此药物在临床应用前应研究其制剂在给药部位使用后引起的局部刺激性和/或全身毒性，以提示临床应用时可能出现的刺激性反应及其靶器官、安全范围，为制剂的研发提供安全性参考信息。</w:t>
      </w:r>
    </w:p>
    <w:p>
      <w:pPr>
        <w:rPr>
          <w:color w:val="auto"/>
        </w:rPr>
      </w:pPr>
      <w:r>
        <w:rPr>
          <w:rFonts w:hint="eastAsia"/>
          <w:color w:val="auto"/>
        </w:rPr>
        <w:t>本指导原则适用于云南省医疗机构中药</w:t>
      </w:r>
      <w:r>
        <w:rPr>
          <w:color w:val="auto"/>
        </w:rPr>
        <w:t>(民族药)制剂（以下简称“制剂”）的刺激性试验研究。</w:t>
      </w:r>
    </w:p>
    <w:p>
      <w:pPr>
        <w:rPr>
          <w:color w:val="auto"/>
        </w:rPr>
      </w:pPr>
      <w:r>
        <w:rPr>
          <w:rFonts w:hint="eastAsia"/>
          <w:color w:val="auto"/>
        </w:rPr>
        <w:t>二、一般要求</w:t>
      </w:r>
    </w:p>
    <w:p>
      <w:pPr>
        <w:rPr>
          <w:color w:val="auto"/>
        </w:rPr>
      </w:pPr>
      <w:r>
        <w:rPr>
          <w:rFonts w:hint="eastAsia"/>
          <w:color w:val="auto"/>
        </w:rPr>
        <w:t>基本原则：云南省医疗机构中药（民族药）制剂情况复杂，本指导原则所提及的内容不可能完全涵盖临床前安全性研究的实际情况，因此开展研究工作时应遵循“具体问题具体分析”的原则。</w:t>
      </w:r>
    </w:p>
    <w:p>
      <w:pPr>
        <w:rPr>
          <w:color w:val="auto"/>
        </w:rPr>
      </w:pPr>
      <w:r>
        <w:rPr>
          <w:rFonts w:hint="eastAsia"/>
          <w:color w:val="auto"/>
        </w:rPr>
        <w:t>实验管理：应遵守《药物非临床研究质量管理规范》。</w:t>
      </w:r>
    </w:p>
    <w:p>
      <w:pPr>
        <w:rPr>
          <w:color w:val="auto"/>
        </w:rPr>
      </w:pPr>
      <w:r>
        <w:rPr>
          <w:rFonts w:hint="eastAsia"/>
          <w:color w:val="auto"/>
        </w:rPr>
        <w:t>试验设计：应符合随机、对照、重复的原则。</w:t>
      </w:r>
    </w:p>
    <w:p>
      <w:pPr>
        <w:rPr>
          <w:color w:val="auto"/>
        </w:rPr>
      </w:pPr>
      <w:r>
        <w:rPr>
          <w:rFonts w:hint="eastAsia"/>
          <w:color w:val="auto"/>
        </w:rPr>
        <w:t>研究机构：必须是已在国内外相关机构注册（或备案）、从事药品安全性评价或毒理研究的具有法人资格的机构。应取得相应实验动物使用许可证，具有相关研究领域的相应设备设施或者相关资质。</w:t>
      </w:r>
    </w:p>
    <w:p>
      <w:pPr>
        <w:rPr>
          <w:color w:val="auto"/>
        </w:rPr>
      </w:pPr>
      <w:r>
        <w:rPr>
          <w:rFonts w:hint="eastAsia"/>
          <w:color w:val="auto"/>
        </w:rPr>
        <w:t>实验环境：应是与实验动物级别相适应的实验环境，并能满足实验动物饲养标准要求。</w:t>
      </w:r>
    </w:p>
    <w:p>
      <w:pPr>
        <w:rPr>
          <w:color w:val="auto"/>
        </w:rPr>
      </w:pPr>
      <w:r>
        <w:rPr>
          <w:rFonts w:hint="eastAsia"/>
          <w:color w:val="auto"/>
        </w:rPr>
        <w:t>研究人员：试验项目负责人必须具备相关专业领域副高级及以上的技术职称；所有参加研究的人员必须接受过相关专业的正规培训或训练。</w:t>
      </w:r>
    </w:p>
    <w:p>
      <w:pPr>
        <w:rPr>
          <w:color w:val="auto"/>
        </w:rPr>
      </w:pPr>
      <w:r>
        <w:rPr>
          <w:rFonts w:hint="eastAsia"/>
          <w:color w:val="auto"/>
        </w:rPr>
        <w:t>受试物和对照样品的要求：应当采用制备工艺相对稳定、符合拟申报医疗机构制剂拟定的质量标准草案要求的中试样品（若因特殊情况不能提供中试样品的，需提供充分理由）。注明受试物的名称、来源、批号、含量（或规格）、保存条件及配制方法、配制单位等，并提供受试样品的检验报告。如果由于给药容量或给药方法限制，可采用提取的浸膏</w:t>
      </w:r>
      <w:r>
        <w:rPr>
          <w:color w:val="auto"/>
        </w:rPr>
        <w:t>/原料药或浓缩液或通过增加给药次数等进行试验。</w:t>
      </w:r>
    </w:p>
    <w:p>
      <w:pPr>
        <w:rPr>
          <w:color w:val="auto"/>
        </w:rPr>
      </w:pPr>
      <w:r>
        <w:rPr>
          <w:rFonts w:hint="eastAsia"/>
          <w:color w:val="auto"/>
        </w:rPr>
        <w:t>试验中所用溶媒和</w:t>
      </w:r>
      <w:r>
        <w:rPr>
          <w:color w:val="auto"/>
        </w:rPr>
        <w:t>/或辅料，应提供批号、规格、生产厂家。对照药物原则上应采用已上市的、适应症相同或类似且疗效公认的药物。</w:t>
      </w:r>
    </w:p>
    <w:p>
      <w:pPr>
        <w:rPr>
          <w:color w:val="auto"/>
        </w:rPr>
      </w:pPr>
      <w:r>
        <w:rPr>
          <w:rFonts w:hint="eastAsia"/>
          <w:color w:val="auto"/>
        </w:rPr>
        <w:t>由于中药</w:t>
      </w:r>
      <w:r>
        <w:rPr>
          <w:color w:val="auto"/>
        </w:rPr>
        <w:t>(民族药)的特殊性，建议试验中使用的受试物采用临用现配的方法配制；如果给药时间较长，建议考察配制后体积是否存在随放置时间延长而膨胀导致给药终浓度不准等因素。</w:t>
      </w:r>
    </w:p>
    <w:p>
      <w:pPr>
        <w:rPr>
          <w:color w:val="auto"/>
        </w:rPr>
      </w:pPr>
      <w:r>
        <w:rPr>
          <w:rFonts w:hint="eastAsia"/>
          <w:color w:val="auto"/>
        </w:rPr>
        <w:t>制剂生产和使用过程中，若受试物的工艺及其有关参数发生变化，并可能影响到其安全性，则应根据情况补充进行相应的安全性试验。</w:t>
      </w:r>
    </w:p>
    <w:p>
      <w:pPr>
        <w:rPr>
          <w:color w:val="auto"/>
        </w:rPr>
      </w:pPr>
      <w:r>
        <w:rPr>
          <w:rFonts w:hint="eastAsia"/>
          <w:color w:val="auto"/>
        </w:rPr>
        <w:t>三、基本内容</w:t>
      </w:r>
    </w:p>
    <w:p>
      <w:pPr>
        <w:rPr>
          <w:color w:val="auto"/>
        </w:rPr>
      </w:pPr>
      <w:r>
        <w:rPr>
          <w:rFonts w:hint="eastAsia"/>
          <w:color w:val="auto"/>
        </w:rPr>
        <w:t>考虑药物制剂的开发背景和研究基础各不相同，在进行刺激性试验研究之前应进行文献查阅，根据申报品种的立题依据、临床意义、处方来源、使用历史、有效性与安全性等背景资料进行综合考虑。研究内容应尽可能对制剂的临床前安全性进行科学、合理、充分地评价。在具体开展试验时应据受试物的特性和临床应用特点等，按以下各具体要求进行。</w:t>
      </w:r>
    </w:p>
    <w:p>
      <w:pPr>
        <w:rPr>
          <w:color w:val="auto"/>
        </w:rPr>
      </w:pPr>
      <w:r>
        <w:rPr>
          <w:rFonts w:hint="eastAsia"/>
          <w:color w:val="auto"/>
        </w:rPr>
        <w:t>（一）实验动物</w:t>
      </w:r>
    </w:p>
    <w:p>
      <w:pPr>
        <w:rPr>
          <w:color w:val="auto"/>
        </w:rPr>
      </w:pPr>
      <w:r>
        <w:rPr>
          <w:color w:val="auto"/>
        </w:rPr>
        <w:t>1.种属</w:t>
      </w:r>
    </w:p>
    <w:p>
      <w:pPr>
        <w:rPr>
          <w:color w:val="auto"/>
        </w:rPr>
      </w:pPr>
      <w:r>
        <w:rPr>
          <w:rFonts w:hint="eastAsia"/>
          <w:color w:val="auto"/>
        </w:rPr>
        <w:t>应选择与人类皮肤、粘膜等受试部位组织比较相近的动物，如兔、小型猪等，也可选用豚鼠等，但需阐明合理性。</w:t>
      </w:r>
    </w:p>
    <w:p>
      <w:pPr>
        <w:rPr>
          <w:color w:val="auto"/>
        </w:rPr>
      </w:pPr>
      <w:r>
        <w:rPr>
          <w:color w:val="auto"/>
        </w:rPr>
        <w:t>2.级别</w:t>
      </w:r>
    </w:p>
    <w:p>
      <w:pPr>
        <w:rPr>
          <w:color w:val="auto"/>
        </w:rPr>
      </w:pPr>
      <w:r>
        <w:rPr>
          <w:rFonts w:hint="eastAsia"/>
          <w:color w:val="auto"/>
        </w:rPr>
        <w:t>应符合国家有关规定的等级要求（清洁级及以上），来源、品系、遗传背景清楚，具有实验动物质量合格证。</w:t>
      </w:r>
    </w:p>
    <w:p>
      <w:pPr>
        <w:rPr>
          <w:color w:val="auto"/>
        </w:rPr>
      </w:pPr>
      <w:r>
        <w:rPr>
          <w:color w:val="auto"/>
        </w:rPr>
        <w:t>3.动物数</w:t>
      </w:r>
    </w:p>
    <w:p>
      <w:pPr>
        <w:rPr>
          <w:color w:val="auto"/>
        </w:rPr>
      </w:pPr>
      <w:r>
        <w:rPr>
          <w:rFonts w:hint="eastAsia"/>
          <w:color w:val="auto"/>
        </w:rPr>
        <w:t>根据动物种属和研究目的确定所需的动物数，但应符合试验方法及结果分析评价的需要。</w:t>
      </w:r>
    </w:p>
    <w:p>
      <w:pPr>
        <w:rPr>
          <w:color w:val="auto"/>
        </w:rPr>
      </w:pPr>
      <w:r>
        <w:rPr>
          <w:color w:val="auto"/>
        </w:rPr>
        <w:t>4.性别</w:t>
      </w:r>
    </w:p>
    <w:p>
      <w:pPr>
        <w:rPr>
          <w:color w:val="auto"/>
        </w:rPr>
      </w:pPr>
      <w:r>
        <w:rPr>
          <w:rFonts w:hint="eastAsia"/>
          <w:color w:val="auto"/>
        </w:rPr>
        <w:t>通常采用两种性别的动物进行试验，雌雄各半。若因特殊情况需采用单性别动物进行试验，应阐明其合理性。对于临床单性别的用药，则采用对应单性别动物即可。</w:t>
      </w:r>
    </w:p>
    <w:p>
      <w:pPr>
        <w:rPr>
          <w:color w:val="auto"/>
        </w:rPr>
      </w:pPr>
      <w:r>
        <w:rPr>
          <w:color w:val="auto"/>
        </w:rPr>
        <w:t>5.年龄</w:t>
      </w:r>
    </w:p>
    <w:p>
      <w:pPr>
        <w:rPr>
          <w:color w:val="auto"/>
        </w:rPr>
      </w:pPr>
      <w:r>
        <w:rPr>
          <w:rFonts w:hint="eastAsia"/>
          <w:color w:val="auto"/>
        </w:rPr>
        <w:t>通常采用健康成年动物进行试验。如果受试物拟用于或可能用于儿童或老年人群，建议采用与儿童或老年年龄段相对应的幼年或老年动物进行试验，并说明理由。</w:t>
      </w:r>
    </w:p>
    <w:p>
      <w:pPr>
        <w:rPr>
          <w:color w:val="auto"/>
        </w:rPr>
      </w:pPr>
      <w:r>
        <w:rPr>
          <w:rFonts w:hint="eastAsia"/>
          <w:color w:val="auto"/>
        </w:rPr>
        <w:t>（二）给药途径</w:t>
      </w:r>
    </w:p>
    <w:p>
      <w:pPr>
        <w:rPr>
          <w:color w:val="auto"/>
        </w:rPr>
      </w:pPr>
      <w:r>
        <w:rPr>
          <w:rFonts w:hint="eastAsia"/>
          <w:color w:val="auto"/>
        </w:rPr>
        <w:t>通常情况下给药途径应与临床用药途径一致。如不采用临床拟用途径，必须充分说明理由。</w:t>
      </w:r>
    </w:p>
    <w:p>
      <w:pPr>
        <w:rPr>
          <w:color w:val="auto"/>
        </w:rPr>
      </w:pPr>
      <w:r>
        <w:rPr>
          <w:rFonts w:hint="eastAsia"/>
          <w:color w:val="auto"/>
        </w:rPr>
        <w:t>（三）方法选择和给药剂量</w:t>
      </w:r>
    </w:p>
    <w:p>
      <w:pPr>
        <w:rPr>
          <w:color w:val="auto"/>
        </w:rPr>
      </w:pPr>
      <w:r>
        <w:rPr>
          <w:color w:val="auto"/>
        </w:rPr>
        <w:t>1.给药部位</w:t>
      </w:r>
    </w:p>
    <w:p>
      <w:pPr>
        <w:rPr>
          <w:color w:val="auto"/>
        </w:rPr>
      </w:pPr>
      <w:r>
        <w:rPr>
          <w:rFonts w:hint="eastAsia"/>
          <w:color w:val="auto"/>
        </w:rPr>
        <w:t>一般应选择与临床给药相似的部位，并观察对可能接触到受试物的周围组织的影响。</w:t>
      </w:r>
    </w:p>
    <w:p>
      <w:pPr>
        <w:rPr>
          <w:color w:val="auto"/>
        </w:rPr>
      </w:pPr>
      <w:r>
        <w:rPr>
          <w:color w:val="auto"/>
        </w:rPr>
        <w:t>2.对照组</w:t>
      </w:r>
    </w:p>
    <w:p>
      <w:pPr>
        <w:rPr>
          <w:color w:val="auto"/>
        </w:rPr>
      </w:pPr>
      <w:r>
        <w:rPr>
          <w:rFonts w:hint="eastAsia"/>
          <w:color w:val="auto"/>
        </w:rPr>
        <w:t>应设氯化钠注射液和</w:t>
      </w:r>
      <w:r>
        <w:rPr>
          <w:color w:val="auto"/>
        </w:rPr>
        <w:t>/或溶媒和/或赋形剂作为阴性对照。</w:t>
      </w:r>
    </w:p>
    <w:p>
      <w:pPr>
        <w:rPr>
          <w:color w:val="auto"/>
        </w:rPr>
      </w:pPr>
      <w:r>
        <w:rPr>
          <w:color w:val="auto"/>
        </w:rPr>
        <w:t>3.给药浓度、剂量与体积</w:t>
      </w:r>
    </w:p>
    <w:p>
      <w:pPr>
        <w:rPr>
          <w:color w:val="auto"/>
        </w:rPr>
      </w:pPr>
      <w:r>
        <w:rPr>
          <w:rFonts w:hint="eastAsia"/>
          <w:color w:val="auto"/>
        </w:rPr>
        <w:t>可选择几种不同浓度，但至少应包括临床拟用最高浓度。如果技术上难以达到临床拟用最高浓度，如皮肤刺激性试验，在给药面积不变的情况下，可通过改变给药频次进行剂量调整，而不应通过增加厚度来达到增加给药量的目的。</w:t>
      </w:r>
    </w:p>
    <w:p>
      <w:pPr>
        <w:rPr>
          <w:color w:val="auto"/>
        </w:rPr>
      </w:pPr>
      <w:r>
        <w:rPr>
          <w:rFonts w:hint="eastAsia"/>
          <w:color w:val="auto"/>
        </w:rPr>
        <w:t>设计给药浓度、剂量与体积时，应根据临床用药情况，并考虑受试动物给药部位的解剖和生理特点，保证受试物在给药部位的有效暴露。</w:t>
      </w:r>
    </w:p>
    <w:p>
      <w:pPr>
        <w:rPr>
          <w:color w:val="auto"/>
        </w:rPr>
      </w:pPr>
      <w:r>
        <w:rPr>
          <w:color w:val="auto"/>
        </w:rPr>
        <w:t>4.给药时间、频率与周期</w:t>
      </w:r>
    </w:p>
    <w:p>
      <w:pPr>
        <w:rPr>
          <w:color w:val="auto"/>
        </w:rPr>
      </w:pPr>
      <w:r>
        <w:rPr>
          <w:rFonts w:hint="eastAsia"/>
          <w:color w:val="auto"/>
        </w:rPr>
        <w:t>给予药物后，尽量保证药物与给药局部组织接触时间。</w:t>
      </w:r>
    </w:p>
    <w:p>
      <w:pPr>
        <w:rPr>
          <w:color w:val="auto"/>
        </w:rPr>
      </w:pPr>
      <w:r>
        <w:rPr>
          <w:rFonts w:hint="eastAsia"/>
          <w:color w:val="auto"/>
        </w:rPr>
        <w:t>应根据临床用药情况，设计合理的给药频率与周期。凡临床用药超过</w:t>
      </w:r>
      <w:r>
        <w:rPr>
          <w:color w:val="auto"/>
        </w:rPr>
        <w:t>1周的受试物要进行多次给药刺激试验，一般连续给药在1周以上，但最长不超过4周。</w:t>
      </w:r>
    </w:p>
    <w:p>
      <w:pPr>
        <w:rPr>
          <w:color w:val="auto"/>
        </w:rPr>
      </w:pPr>
      <w:r>
        <w:rPr>
          <w:rFonts w:hint="eastAsia"/>
          <w:color w:val="auto"/>
        </w:rPr>
        <w:t>建议进行恢复期观察，同时评价给药局部及周围组织毒性反应的可逆性。</w:t>
      </w:r>
    </w:p>
    <w:p>
      <w:pPr>
        <w:rPr>
          <w:color w:val="auto"/>
        </w:rPr>
      </w:pPr>
      <w:r>
        <w:rPr>
          <w:color w:val="auto"/>
        </w:rPr>
        <w:t>5.观察时间及指标</w:t>
      </w:r>
    </w:p>
    <w:p>
      <w:pPr>
        <w:rPr>
          <w:color w:val="auto"/>
        </w:rPr>
      </w:pPr>
      <w:r>
        <w:rPr>
          <w:rFonts w:hint="eastAsia"/>
          <w:color w:val="auto"/>
        </w:rPr>
        <w:t>（1）</w:t>
      </w:r>
      <w:r>
        <w:rPr>
          <w:color w:val="auto"/>
        </w:rPr>
        <w:t>肉眼观察：应详细描述局部反应，包括红斑、水肿、充血程度及范围等，可计分表示。同时观察动物的一般状态、行为、体征等。</w:t>
      </w:r>
    </w:p>
    <w:p>
      <w:pPr>
        <w:rPr>
          <w:color w:val="auto"/>
        </w:rPr>
      </w:pPr>
      <w:r>
        <w:rPr>
          <w:rFonts w:hint="eastAsia"/>
          <w:color w:val="auto"/>
        </w:rPr>
        <w:t>（2）</w:t>
      </w:r>
      <w:r>
        <w:rPr>
          <w:color w:val="auto"/>
        </w:rPr>
        <w:t>组织病理学检查：应详细描述给药部位的病理变化，并进行分析、判断或/和评分。必要时提供附有阳性改变的组织病理学照片且经检查者签名、病理检查单位盖章的组织病理学检查报告。</w:t>
      </w:r>
    </w:p>
    <w:p>
      <w:pPr>
        <w:rPr>
          <w:color w:val="auto"/>
        </w:rPr>
      </w:pPr>
      <w:r>
        <w:rPr>
          <w:color w:val="auto"/>
        </w:rPr>
        <w:t>6.统计方法</w:t>
      </w:r>
    </w:p>
    <w:p>
      <w:pPr>
        <w:rPr>
          <w:color w:val="auto"/>
        </w:rPr>
      </w:pPr>
      <w:r>
        <w:rPr>
          <w:rFonts w:hint="eastAsia"/>
          <w:color w:val="auto"/>
        </w:rPr>
        <w:t>应根据具体实验模型和试验方法选择合适的统计方法。</w:t>
      </w:r>
    </w:p>
    <w:p>
      <w:pPr>
        <w:rPr>
          <w:color w:val="auto"/>
        </w:rPr>
      </w:pPr>
      <w:r>
        <w:rPr>
          <w:rFonts w:hint="eastAsia"/>
          <w:color w:val="auto"/>
        </w:rPr>
        <w:t>（四）试验方法</w:t>
      </w:r>
    </w:p>
    <w:p>
      <w:pPr>
        <w:rPr>
          <w:color w:val="auto"/>
        </w:rPr>
      </w:pPr>
      <w:r>
        <w:rPr>
          <w:rFonts w:hint="eastAsia"/>
          <w:color w:val="auto"/>
        </w:rPr>
        <w:t>以下试验方法仅供参考。具体实施过程中应根据受试物的特点采用国内外公认的科学合理的试验方法，不应仅限于以下试验方法。</w:t>
      </w:r>
    </w:p>
    <w:p>
      <w:pPr>
        <w:rPr>
          <w:color w:val="auto"/>
        </w:rPr>
      </w:pPr>
      <w:r>
        <w:rPr>
          <w:color w:val="auto"/>
        </w:rPr>
        <w:t>1.皮肤刺激性试验</w:t>
      </w:r>
    </w:p>
    <w:p>
      <w:pPr>
        <w:rPr>
          <w:color w:val="auto"/>
        </w:rPr>
      </w:pPr>
      <w:r>
        <w:rPr>
          <w:rFonts w:hint="eastAsia"/>
          <w:color w:val="auto"/>
        </w:rPr>
        <w:t>皮肤刺激试验是指观察受试物短期接触动物皮肤后，在规定时间内对动物皮肤所产生的刺激反应及其它毒性反应。</w:t>
      </w:r>
    </w:p>
    <w:p>
      <w:pPr>
        <w:rPr>
          <w:color w:val="auto"/>
        </w:rPr>
      </w:pPr>
      <w:r>
        <w:rPr>
          <w:rFonts w:hint="eastAsia"/>
          <w:color w:val="auto"/>
        </w:rPr>
        <w:t>（1）</w:t>
      </w:r>
      <w:r>
        <w:rPr>
          <w:color w:val="auto"/>
        </w:rPr>
        <w:t>实验动物及分组</w:t>
      </w:r>
    </w:p>
    <w:p>
      <w:pPr>
        <w:rPr>
          <w:color w:val="auto"/>
        </w:rPr>
      </w:pPr>
      <w:r>
        <w:rPr>
          <w:rFonts w:hint="eastAsia"/>
          <w:color w:val="auto"/>
        </w:rPr>
        <w:t>一般选兔，每组动物数至少</w:t>
      </w:r>
      <w:r>
        <w:rPr>
          <w:color w:val="auto"/>
        </w:rPr>
        <w:t>4只，也可选用其它种属的动物如小型猪等，小型猪每组至少4只；每组动物一般雌、雄各半。</w:t>
      </w:r>
    </w:p>
    <w:p>
      <w:pPr>
        <w:rPr>
          <w:color w:val="auto"/>
        </w:rPr>
      </w:pPr>
      <w:r>
        <w:rPr>
          <w:rFonts w:hint="eastAsia"/>
          <w:color w:val="auto"/>
        </w:rPr>
        <w:t>应设阴性或赋形剂对照，各试验组应采用相同备皮面积的正常皮肤和破损皮肤进行局部皮肤刺激性试验，以充分暴露制剂的刺激性及可能的全身毒性，并同时观察制剂对破损皮肤的刺激作用，其中药物组应包括临床用药浓度组。</w:t>
      </w:r>
    </w:p>
    <w:p>
      <w:pPr>
        <w:rPr>
          <w:color w:val="auto"/>
        </w:rPr>
      </w:pPr>
      <w:r>
        <w:rPr>
          <w:rFonts w:hint="eastAsia"/>
          <w:color w:val="auto"/>
        </w:rPr>
        <w:t>（2）</w:t>
      </w:r>
      <w:r>
        <w:rPr>
          <w:color w:val="auto"/>
        </w:rPr>
        <w:t>给药方法</w:t>
      </w:r>
    </w:p>
    <w:p>
      <w:pPr>
        <w:rPr>
          <w:color w:val="auto"/>
        </w:rPr>
      </w:pPr>
      <w:r>
        <w:rPr>
          <w:rFonts w:hint="eastAsia"/>
          <w:color w:val="auto"/>
        </w:rPr>
        <w:t>一般应采用同体左右侧自身对比法进行试验。</w:t>
      </w:r>
    </w:p>
    <w:p>
      <w:pPr>
        <w:rPr>
          <w:color w:val="auto"/>
        </w:rPr>
      </w:pPr>
      <w:r>
        <w:rPr>
          <w:rFonts w:hint="eastAsia"/>
          <w:color w:val="auto"/>
        </w:rPr>
        <w:t>①</w:t>
      </w:r>
      <w:r>
        <w:rPr>
          <w:color w:val="auto"/>
        </w:rPr>
        <w:t>备皮</w:t>
      </w:r>
    </w:p>
    <w:p>
      <w:pPr>
        <w:rPr>
          <w:color w:val="auto"/>
        </w:rPr>
      </w:pPr>
      <w:r>
        <w:rPr>
          <w:rFonts w:hint="eastAsia"/>
          <w:color w:val="auto"/>
        </w:rPr>
        <w:t>试验前</w:t>
      </w:r>
      <w:r>
        <w:rPr>
          <w:color w:val="auto"/>
        </w:rPr>
        <w:t>1天于拟给药局部区域（通常在背部）皮肤进行脱毛处理（可剪、剃或用适宜的脱毛剂）。根据制剂的特点，一般在动物背部左右两侧去毛，范围视受试物的特性而定，一般左、右侧各3 cm×3cm～5cm×5cm。</w:t>
      </w:r>
    </w:p>
    <w:p>
      <w:pPr>
        <w:rPr>
          <w:color w:val="auto"/>
        </w:rPr>
      </w:pPr>
      <w:r>
        <w:rPr>
          <w:rFonts w:hint="eastAsia"/>
          <w:color w:val="auto"/>
        </w:rPr>
        <w:t>②</w:t>
      </w:r>
      <w:r>
        <w:rPr>
          <w:color w:val="auto"/>
        </w:rPr>
        <w:t>皮肤破损</w:t>
      </w:r>
    </w:p>
    <w:p>
      <w:pPr>
        <w:rPr>
          <w:color w:val="auto"/>
        </w:rPr>
      </w:pPr>
      <w:r>
        <w:rPr>
          <w:rFonts w:hint="eastAsia"/>
          <w:color w:val="auto"/>
        </w:rPr>
        <w:t>完整皮肤在给药前应检查去毛皮肤是否有损伤，有损伤的皮肤不宜进行试验；皮肤破损操作时，可在拟给药部位用砂纸磨或其它适当器具划“井”字或一定间距的“网格”，破损程度以损伤表皮层为限。</w:t>
      </w:r>
    </w:p>
    <w:p>
      <w:pPr>
        <w:rPr>
          <w:color w:val="auto"/>
        </w:rPr>
      </w:pPr>
      <w:r>
        <w:rPr>
          <w:rFonts w:hint="eastAsia"/>
          <w:color w:val="auto"/>
        </w:rPr>
        <w:t>③</w:t>
      </w:r>
      <w:r>
        <w:rPr>
          <w:color w:val="auto"/>
        </w:rPr>
        <w:t>给药方法及时间、期限</w:t>
      </w:r>
    </w:p>
    <w:p>
      <w:pPr>
        <w:rPr>
          <w:color w:val="auto"/>
        </w:rPr>
      </w:pPr>
      <w:r>
        <w:rPr>
          <w:rFonts w:hint="eastAsia"/>
          <w:color w:val="auto"/>
        </w:rPr>
        <w:t>一般取受试物</w:t>
      </w:r>
      <w:r>
        <w:rPr>
          <w:color w:val="auto"/>
        </w:rPr>
        <w:t>0.5mL或0.5g直接涂或敷（橡皮膏则直接粘贴）于破损皮肤和完整皮肤一侧拟给药处，再以敷料覆盖固定[一般可采用二层纱布（2.5cm×2.5cm）和一层玻璃纸或类似物覆盖，再用无刺激性胶布或绷带加以固定]。</w:t>
      </w:r>
    </w:p>
    <w:p>
      <w:pPr>
        <w:rPr>
          <w:color w:val="auto"/>
        </w:rPr>
      </w:pPr>
      <w:r>
        <w:rPr>
          <w:rFonts w:hint="eastAsia"/>
          <w:color w:val="auto"/>
        </w:rPr>
        <w:t>贴敷或受试物与皮肤接触时间可根据临床用药时间而定，且应确保受试物在局部的有效暴露浓度和时间（一般不少于</w:t>
      </w:r>
      <w:r>
        <w:rPr>
          <w:color w:val="auto"/>
        </w:rPr>
        <w:t>4小时）。贴敷结束后，除去受试物并用无刺激性溶媒（如温水）清洁给药部位。</w:t>
      </w:r>
    </w:p>
    <w:p>
      <w:pPr>
        <w:rPr>
          <w:color w:val="auto"/>
        </w:rPr>
      </w:pPr>
      <w:r>
        <w:rPr>
          <w:rFonts w:hint="eastAsia"/>
          <w:color w:val="auto"/>
        </w:rPr>
        <w:t>多次给药皮肤刺激性试验应连续在同一部位给药，每次给药时间尽量相同，给药期限一般不超过</w:t>
      </w:r>
      <w:r>
        <w:rPr>
          <w:color w:val="auto"/>
        </w:rPr>
        <w:t>4周。</w:t>
      </w:r>
    </w:p>
    <w:p>
      <w:pPr>
        <w:rPr>
          <w:color w:val="auto"/>
        </w:rPr>
      </w:pPr>
      <w:r>
        <w:rPr>
          <w:rFonts w:hint="eastAsia"/>
          <w:color w:val="auto"/>
        </w:rPr>
        <w:t>（3）</w:t>
      </w:r>
      <w:r>
        <w:rPr>
          <w:color w:val="auto"/>
        </w:rPr>
        <w:t>观察指标</w:t>
      </w:r>
    </w:p>
    <w:p>
      <w:pPr>
        <w:rPr>
          <w:color w:val="auto"/>
        </w:rPr>
      </w:pPr>
      <w:r>
        <w:rPr>
          <w:rFonts w:hint="eastAsia"/>
          <w:color w:val="auto"/>
        </w:rPr>
        <w:t>重点观察给药局部皮肤的反应，如红斑与水肿。通常在单次给药或多次给药末次贴敷去除药物后</w:t>
      </w:r>
      <w:r>
        <w:rPr>
          <w:color w:val="auto"/>
        </w:rPr>
        <w:t>30～60分钟，24、48和72小时进行观察、评分，并按相关皮肤刺激反应进行评分（参考表1）；其中，多次给药需在每天每次给药前及去除药物后适当时间进行观察，停药后每天观察1次；具体观察时间需根据受试物的特点和刺激性反应情况选择。</w:t>
      </w:r>
    </w:p>
    <w:p>
      <w:pPr>
        <w:rPr>
          <w:color w:val="auto"/>
        </w:rPr>
      </w:pPr>
      <w:r>
        <w:rPr>
          <w:rFonts w:hint="eastAsia"/>
          <w:color w:val="auto"/>
        </w:rPr>
        <w:t>若观察中存在持久性损伤，应延长观察期限以评价恢复情况和时间，延长期一般不超过</w:t>
      </w:r>
      <w:r>
        <w:rPr>
          <w:color w:val="auto"/>
        </w:rPr>
        <w:t>2周。必要时在观察结束动物安乐死，取给药局部皮肤按上述基本内容要求进行组织病理学检查并提供病理检查报告和相应组织病理学照片。</w:t>
      </w:r>
    </w:p>
    <w:p>
      <w:pPr>
        <w:rPr>
          <w:color w:val="auto"/>
        </w:rPr>
      </w:pPr>
      <w:r>
        <w:rPr>
          <w:rFonts w:hint="eastAsia"/>
          <w:color w:val="auto"/>
        </w:rPr>
        <w:t>（4）</w:t>
      </w:r>
      <w:r>
        <w:rPr>
          <w:color w:val="auto"/>
        </w:rPr>
        <w:t>结果及分析</w:t>
      </w:r>
    </w:p>
    <w:p>
      <w:pPr>
        <w:rPr>
          <w:color w:val="auto"/>
        </w:rPr>
      </w:pPr>
      <w:r>
        <w:rPr>
          <w:rFonts w:hint="eastAsia"/>
          <w:color w:val="auto"/>
        </w:rPr>
        <w:t>根据每只动物每次的评分，计算各组每一时间点皮肤反应积分的平均值（参照表</w:t>
      </w:r>
      <w:r>
        <w:rPr>
          <w:color w:val="auto"/>
        </w:rPr>
        <w:t>1）和/或观察期限内每天每只动物刺激积分均值（参照表2）进行刺激强度评价。</w:t>
      </w:r>
    </w:p>
    <w:p>
      <w:pPr>
        <w:ind w:firstLine="0" w:firstLineChars="0"/>
        <w:jc w:val="center"/>
        <w:rPr>
          <w:color w:val="auto"/>
        </w:rPr>
      </w:pPr>
      <w:r>
        <w:rPr>
          <w:rFonts w:hint="eastAsia"/>
          <w:color w:val="auto"/>
        </w:rPr>
        <w:t>表</w:t>
      </w:r>
      <w:r>
        <w:rPr>
          <w:color w:val="auto"/>
        </w:rPr>
        <w:t>1 皮肤刺激反应评分标准</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5"/>
        <w:gridCol w:w="3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5"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刺激反应</w:t>
            </w:r>
          </w:p>
        </w:tc>
        <w:tc>
          <w:tcPr>
            <w:tcW w:w="3017"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红斑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无红斑</w:t>
            </w:r>
          </w:p>
        </w:tc>
        <w:tc>
          <w:tcPr>
            <w:tcW w:w="301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轻度红斑（勉强可见）</w:t>
            </w:r>
          </w:p>
        </w:tc>
        <w:tc>
          <w:tcPr>
            <w:tcW w:w="301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中度红斑（明显可见）</w:t>
            </w:r>
          </w:p>
        </w:tc>
        <w:tc>
          <w:tcPr>
            <w:tcW w:w="301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重度红斑</w:t>
            </w:r>
          </w:p>
        </w:tc>
        <w:tc>
          <w:tcPr>
            <w:tcW w:w="301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紫红色红斑到轻度焦痂形成</w:t>
            </w:r>
          </w:p>
        </w:tc>
        <w:tc>
          <w:tcPr>
            <w:tcW w:w="301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spacing w:line="240" w:lineRule="auto"/>
              <w:ind w:firstLine="0" w:firstLineChars="0"/>
              <w:jc w:val="center"/>
              <w:rPr>
                <w:rFonts w:cs="Tahoma"/>
                <w:color w:val="auto"/>
                <w:kern w:val="0"/>
                <w:sz w:val="24"/>
                <w:szCs w:val="24"/>
              </w:rPr>
            </w:pPr>
            <w:r>
              <w:rPr>
                <w:rFonts w:cs="Tahoma"/>
                <w:b/>
                <w:bCs/>
                <w:color w:val="auto"/>
                <w:kern w:val="0"/>
                <w:sz w:val="24"/>
                <w:szCs w:val="24"/>
              </w:rPr>
              <w:t>水肿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无水肿</w:t>
            </w:r>
          </w:p>
        </w:tc>
        <w:tc>
          <w:tcPr>
            <w:tcW w:w="301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轻度水肿（勉强可见）</w:t>
            </w:r>
          </w:p>
        </w:tc>
        <w:tc>
          <w:tcPr>
            <w:tcW w:w="301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中度水肿（明显隆起）</w:t>
            </w:r>
          </w:p>
        </w:tc>
        <w:tc>
          <w:tcPr>
            <w:tcW w:w="301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重度水肿（皮肤隆起1mm，轮廓清楚）</w:t>
            </w:r>
          </w:p>
        </w:tc>
        <w:tc>
          <w:tcPr>
            <w:tcW w:w="301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严重水肿（皮肤隆起1mm以上并有扩大）</w:t>
            </w:r>
          </w:p>
        </w:tc>
        <w:tc>
          <w:tcPr>
            <w:tcW w:w="301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最高总分值 8</w:t>
            </w:r>
          </w:p>
        </w:tc>
        <w:tc>
          <w:tcPr>
            <w:tcW w:w="3017" w:type="dxa"/>
            <w:vAlign w:val="center"/>
          </w:tcPr>
          <w:p>
            <w:pPr>
              <w:spacing w:line="240" w:lineRule="auto"/>
              <w:ind w:firstLine="0" w:firstLineChars="0"/>
              <w:jc w:val="center"/>
              <w:rPr>
                <w:rFonts w:cs="Tahoma"/>
                <w:color w:val="auto"/>
                <w:kern w:val="0"/>
                <w:sz w:val="24"/>
                <w:szCs w:val="24"/>
              </w:rPr>
            </w:pPr>
          </w:p>
        </w:tc>
      </w:tr>
    </w:tbl>
    <w:p>
      <w:pPr>
        <w:ind w:firstLine="0" w:firstLineChars="0"/>
        <w:jc w:val="center"/>
        <w:rPr>
          <w:color w:val="auto"/>
        </w:rPr>
      </w:pPr>
      <w:r>
        <w:rPr>
          <w:rFonts w:hint="eastAsia"/>
          <w:color w:val="auto"/>
        </w:rPr>
        <w:t>表</w:t>
      </w:r>
      <w:r>
        <w:rPr>
          <w:color w:val="auto"/>
        </w:rPr>
        <w:t>2 皮肤刺激强度评价标准</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ascii="Tahoma" w:hAnsi="Tahoma" w:cs="Tahoma"/>
                <w:b/>
                <w:bCs/>
                <w:color w:val="auto"/>
                <w:kern w:val="0"/>
                <w:sz w:val="24"/>
                <w:szCs w:val="24"/>
              </w:rPr>
            </w:pPr>
            <w:r>
              <w:rPr>
                <w:rFonts w:ascii="Tahoma" w:hAnsi="Tahoma" w:cs="Tahoma"/>
                <w:b/>
                <w:bCs/>
                <w:color w:val="auto"/>
                <w:kern w:val="0"/>
                <w:sz w:val="24"/>
                <w:szCs w:val="24"/>
              </w:rPr>
              <w:t>分值</w:t>
            </w:r>
          </w:p>
        </w:tc>
        <w:tc>
          <w:tcPr>
            <w:tcW w:w="4261" w:type="dxa"/>
            <w:vAlign w:val="center"/>
          </w:tcPr>
          <w:p>
            <w:pPr>
              <w:spacing w:line="240" w:lineRule="auto"/>
              <w:ind w:firstLine="0" w:firstLineChars="0"/>
              <w:jc w:val="center"/>
              <w:rPr>
                <w:rFonts w:ascii="Tahoma" w:hAnsi="Tahoma" w:cs="Tahoma"/>
                <w:b/>
                <w:bCs/>
                <w:color w:val="auto"/>
                <w:kern w:val="0"/>
                <w:sz w:val="24"/>
                <w:szCs w:val="24"/>
              </w:rPr>
            </w:pPr>
            <w:r>
              <w:rPr>
                <w:rFonts w:ascii="Tahoma" w:hAnsi="Tahoma" w:cs="Tahoma"/>
                <w:b/>
                <w:bCs/>
                <w:color w:val="auto"/>
                <w:kern w:val="0"/>
                <w:sz w:val="24"/>
                <w:szCs w:val="24"/>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0～0.49</w:t>
            </w:r>
          </w:p>
        </w:tc>
        <w:tc>
          <w:tcPr>
            <w:tcW w:w="4261"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无刺激性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0.5～2.99</w:t>
            </w:r>
          </w:p>
        </w:tc>
        <w:tc>
          <w:tcPr>
            <w:tcW w:w="4261"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轻度刺激性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3.0～5.99</w:t>
            </w:r>
          </w:p>
        </w:tc>
        <w:tc>
          <w:tcPr>
            <w:tcW w:w="4261"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中度刺激性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6.0～8.00</w:t>
            </w:r>
          </w:p>
        </w:tc>
        <w:tc>
          <w:tcPr>
            <w:tcW w:w="4261"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重度刺激性</w:t>
            </w:r>
          </w:p>
        </w:tc>
      </w:tr>
    </w:tbl>
    <w:p>
      <w:pPr>
        <w:rPr>
          <w:color w:val="auto"/>
        </w:rPr>
      </w:pPr>
      <w:r>
        <w:rPr>
          <w:color w:val="auto"/>
        </w:rPr>
        <w:t>2.眼刺激试验</w:t>
      </w:r>
    </w:p>
    <w:p>
      <w:pPr>
        <w:rPr>
          <w:color w:val="auto"/>
        </w:rPr>
      </w:pPr>
      <w:r>
        <w:rPr>
          <w:rFonts w:hint="eastAsia"/>
          <w:color w:val="auto"/>
        </w:rPr>
        <w:t>眼刺激试验是指观察受试物对动物眼和粘膜的原发性刺激作用。</w:t>
      </w:r>
    </w:p>
    <w:p>
      <w:pPr>
        <w:rPr>
          <w:color w:val="auto"/>
        </w:rPr>
      </w:pPr>
      <w:r>
        <w:rPr>
          <w:rFonts w:hint="eastAsia"/>
          <w:color w:val="auto"/>
        </w:rPr>
        <w:t>（1）</w:t>
      </w:r>
      <w:r>
        <w:rPr>
          <w:color w:val="auto"/>
        </w:rPr>
        <w:t>实验动物及分组</w:t>
      </w:r>
    </w:p>
    <w:p>
      <w:pPr>
        <w:rPr>
          <w:color w:val="auto"/>
        </w:rPr>
      </w:pPr>
      <w:r>
        <w:rPr>
          <w:rFonts w:hint="eastAsia"/>
          <w:color w:val="auto"/>
        </w:rPr>
        <w:t>一般首选兔，体重</w:t>
      </w:r>
      <w:r>
        <w:rPr>
          <w:color w:val="auto"/>
        </w:rPr>
        <w:t>2～3kg；每组兔数量至少4只，雌雄各半。应设阴性对照（生理盐水）组，据情况增设赋形剂对照组。</w:t>
      </w:r>
    </w:p>
    <w:p>
      <w:pPr>
        <w:rPr>
          <w:color w:val="auto"/>
        </w:rPr>
      </w:pPr>
      <w:r>
        <w:rPr>
          <w:rFonts w:hint="eastAsia"/>
          <w:color w:val="auto"/>
        </w:rPr>
        <w:t>（2）</w:t>
      </w:r>
      <w:r>
        <w:rPr>
          <w:color w:val="auto"/>
        </w:rPr>
        <w:t>给药方法及时间、期限</w:t>
      </w:r>
    </w:p>
    <w:p>
      <w:pPr>
        <w:rPr>
          <w:color w:val="auto"/>
        </w:rPr>
      </w:pPr>
      <w:r>
        <w:rPr>
          <w:rFonts w:hint="eastAsia"/>
          <w:color w:val="auto"/>
        </w:rPr>
        <w:t>可采用同体左右侧自身对比法。</w:t>
      </w:r>
    </w:p>
    <w:p>
      <w:pPr>
        <w:rPr>
          <w:color w:val="auto"/>
        </w:rPr>
      </w:pPr>
      <w:r>
        <w:rPr>
          <w:rFonts w:hint="eastAsia"/>
          <w:color w:val="auto"/>
        </w:rPr>
        <w:t>即：一只眼给受试物，另一只眼给阴性或赋形剂做对照。一般给药眼每只滴入</w:t>
      </w:r>
      <w:r>
        <w:rPr>
          <w:color w:val="auto"/>
        </w:rPr>
        <w:t>0.05～0.1mL或涂敷0.1g受试物，给药后应使兔眼闭合10秒钟左右或适当时间，以保证药物充分暴露。</w:t>
      </w:r>
    </w:p>
    <w:p>
      <w:pPr>
        <w:rPr>
          <w:color w:val="auto"/>
        </w:rPr>
      </w:pPr>
      <w:r>
        <w:rPr>
          <w:rFonts w:hint="eastAsia"/>
          <w:color w:val="auto"/>
        </w:rPr>
        <w:t>据受试物临床拟用方法及期限确定动物给药时间、频率及期限。凡临床用药超过</w:t>
      </w:r>
      <w:r>
        <w:rPr>
          <w:color w:val="auto"/>
        </w:rPr>
        <w:t>1周的受试物应进行多次给药刺激试验，每天给药次数应不少于临床用药频率，连续给药1周以上。</w:t>
      </w:r>
    </w:p>
    <w:p>
      <w:pPr>
        <w:rPr>
          <w:color w:val="auto"/>
        </w:rPr>
      </w:pPr>
      <w:r>
        <w:rPr>
          <w:rFonts w:hint="eastAsia"/>
          <w:color w:val="auto"/>
        </w:rPr>
        <w:t>（3）</w:t>
      </w:r>
      <w:r>
        <w:rPr>
          <w:color w:val="auto"/>
        </w:rPr>
        <w:t>观察指标</w:t>
      </w:r>
    </w:p>
    <w:p>
      <w:pPr>
        <w:rPr>
          <w:color w:val="auto"/>
        </w:rPr>
      </w:pPr>
      <w:r>
        <w:rPr>
          <w:rFonts w:hint="eastAsia"/>
          <w:color w:val="auto"/>
        </w:rPr>
        <w:t>根据受试物的特点和刺激性反应选择适当的观察时间。通常为每天给药前以及单次给药后或多次给药末次给药后</w:t>
      </w:r>
      <w:r>
        <w:rPr>
          <w:color w:val="auto"/>
        </w:rPr>
        <w:t>1、2、4、24、48和72小时，观察眼的局部反应情况。一般采用裂隙灯进行眼刺激反应检查，如角膜透明度和虹膜纹理改变等，也可根据刺激性反应情况采用其他的合适器械。在整个观察过程中应进行荧光素钠染色检查，以了解角膜损害情况。观察结束动物安乐死，取眼及周围组织进行组织病理学检查并提供病理检查报告和相应组织病理学照片。</w:t>
      </w:r>
    </w:p>
    <w:p>
      <w:pPr>
        <w:rPr>
          <w:color w:val="auto"/>
        </w:rPr>
      </w:pPr>
      <w:r>
        <w:rPr>
          <w:rFonts w:hint="eastAsia"/>
          <w:color w:val="auto"/>
        </w:rPr>
        <w:t>每次检查应记录眼部异常反应，并参考表</w:t>
      </w:r>
      <w:r>
        <w:rPr>
          <w:color w:val="auto"/>
        </w:rPr>
        <w:t>3进行计算分值，如存在持久性损伤，应延长观察期限，一般不超过21天。</w:t>
      </w:r>
    </w:p>
    <w:p>
      <w:pPr>
        <w:rPr>
          <w:color w:val="auto"/>
        </w:rPr>
      </w:pPr>
      <w:r>
        <w:rPr>
          <w:rFonts w:hint="eastAsia"/>
          <w:color w:val="auto"/>
        </w:rPr>
        <w:t>（4）</w:t>
      </w:r>
      <w:r>
        <w:rPr>
          <w:color w:val="auto"/>
        </w:rPr>
        <w:t>结果及分析</w:t>
      </w:r>
    </w:p>
    <w:p>
      <w:pPr>
        <w:rPr>
          <w:color w:val="auto"/>
        </w:rPr>
      </w:pPr>
      <w:r>
        <w:rPr>
          <w:rFonts w:hint="eastAsia"/>
          <w:color w:val="auto"/>
        </w:rPr>
        <w:t>按眼刺激反应分值标准（表</w:t>
      </w:r>
      <w:r>
        <w:rPr>
          <w:color w:val="auto"/>
        </w:rPr>
        <w:t>3），将每一个观察时间每一动物的眼角膜、虹膜和结膜的刺激反应分值相加得总积分，将一组的积分总和除以动物数，即得最后分值，再参照表4判断眼刺激性及其程度。</w:t>
      </w:r>
    </w:p>
    <w:p>
      <w:pPr>
        <w:ind w:firstLine="0" w:firstLineChars="0"/>
        <w:jc w:val="center"/>
        <w:rPr>
          <w:color w:val="auto"/>
        </w:rPr>
      </w:pPr>
      <w:r>
        <w:rPr>
          <w:rFonts w:hint="eastAsia"/>
          <w:color w:val="auto"/>
        </w:rPr>
        <w:t>表</w:t>
      </w:r>
      <w:r>
        <w:rPr>
          <w:color w:val="auto"/>
        </w:rPr>
        <w:t>3 眼刺激反应分值标准</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2"/>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b/>
                <w:bCs/>
                <w:color w:val="auto"/>
                <w:kern w:val="0"/>
                <w:sz w:val="24"/>
                <w:szCs w:val="24"/>
              </w:rPr>
            </w:pPr>
            <w:r>
              <w:rPr>
                <w:rFonts w:ascii="Tahoma" w:hAnsi="Tahoma" w:cs="Tahoma"/>
                <w:b/>
                <w:bCs/>
                <w:color w:val="auto"/>
                <w:kern w:val="0"/>
                <w:sz w:val="24"/>
                <w:szCs w:val="24"/>
              </w:rPr>
              <w:t>眼刺激反应</w:t>
            </w:r>
          </w:p>
        </w:tc>
        <w:tc>
          <w:tcPr>
            <w:tcW w:w="1430"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b/>
                <w:bCs/>
                <w:color w:val="auto"/>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spacing w:line="240" w:lineRule="auto"/>
              <w:ind w:firstLine="0" w:firstLineChars="0"/>
              <w:jc w:val="center"/>
              <w:rPr>
                <w:rFonts w:ascii="Tahoma" w:hAnsi="Tahoma" w:cs="Tahoma"/>
                <w:color w:val="auto"/>
                <w:kern w:val="0"/>
                <w:sz w:val="24"/>
                <w:szCs w:val="24"/>
              </w:rPr>
            </w:pPr>
            <w:r>
              <w:rPr>
                <w:rFonts w:ascii="Tahoma" w:hAnsi="Tahoma" w:cs="Tahoma"/>
                <w:b/>
                <w:bCs/>
                <w:color w:val="auto"/>
                <w:kern w:val="0"/>
                <w:sz w:val="24"/>
                <w:szCs w:val="24"/>
              </w:rPr>
              <w:t>角膜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无混浊</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散在或弥漫性混浊，虹膜清晰可见</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半透明区易分辨，虹膜模糊不清</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出现灰白色半透明区，虹膜细节不清，瞳孔大小勉强可见</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角膜不透明，虹膜无法辨认</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spacing w:line="240" w:lineRule="auto"/>
              <w:ind w:firstLine="0" w:firstLineChars="0"/>
              <w:jc w:val="center"/>
              <w:rPr>
                <w:rFonts w:ascii="Tahoma" w:hAnsi="Tahoma" w:cs="Tahoma"/>
                <w:color w:val="auto"/>
                <w:kern w:val="0"/>
                <w:sz w:val="24"/>
                <w:szCs w:val="24"/>
              </w:rPr>
            </w:pPr>
            <w:r>
              <w:rPr>
                <w:rFonts w:ascii="Tahoma" w:hAnsi="Tahoma" w:cs="Tahoma"/>
                <w:b/>
                <w:bCs/>
                <w:color w:val="auto"/>
                <w:kern w:val="0"/>
                <w:sz w:val="24"/>
                <w:szCs w:val="24"/>
              </w:rPr>
              <w:t>虹膜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正常</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皱褶明显加深、充血、肿胀，角膜周围轻度充血，瞳孔对光仍有反应</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出血/肉眼可见坏死/对光无反应（或其中一种）</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spacing w:line="240" w:lineRule="auto"/>
              <w:ind w:firstLine="0" w:firstLineChars="0"/>
              <w:jc w:val="center"/>
              <w:rPr>
                <w:rFonts w:ascii="Tahoma" w:hAnsi="Tahoma" w:cs="Tahoma"/>
                <w:color w:val="auto"/>
                <w:kern w:val="0"/>
                <w:sz w:val="24"/>
                <w:szCs w:val="24"/>
              </w:rPr>
            </w:pPr>
            <w:r>
              <w:rPr>
                <w:rFonts w:ascii="Tahoma" w:hAnsi="Tahoma" w:cs="Tahoma"/>
                <w:b/>
                <w:bCs/>
                <w:color w:val="auto"/>
                <w:kern w:val="0"/>
                <w:sz w:val="24"/>
                <w:szCs w:val="24"/>
              </w:rPr>
              <w:t>结膜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充血（指睑结膜和球结膜）</w:t>
            </w:r>
          </w:p>
        </w:tc>
        <w:tc>
          <w:tcPr>
            <w:tcW w:w="1430" w:type="dxa"/>
            <w:vAlign w:val="center"/>
          </w:tcPr>
          <w:p>
            <w:pPr>
              <w:spacing w:line="240" w:lineRule="auto"/>
              <w:ind w:firstLine="0" w:firstLineChars="0"/>
              <w:jc w:val="center"/>
              <w:rPr>
                <w:rFonts w:ascii="Tahoma" w:hAnsi="Tahoma"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血管正常</w:t>
            </w:r>
          </w:p>
        </w:tc>
        <w:tc>
          <w:tcPr>
            <w:tcW w:w="143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血管充血呈鲜红色</w:t>
            </w:r>
          </w:p>
        </w:tc>
        <w:tc>
          <w:tcPr>
            <w:tcW w:w="143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血管充血呈深红色，血管不易分辨</w:t>
            </w:r>
          </w:p>
        </w:tc>
        <w:tc>
          <w:tcPr>
            <w:tcW w:w="143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弥漫性充血呈紫红色</w:t>
            </w:r>
          </w:p>
        </w:tc>
        <w:tc>
          <w:tcPr>
            <w:tcW w:w="143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spacing w:line="240" w:lineRule="auto"/>
              <w:ind w:firstLine="0" w:firstLineChars="0"/>
              <w:jc w:val="center"/>
              <w:rPr>
                <w:rFonts w:ascii="Tahoma" w:hAnsi="Tahoma" w:cs="Tahoma"/>
                <w:color w:val="auto"/>
                <w:kern w:val="0"/>
                <w:sz w:val="24"/>
                <w:szCs w:val="24"/>
              </w:rPr>
            </w:pPr>
            <w:r>
              <w:rPr>
                <w:rFonts w:ascii="Tahoma" w:hAnsi="Tahoma" w:cs="Tahoma"/>
                <w:b/>
                <w:bCs/>
                <w:color w:val="auto"/>
                <w:kern w:val="0"/>
                <w:sz w:val="24"/>
                <w:szCs w:val="24"/>
              </w:rPr>
              <w:t>水肿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b/>
                <w:bCs/>
                <w:color w:val="auto"/>
                <w:kern w:val="0"/>
                <w:sz w:val="24"/>
                <w:szCs w:val="24"/>
              </w:rPr>
            </w:pPr>
            <w:r>
              <w:rPr>
                <w:rFonts w:ascii="Tahoma" w:hAnsi="Tahoma" w:cs="Tahoma"/>
                <w:color w:val="auto"/>
                <w:kern w:val="0"/>
                <w:sz w:val="24"/>
                <w:szCs w:val="24"/>
              </w:rPr>
              <w:t>无水肿</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轻微水肿（含眼睑）</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明显水肿伴部分眼睑外翻</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水肿至眼睑近半闭合</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水肿至眼睑超过半闭合</w:t>
            </w:r>
          </w:p>
        </w:tc>
        <w:tc>
          <w:tcPr>
            <w:tcW w:w="1430" w:type="dxa"/>
            <w:vAlign w:val="center"/>
          </w:tcPr>
          <w:p>
            <w:pPr>
              <w:spacing w:line="240" w:lineRule="auto"/>
              <w:ind w:firstLine="0" w:firstLineChars="0"/>
              <w:jc w:val="center"/>
              <w:rPr>
                <w:rFonts w:ascii="Times New Roman" w:hAnsi="Times New Roman" w:cs="Times New Roman"/>
                <w:color w:val="auto"/>
                <w:kern w:val="0"/>
                <w:sz w:val="24"/>
                <w:szCs w:val="24"/>
              </w:rPr>
            </w:pPr>
            <w:r>
              <w:rPr>
                <w:rFonts w:ascii="Times New Roman" w:hAnsi="Times New Roman" w:cs="Times New Roman"/>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spacing w:line="240" w:lineRule="auto"/>
              <w:ind w:firstLine="0" w:firstLineChars="0"/>
              <w:jc w:val="center"/>
              <w:rPr>
                <w:rFonts w:ascii="Tahoma" w:hAnsi="Tahoma" w:cs="Tahoma"/>
                <w:color w:val="auto"/>
                <w:kern w:val="0"/>
                <w:sz w:val="24"/>
                <w:szCs w:val="24"/>
              </w:rPr>
            </w:pPr>
            <w:r>
              <w:rPr>
                <w:rFonts w:ascii="Tahoma" w:hAnsi="Tahoma" w:cs="Tahoma"/>
                <w:b/>
                <w:bCs/>
                <w:color w:val="auto"/>
                <w:kern w:val="0"/>
                <w:sz w:val="24"/>
                <w:szCs w:val="24"/>
              </w:rPr>
              <w:t>分泌物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b/>
                <w:bCs/>
                <w:color w:val="auto"/>
                <w:kern w:val="0"/>
                <w:sz w:val="24"/>
                <w:szCs w:val="24"/>
              </w:rPr>
            </w:pPr>
            <w:r>
              <w:rPr>
                <w:rFonts w:ascii="Tahoma" w:hAnsi="Tahoma" w:cs="Tahoma"/>
                <w:color w:val="auto"/>
                <w:kern w:val="0"/>
                <w:sz w:val="24"/>
                <w:szCs w:val="24"/>
              </w:rPr>
              <w:t>无分泌物</w:t>
            </w:r>
          </w:p>
        </w:tc>
        <w:tc>
          <w:tcPr>
            <w:tcW w:w="143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b/>
                <w:bCs/>
                <w:color w:val="auto"/>
                <w:kern w:val="0"/>
                <w:sz w:val="24"/>
                <w:szCs w:val="24"/>
              </w:rPr>
            </w:pPr>
            <w:r>
              <w:rPr>
                <w:rFonts w:ascii="Tahoma" w:hAnsi="Tahoma" w:cs="Tahoma"/>
                <w:color w:val="auto"/>
                <w:kern w:val="0"/>
                <w:sz w:val="24"/>
                <w:szCs w:val="24"/>
              </w:rPr>
              <w:t>少量分泌物</w:t>
            </w:r>
          </w:p>
        </w:tc>
        <w:tc>
          <w:tcPr>
            <w:tcW w:w="143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分泌物使眼睑和睫毛潮湿或粘着</w:t>
            </w:r>
          </w:p>
        </w:tc>
        <w:tc>
          <w:tcPr>
            <w:tcW w:w="143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分泌物使整个眼区潮湿或粘着</w:t>
            </w:r>
          </w:p>
        </w:tc>
        <w:tc>
          <w:tcPr>
            <w:tcW w:w="143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最大总积分</w:t>
            </w:r>
          </w:p>
        </w:tc>
        <w:tc>
          <w:tcPr>
            <w:tcW w:w="143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16</w:t>
            </w:r>
          </w:p>
        </w:tc>
      </w:tr>
    </w:tbl>
    <w:p>
      <w:pPr>
        <w:ind w:firstLine="0" w:firstLineChars="0"/>
        <w:jc w:val="center"/>
        <w:rPr>
          <w:color w:val="auto"/>
        </w:rPr>
      </w:pPr>
      <w:r>
        <w:rPr>
          <w:rFonts w:hint="eastAsia"/>
          <w:color w:val="auto"/>
        </w:rPr>
        <w:t>表</w:t>
      </w:r>
      <w:r>
        <w:rPr>
          <w:color w:val="auto"/>
        </w:rPr>
        <w:t>4 眼刺激性评价标准</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ascii="Tahoma" w:hAnsi="Tahoma" w:cs="Tahoma"/>
                <w:b/>
                <w:bCs/>
                <w:color w:val="auto"/>
                <w:kern w:val="0"/>
                <w:sz w:val="24"/>
                <w:szCs w:val="24"/>
              </w:rPr>
            </w:pPr>
            <w:r>
              <w:rPr>
                <w:rFonts w:ascii="Tahoma" w:hAnsi="Tahoma" w:cs="Tahoma"/>
                <w:b/>
                <w:bCs/>
                <w:color w:val="auto"/>
                <w:kern w:val="0"/>
                <w:sz w:val="24"/>
                <w:szCs w:val="24"/>
              </w:rPr>
              <w:t>分值</w:t>
            </w:r>
          </w:p>
        </w:tc>
        <w:tc>
          <w:tcPr>
            <w:tcW w:w="4261" w:type="dxa"/>
            <w:vAlign w:val="center"/>
          </w:tcPr>
          <w:p>
            <w:pPr>
              <w:spacing w:line="240" w:lineRule="auto"/>
              <w:ind w:firstLine="0" w:firstLineChars="0"/>
              <w:jc w:val="center"/>
              <w:rPr>
                <w:rFonts w:ascii="Tahoma" w:hAnsi="Tahoma" w:cs="Tahoma"/>
                <w:b/>
                <w:bCs/>
                <w:color w:val="auto"/>
                <w:kern w:val="0"/>
                <w:sz w:val="24"/>
                <w:szCs w:val="24"/>
              </w:rPr>
            </w:pPr>
            <w:r>
              <w:rPr>
                <w:rFonts w:ascii="Tahoma" w:hAnsi="Tahoma" w:cs="Tahoma"/>
                <w:b/>
                <w:bCs/>
                <w:color w:val="auto"/>
                <w:kern w:val="0"/>
                <w:sz w:val="24"/>
                <w:szCs w:val="24"/>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0～3</w:t>
            </w:r>
          </w:p>
        </w:tc>
        <w:tc>
          <w:tcPr>
            <w:tcW w:w="4261"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无刺激性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4～8</w:t>
            </w:r>
          </w:p>
        </w:tc>
        <w:tc>
          <w:tcPr>
            <w:tcW w:w="4261"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轻度刺激性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9～12</w:t>
            </w:r>
          </w:p>
        </w:tc>
        <w:tc>
          <w:tcPr>
            <w:tcW w:w="4261"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中度刺激性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13～16</w:t>
            </w:r>
          </w:p>
        </w:tc>
        <w:tc>
          <w:tcPr>
            <w:tcW w:w="4261"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重度刺激性</w:t>
            </w:r>
          </w:p>
        </w:tc>
      </w:tr>
    </w:tbl>
    <w:p>
      <w:pPr>
        <w:rPr>
          <w:color w:val="auto"/>
        </w:rPr>
      </w:pPr>
      <w:r>
        <w:rPr>
          <w:color w:val="auto"/>
        </w:rPr>
        <w:t>3.鼻腔给药刺激性试验</w:t>
      </w:r>
    </w:p>
    <w:p>
      <w:pPr>
        <w:rPr>
          <w:color w:val="auto"/>
        </w:rPr>
      </w:pPr>
      <w:r>
        <w:rPr>
          <w:rFonts w:hint="eastAsia"/>
          <w:color w:val="auto"/>
        </w:rPr>
        <w:t>鼻腔给药刺激性试验是指观察受试物一次或多次滴入、吸入后对动物所产生的局部刺激作用和全身反应状况。</w:t>
      </w:r>
    </w:p>
    <w:p>
      <w:pPr>
        <w:rPr>
          <w:color w:val="auto"/>
        </w:rPr>
      </w:pPr>
      <w:r>
        <w:rPr>
          <w:rFonts w:hint="eastAsia"/>
          <w:color w:val="auto"/>
        </w:rPr>
        <w:t>（1）</w:t>
      </w:r>
      <w:r>
        <w:rPr>
          <w:color w:val="auto"/>
        </w:rPr>
        <w:t>实验动物及分组</w:t>
      </w:r>
    </w:p>
    <w:p>
      <w:pPr>
        <w:rPr>
          <w:color w:val="auto"/>
        </w:rPr>
      </w:pPr>
      <w:r>
        <w:rPr>
          <w:rFonts w:hint="eastAsia"/>
          <w:color w:val="auto"/>
        </w:rPr>
        <w:t>选择大鼠、豚鼠或兔，大鼠、豚鼠体重</w:t>
      </w:r>
      <w:r>
        <w:rPr>
          <w:color w:val="auto"/>
        </w:rPr>
        <w:t>250～300g，家兔体重2～3kg。每组动物数分别为兔至少4只、大鼠或豚鼠至少6只；雌雄各半。</w:t>
      </w:r>
    </w:p>
    <w:p>
      <w:pPr>
        <w:rPr>
          <w:color w:val="auto"/>
        </w:rPr>
      </w:pPr>
      <w:r>
        <w:rPr>
          <w:rFonts w:hint="eastAsia"/>
          <w:color w:val="auto"/>
        </w:rPr>
        <w:t>一般应设置三个剂量组，据情况同设赋形剂或空白对照组</w:t>
      </w:r>
      <w:r>
        <w:rPr>
          <w:color w:val="auto"/>
        </w:rPr>
        <w:t>/阴性对照（生理盐水）组。</w:t>
      </w:r>
    </w:p>
    <w:p>
      <w:pPr>
        <w:rPr>
          <w:color w:val="auto"/>
        </w:rPr>
      </w:pPr>
      <w:r>
        <w:rPr>
          <w:rFonts w:hint="eastAsia"/>
          <w:color w:val="auto"/>
        </w:rPr>
        <w:t>（2）</w:t>
      </w:r>
      <w:r>
        <w:rPr>
          <w:color w:val="auto"/>
        </w:rPr>
        <w:t>给药方法及时间、期限</w:t>
      </w:r>
    </w:p>
    <w:p>
      <w:pPr>
        <w:rPr>
          <w:color w:val="auto"/>
        </w:rPr>
      </w:pPr>
      <w:r>
        <w:rPr>
          <w:rFonts w:hint="eastAsia"/>
          <w:color w:val="auto"/>
        </w:rPr>
        <w:t>根据受试物特点，采用合适的方法将受试物经动物鼻腔给予后，尽量保证药物接触鼻腔时间。</w:t>
      </w:r>
    </w:p>
    <w:p>
      <w:pPr>
        <w:rPr>
          <w:color w:val="auto"/>
        </w:rPr>
      </w:pPr>
      <w:r>
        <w:rPr>
          <w:rFonts w:hint="eastAsia"/>
          <w:color w:val="auto"/>
        </w:rPr>
        <w:t>据受试物临床拟用方法及期限确定动物给药时间、频率及期限。临床用药超过</w:t>
      </w:r>
      <w:r>
        <w:rPr>
          <w:color w:val="auto"/>
        </w:rPr>
        <w:t>1周的受试物应进行多次给药刺激试验，每天给药次数应不少于临床用药频率，连续给药在1周以上。</w:t>
      </w:r>
    </w:p>
    <w:p>
      <w:pPr>
        <w:rPr>
          <w:color w:val="auto"/>
        </w:rPr>
      </w:pPr>
      <w:r>
        <w:rPr>
          <w:rFonts w:hint="eastAsia"/>
          <w:color w:val="auto"/>
        </w:rPr>
        <w:t>（3）</w:t>
      </w:r>
      <w:r>
        <w:rPr>
          <w:color w:val="auto"/>
        </w:rPr>
        <w:t>观察指标</w:t>
      </w:r>
    </w:p>
    <w:p>
      <w:pPr>
        <w:rPr>
          <w:color w:val="auto"/>
        </w:rPr>
      </w:pPr>
      <w:r>
        <w:rPr>
          <w:rFonts w:hint="eastAsia"/>
          <w:color w:val="auto"/>
        </w:rPr>
        <w:t>给药后观察动物全身状况（如呼吸、循环、中枢神经系统）及局部刺激症状（如哮喘、咳嗽、呕吐、窒息等症状）等。单次给药</w:t>
      </w:r>
      <w:r>
        <w:rPr>
          <w:color w:val="auto"/>
        </w:rPr>
        <w:t>24小时后或多次给药停药后24小时动物安乐死，重点观察呼吸道局部（鼻、喉、气管、支气管）粘膜组织有无充血、红肿等现象，并对上述呼吸道局部粘膜组织进行病理组织学检查并提供相应病理学检查报告和组织病理学照片。</w:t>
      </w:r>
    </w:p>
    <w:p>
      <w:pPr>
        <w:rPr>
          <w:color w:val="auto"/>
        </w:rPr>
      </w:pPr>
      <w:r>
        <w:rPr>
          <w:rFonts w:hint="eastAsia"/>
          <w:color w:val="auto"/>
        </w:rPr>
        <w:t>（4）</w:t>
      </w:r>
      <w:r>
        <w:rPr>
          <w:color w:val="auto"/>
        </w:rPr>
        <w:t>结果及分析</w:t>
      </w:r>
    </w:p>
    <w:p>
      <w:pPr>
        <w:rPr>
          <w:color w:val="auto"/>
        </w:rPr>
      </w:pPr>
      <w:r>
        <w:rPr>
          <w:rFonts w:hint="eastAsia"/>
          <w:color w:val="auto"/>
        </w:rPr>
        <w:t>将观察结果与对照组进行比较，并结合组织病理学检查结果对受试物的刺激性及其程度进行分析判断。</w:t>
      </w:r>
    </w:p>
    <w:p>
      <w:pPr>
        <w:rPr>
          <w:color w:val="auto"/>
        </w:rPr>
      </w:pPr>
      <w:r>
        <w:rPr>
          <w:color w:val="auto"/>
        </w:rPr>
        <w:t>4.口腔给药刺激性试验</w:t>
      </w:r>
    </w:p>
    <w:p>
      <w:pPr>
        <w:rPr>
          <w:color w:val="auto"/>
        </w:rPr>
      </w:pPr>
      <w:r>
        <w:rPr>
          <w:rFonts w:hint="eastAsia"/>
          <w:color w:val="auto"/>
        </w:rPr>
        <w:t>口腔给药刺激性试验是指观察受试物一次给予后对动物口腔粘黏膜所产生的刺激性作用。</w:t>
      </w:r>
    </w:p>
    <w:p>
      <w:pPr>
        <w:rPr>
          <w:color w:val="auto"/>
        </w:rPr>
      </w:pPr>
      <w:r>
        <w:rPr>
          <w:rFonts w:hint="eastAsia"/>
          <w:color w:val="auto"/>
        </w:rPr>
        <w:t>（1）</w:t>
      </w:r>
      <w:r>
        <w:rPr>
          <w:color w:val="auto"/>
        </w:rPr>
        <w:t>实验动物及分组</w:t>
      </w:r>
    </w:p>
    <w:p>
      <w:pPr>
        <w:rPr>
          <w:color w:val="auto"/>
        </w:rPr>
      </w:pPr>
      <w:r>
        <w:rPr>
          <w:rFonts w:hint="eastAsia"/>
          <w:color w:val="auto"/>
        </w:rPr>
        <w:t>首选金黄地鼠，也可选兔，金黄地鼠体重</w:t>
      </w:r>
      <w:r>
        <w:rPr>
          <w:color w:val="auto"/>
        </w:rPr>
        <w:t>250～300g，家兔体重2～3kg。每组动物数分别为兔6只、金黄地鼠10只；雌雄各半。</w:t>
      </w:r>
    </w:p>
    <w:p>
      <w:pPr>
        <w:rPr>
          <w:color w:val="auto"/>
        </w:rPr>
      </w:pPr>
      <w:r>
        <w:rPr>
          <w:rFonts w:hint="eastAsia"/>
          <w:color w:val="auto"/>
        </w:rPr>
        <w:t>一般设一个制剂剂量组，可视受试物特点增设一个高剂量组，并据情况同设阴性对照组或</w:t>
      </w:r>
      <w:r>
        <w:rPr>
          <w:color w:val="auto"/>
        </w:rPr>
        <w:t>/和溶媒对照、赋形剂对照组；此外，可据受试物毒性暴露情况可采用破损粘膜进行试验。</w:t>
      </w:r>
    </w:p>
    <w:p>
      <w:pPr>
        <w:rPr>
          <w:color w:val="auto"/>
        </w:rPr>
      </w:pPr>
      <w:r>
        <w:rPr>
          <w:rFonts w:hint="eastAsia"/>
          <w:color w:val="auto"/>
        </w:rPr>
        <w:t>（2）</w:t>
      </w:r>
      <w:r>
        <w:rPr>
          <w:color w:val="auto"/>
        </w:rPr>
        <w:t>给药方法及时间、期限</w:t>
      </w:r>
    </w:p>
    <w:p>
      <w:pPr>
        <w:rPr>
          <w:color w:val="auto"/>
        </w:rPr>
      </w:pPr>
      <w:r>
        <w:rPr>
          <w:rFonts w:hint="eastAsia"/>
          <w:color w:val="auto"/>
        </w:rPr>
        <w:t>根据受试物特点，可采用左、右侧颊囊自身对照的方法，也可分别设不同试验组进行试验。给药前先用生理盐水清洗颊囊，再将供试品置于动物颊囊极低</w:t>
      </w:r>
      <w:r>
        <w:rPr>
          <w:color w:val="auto"/>
        </w:rPr>
        <w:t>/深处，尽量保持接触至少4小时。若受试物为液体，则可在重量为0.02g的消毒棉球注入1.5mL药液后再置入颊囊。其中，给药前需对动物麻醉后再进行颊囊粘膜的破损操作。</w:t>
      </w:r>
    </w:p>
    <w:p>
      <w:pPr>
        <w:rPr>
          <w:color w:val="auto"/>
        </w:rPr>
      </w:pPr>
      <w:r>
        <w:rPr>
          <w:rFonts w:hint="eastAsia"/>
          <w:color w:val="auto"/>
        </w:rPr>
        <w:t>据受试物临床拟用方法及期限确定动物给药时间、频率及期限。临床用药超过</w:t>
      </w:r>
      <w:r>
        <w:rPr>
          <w:color w:val="auto"/>
        </w:rPr>
        <w:t>1周的受试物应进行多次给药刺激试验，每天给药次数应不少于临床用药频率，连续给药在1周以上。</w:t>
      </w:r>
    </w:p>
    <w:p>
      <w:pPr>
        <w:rPr>
          <w:color w:val="auto"/>
        </w:rPr>
      </w:pPr>
      <w:r>
        <w:rPr>
          <w:rFonts w:hint="eastAsia"/>
          <w:color w:val="auto"/>
        </w:rPr>
        <w:t>（3）</w:t>
      </w:r>
      <w:r>
        <w:rPr>
          <w:color w:val="auto"/>
        </w:rPr>
        <w:t>观察指标</w:t>
      </w:r>
    </w:p>
    <w:p>
      <w:pPr>
        <w:rPr>
          <w:color w:val="auto"/>
        </w:rPr>
      </w:pPr>
      <w:r>
        <w:rPr>
          <w:rFonts w:hint="eastAsia"/>
          <w:color w:val="auto"/>
        </w:rPr>
        <w:t>在每次给药前及去除药物或取出棉球后肉眼观察颊囊，按表</w:t>
      </w:r>
      <w:r>
        <w:rPr>
          <w:color w:val="auto"/>
        </w:rPr>
        <w:t>5判定动物每一观察期颊囊的刺激反应情况；于末次去除药物或取出棉球后24小时动物安乐死，取两侧颊囊局部给药组织（包括喉部粘膜及下层组织）进行病理组织学检查，按表6病理反应评分标准计算每只动物病理反应分值，再按表7进行病理反应分级。据检查结果提供组织病理学检查报告和照片。</w:t>
      </w:r>
    </w:p>
    <w:p>
      <w:pPr>
        <w:ind w:firstLine="0" w:firstLineChars="0"/>
        <w:jc w:val="center"/>
        <w:rPr>
          <w:color w:val="auto"/>
        </w:rPr>
      </w:pPr>
      <w:r>
        <w:rPr>
          <w:rFonts w:hint="eastAsia"/>
          <w:color w:val="auto"/>
        </w:rPr>
        <w:t>表</w:t>
      </w:r>
      <w:r>
        <w:rPr>
          <w:color w:val="auto"/>
        </w:rPr>
        <w:t>5 口腔黏膜临床表现分级</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2"/>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2"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表现</w:t>
            </w:r>
          </w:p>
        </w:tc>
        <w:tc>
          <w:tcPr>
            <w:tcW w:w="1530"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无红斑</w:t>
            </w:r>
          </w:p>
        </w:tc>
        <w:tc>
          <w:tcPr>
            <w:tcW w:w="1530"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明显红斑</w:t>
            </w:r>
          </w:p>
        </w:tc>
        <w:tc>
          <w:tcPr>
            <w:tcW w:w="1530"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轻度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中度红斑</w:t>
            </w:r>
          </w:p>
        </w:tc>
        <w:tc>
          <w:tcPr>
            <w:tcW w:w="1530"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中度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2"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重度红斑（深红）～轻度疤痕形成（包括糜烂及溃疡）</w:t>
            </w:r>
          </w:p>
        </w:tc>
        <w:tc>
          <w:tcPr>
            <w:tcW w:w="1530" w:type="dxa"/>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重度</w:t>
            </w:r>
          </w:p>
        </w:tc>
      </w:tr>
    </w:tbl>
    <w:p>
      <w:pPr>
        <w:ind w:firstLine="0" w:firstLineChars="0"/>
        <w:jc w:val="center"/>
        <w:rPr>
          <w:color w:val="auto"/>
        </w:rPr>
      </w:pPr>
      <w:r>
        <w:rPr>
          <w:rFonts w:hint="eastAsia"/>
          <w:color w:val="auto"/>
        </w:rPr>
        <w:t>表</w:t>
      </w:r>
      <w:r>
        <w:rPr>
          <w:color w:val="auto"/>
        </w:rPr>
        <w:t>6  口腔黏膜组织病理反应评分标准</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line="240" w:lineRule="auto"/>
              <w:ind w:firstLine="0" w:firstLineChars="0"/>
              <w:jc w:val="center"/>
              <w:rPr>
                <w:rFonts w:ascii="Tahoma" w:hAnsi="Tahoma" w:cs="Tahoma"/>
                <w:b/>
                <w:bCs/>
                <w:color w:val="auto"/>
                <w:kern w:val="0"/>
                <w:sz w:val="24"/>
                <w:szCs w:val="24"/>
              </w:rPr>
            </w:pPr>
            <w:r>
              <w:rPr>
                <w:rFonts w:ascii="Tahoma" w:hAnsi="Tahoma" w:cs="Tahoma"/>
                <w:b/>
                <w:bCs/>
                <w:color w:val="auto"/>
                <w:kern w:val="0"/>
                <w:sz w:val="24"/>
                <w:szCs w:val="24"/>
              </w:rPr>
              <w:t>反应</w:t>
            </w:r>
          </w:p>
        </w:tc>
        <w:tc>
          <w:tcPr>
            <w:tcW w:w="2841" w:type="dxa"/>
            <w:vAlign w:val="center"/>
          </w:tcPr>
          <w:p>
            <w:pPr>
              <w:spacing w:line="240" w:lineRule="auto"/>
              <w:ind w:firstLine="0" w:firstLineChars="0"/>
              <w:jc w:val="center"/>
              <w:rPr>
                <w:rFonts w:ascii="Tahoma" w:hAnsi="Tahoma" w:cs="Tahoma"/>
                <w:b/>
                <w:bCs/>
                <w:color w:val="auto"/>
                <w:kern w:val="0"/>
                <w:sz w:val="24"/>
                <w:szCs w:val="24"/>
              </w:rPr>
            </w:pPr>
            <w:r>
              <w:rPr>
                <w:rFonts w:ascii="Tahoma" w:hAnsi="Tahoma" w:cs="Tahoma"/>
                <w:b/>
                <w:bCs/>
                <w:color w:val="auto"/>
                <w:kern w:val="0"/>
                <w:sz w:val="24"/>
                <w:szCs w:val="24"/>
              </w:rPr>
              <w:t>说明</w:t>
            </w:r>
          </w:p>
        </w:tc>
        <w:tc>
          <w:tcPr>
            <w:tcW w:w="2841" w:type="dxa"/>
            <w:vAlign w:val="center"/>
          </w:tcPr>
          <w:p>
            <w:pPr>
              <w:spacing w:line="240" w:lineRule="auto"/>
              <w:ind w:firstLine="0" w:firstLineChars="0"/>
              <w:jc w:val="center"/>
              <w:rPr>
                <w:rFonts w:ascii="Tahoma" w:hAnsi="Tahoma" w:cs="Tahoma"/>
                <w:b/>
                <w:bCs/>
                <w:color w:val="auto"/>
                <w:kern w:val="0"/>
                <w:sz w:val="24"/>
                <w:szCs w:val="24"/>
              </w:rPr>
            </w:pPr>
            <w:r>
              <w:rPr>
                <w:rFonts w:ascii="Tahoma" w:hAnsi="Tahoma" w:cs="Tahoma"/>
                <w:b/>
                <w:bCs/>
                <w:color w:val="auto"/>
                <w:kern w:val="0"/>
                <w:sz w:val="24"/>
                <w:szCs w:val="24"/>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上皮</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正常</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细胞变性或变扁平</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化生</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局部糜烂</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广泛糜烂</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白细胞浸润（每个高倍视野）</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无</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极小﹤25个</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轻度26～50个</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中度51～100个</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重度﹥100个</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血管充血</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无</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极少</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轻度</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中度</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重度伴有血管破裂</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vAlign w:val="center"/>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水肿</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无</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极少</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轻度</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中度</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pPr>
              <w:spacing w:line="240" w:lineRule="auto"/>
              <w:ind w:firstLine="0" w:firstLineChars="0"/>
              <w:jc w:val="center"/>
              <w:rPr>
                <w:rFonts w:ascii="Tahoma" w:hAnsi="Tahoma" w:cs="Tahoma"/>
                <w:color w:val="auto"/>
                <w:kern w:val="0"/>
                <w:sz w:val="24"/>
                <w:szCs w:val="24"/>
              </w:rPr>
            </w:pP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重度</w:t>
            </w:r>
          </w:p>
        </w:tc>
        <w:tc>
          <w:tcPr>
            <w:tcW w:w="284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4</w:t>
            </w:r>
          </w:p>
        </w:tc>
      </w:tr>
    </w:tbl>
    <w:p>
      <w:pPr>
        <w:ind w:firstLine="0" w:firstLineChars="0"/>
        <w:jc w:val="center"/>
        <w:rPr>
          <w:color w:val="auto"/>
        </w:rPr>
      </w:pPr>
      <w:r>
        <w:rPr>
          <w:rFonts w:hint="eastAsia"/>
          <w:color w:val="auto"/>
        </w:rPr>
        <w:t>表</w:t>
      </w:r>
      <w:r>
        <w:rPr>
          <w:color w:val="auto"/>
        </w:rPr>
        <w:t>7  病理反应分级</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反应评分</w:t>
            </w:r>
          </w:p>
        </w:tc>
        <w:tc>
          <w:tcPr>
            <w:tcW w:w="4261" w:type="dxa"/>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240" w:lineRule="auto"/>
              <w:ind w:firstLine="0" w:firstLineChars="0"/>
              <w:jc w:val="center"/>
              <w:rPr>
                <w:rFonts w:cs="Tahoma"/>
                <w:color w:val="auto"/>
                <w:kern w:val="0"/>
                <w:sz w:val="24"/>
                <w:szCs w:val="24"/>
              </w:rPr>
            </w:pPr>
            <w:r>
              <w:rPr>
                <w:rFonts w:cs="Tahoma"/>
                <w:color w:val="auto"/>
                <w:kern w:val="0"/>
                <w:sz w:val="24"/>
                <w:szCs w:val="24"/>
              </w:rPr>
              <w:t>0～4</w:t>
            </w:r>
          </w:p>
        </w:tc>
        <w:tc>
          <w:tcPr>
            <w:tcW w:w="4261" w:type="dxa"/>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240" w:lineRule="auto"/>
              <w:ind w:firstLine="0" w:firstLineChars="0"/>
              <w:jc w:val="center"/>
              <w:rPr>
                <w:rFonts w:cs="Tahoma"/>
                <w:color w:val="auto"/>
                <w:kern w:val="0"/>
                <w:sz w:val="24"/>
                <w:szCs w:val="24"/>
              </w:rPr>
            </w:pPr>
            <w:r>
              <w:rPr>
                <w:rFonts w:cs="Tahoma"/>
                <w:color w:val="auto"/>
                <w:kern w:val="0"/>
                <w:sz w:val="24"/>
                <w:szCs w:val="24"/>
              </w:rPr>
              <w:t>5～8</w:t>
            </w:r>
          </w:p>
        </w:tc>
        <w:tc>
          <w:tcPr>
            <w:tcW w:w="4261" w:type="dxa"/>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轻度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240" w:lineRule="auto"/>
              <w:ind w:firstLine="0" w:firstLineChars="0"/>
              <w:jc w:val="center"/>
              <w:rPr>
                <w:rFonts w:cs="Tahoma"/>
                <w:color w:val="auto"/>
                <w:kern w:val="0"/>
                <w:sz w:val="24"/>
                <w:szCs w:val="24"/>
              </w:rPr>
            </w:pPr>
            <w:r>
              <w:rPr>
                <w:rFonts w:cs="Tahoma"/>
                <w:color w:val="auto"/>
                <w:kern w:val="0"/>
                <w:sz w:val="24"/>
                <w:szCs w:val="24"/>
              </w:rPr>
              <w:t>9～11</w:t>
            </w:r>
          </w:p>
        </w:tc>
        <w:tc>
          <w:tcPr>
            <w:tcW w:w="4261" w:type="dxa"/>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中度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240" w:lineRule="auto"/>
              <w:ind w:firstLine="0" w:firstLineChars="0"/>
              <w:jc w:val="center"/>
              <w:rPr>
                <w:rFonts w:cs="Tahoma"/>
                <w:color w:val="auto"/>
                <w:kern w:val="0"/>
                <w:sz w:val="24"/>
                <w:szCs w:val="24"/>
              </w:rPr>
            </w:pPr>
            <w:r>
              <w:rPr>
                <w:rFonts w:cs="Tahoma"/>
                <w:color w:val="auto"/>
                <w:kern w:val="0"/>
                <w:sz w:val="24"/>
                <w:szCs w:val="24"/>
              </w:rPr>
              <w:t>12～16</w:t>
            </w:r>
          </w:p>
        </w:tc>
        <w:tc>
          <w:tcPr>
            <w:tcW w:w="4261" w:type="dxa"/>
          </w:tcPr>
          <w:p>
            <w:pPr>
              <w:spacing w:line="240" w:lineRule="auto"/>
              <w:ind w:firstLine="0" w:firstLineChars="0"/>
              <w:jc w:val="center"/>
              <w:rPr>
                <w:rFonts w:ascii="Tahoma" w:hAnsi="Tahoma" w:cs="Tahoma"/>
                <w:color w:val="auto"/>
                <w:kern w:val="0"/>
                <w:sz w:val="24"/>
                <w:szCs w:val="24"/>
              </w:rPr>
            </w:pPr>
            <w:r>
              <w:rPr>
                <w:rFonts w:ascii="Tahoma" w:hAnsi="Tahoma" w:cs="Tahoma"/>
                <w:color w:val="auto"/>
                <w:kern w:val="0"/>
                <w:sz w:val="24"/>
                <w:szCs w:val="24"/>
              </w:rPr>
              <w:t>重度</w:t>
            </w:r>
          </w:p>
        </w:tc>
      </w:tr>
    </w:tbl>
    <w:p>
      <w:pPr>
        <w:rPr>
          <w:color w:val="auto"/>
        </w:rPr>
      </w:pPr>
      <w:r>
        <w:rPr>
          <w:rFonts w:hint="eastAsia"/>
          <w:color w:val="auto"/>
        </w:rPr>
        <w:t>（4）</w:t>
      </w:r>
      <w:r>
        <w:rPr>
          <w:color w:val="auto"/>
        </w:rPr>
        <w:t>结果及分析</w:t>
      </w:r>
    </w:p>
    <w:p>
      <w:pPr>
        <w:rPr>
          <w:color w:val="auto"/>
        </w:rPr>
      </w:pPr>
      <w:r>
        <w:rPr>
          <w:rFonts w:hint="eastAsia"/>
          <w:color w:val="auto"/>
        </w:rPr>
        <w:t>①</w:t>
      </w:r>
      <w:r>
        <w:rPr>
          <w:color w:val="auto"/>
        </w:rPr>
        <w:t>将观察结果与对照组进行比较和判断。若试验动物中，10只动物有3只或3只以上临床评价为重度反应，即可认为具有口腔黏膜刺激性。</w:t>
      </w:r>
    </w:p>
    <w:p>
      <w:pPr>
        <w:rPr>
          <w:color w:val="auto"/>
        </w:rPr>
      </w:pPr>
      <w:r>
        <w:rPr>
          <w:rFonts w:hint="eastAsia"/>
          <w:color w:val="auto"/>
        </w:rPr>
        <w:t>②</w:t>
      </w:r>
      <w:r>
        <w:rPr>
          <w:color w:val="auto"/>
        </w:rPr>
        <w:t>除上述情况外，均以病理组织学分级为准，即：</w:t>
      </w:r>
    </w:p>
    <w:p>
      <w:pPr>
        <w:rPr>
          <w:color w:val="auto"/>
        </w:rPr>
      </w:pPr>
      <w:r>
        <w:rPr>
          <w:rFonts w:hint="eastAsia"/>
          <w:color w:val="auto"/>
        </w:rPr>
        <w:t>试验动物中，</w:t>
      </w:r>
      <w:r>
        <w:rPr>
          <w:color w:val="auto"/>
        </w:rPr>
        <w:t>10只动物有1只或1只以上等级为重度，则认为供试品具有口腔黏膜刺激性；</w:t>
      </w:r>
    </w:p>
    <w:p>
      <w:pPr>
        <w:rPr>
          <w:color w:val="auto"/>
        </w:rPr>
      </w:pPr>
      <w:r>
        <w:rPr>
          <w:rFonts w:hint="eastAsia"/>
          <w:color w:val="auto"/>
        </w:rPr>
        <w:t>试验动物中，</w:t>
      </w:r>
      <w:r>
        <w:rPr>
          <w:color w:val="auto"/>
        </w:rPr>
        <w:t>10只动物有3只或3只以上等级为中度，则认为供试品具有口腔黏膜刺激性；</w:t>
      </w:r>
    </w:p>
    <w:p>
      <w:pPr>
        <w:rPr>
          <w:color w:val="auto"/>
        </w:rPr>
      </w:pPr>
      <w:r>
        <w:rPr>
          <w:rFonts w:hint="eastAsia"/>
          <w:color w:val="auto"/>
        </w:rPr>
        <w:t>试验动物中，</w:t>
      </w:r>
      <w:r>
        <w:rPr>
          <w:color w:val="auto"/>
        </w:rPr>
        <w:t>10只动物有5只或5只以上等级为轻度，则认为供试品具有口腔黏膜刺激性；</w:t>
      </w:r>
    </w:p>
    <w:p>
      <w:pPr>
        <w:rPr>
          <w:color w:val="auto"/>
        </w:rPr>
      </w:pPr>
      <w:r>
        <w:rPr>
          <w:rFonts w:hint="eastAsia"/>
          <w:color w:val="auto"/>
        </w:rPr>
        <w:t>试验动物中，等级为轻度和中度的动物数总和为</w:t>
      </w:r>
      <w:r>
        <w:rPr>
          <w:color w:val="auto"/>
        </w:rPr>
        <w:t>4只或4只以上，则认为供试品具有口腔黏膜刺激性；</w:t>
      </w:r>
    </w:p>
    <w:p>
      <w:pPr>
        <w:rPr>
          <w:color w:val="auto"/>
        </w:rPr>
      </w:pPr>
      <w:r>
        <w:rPr>
          <w:rFonts w:hint="eastAsia"/>
          <w:color w:val="auto"/>
        </w:rPr>
        <w:t>除上述情况外，均认为供试品无口腔黏膜刺激性。</w:t>
      </w:r>
    </w:p>
    <w:p>
      <w:pPr>
        <w:rPr>
          <w:color w:val="auto"/>
        </w:rPr>
      </w:pPr>
      <w:r>
        <w:rPr>
          <w:color w:val="auto"/>
        </w:rPr>
        <w:t>5.直肠、阴道用药刺激性试验</w:t>
      </w:r>
    </w:p>
    <w:p>
      <w:pPr>
        <w:rPr>
          <w:color w:val="auto"/>
        </w:rPr>
      </w:pPr>
      <w:r>
        <w:rPr>
          <w:rFonts w:hint="eastAsia"/>
          <w:color w:val="auto"/>
        </w:rPr>
        <w:t>直肠、阴道用药急性毒性试验是指观察动物直肠或阴道一次或多次接触受试物后所产生的毒性反应或死亡情况。</w:t>
      </w:r>
    </w:p>
    <w:p>
      <w:pPr>
        <w:rPr>
          <w:color w:val="auto"/>
        </w:rPr>
      </w:pPr>
      <w:r>
        <w:rPr>
          <w:rFonts w:hint="eastAsia"/>
          <w:color w:val="auto"/>
        </w:rPr>
        <w:t>（1）</w:t>
      </w:r>
      <w:r>
        <w:rPr>
          <w:color w:val="auto"/>
        </w:rPr>
        <w:t>实验动物及分组</w:t>
      </w:r>
    </w:p>
    <w:p>
      <w:pPr>
        <w:rPr>
          <w:color w:val="auto"/>
        </w:rPr>
      </w:pPr>
      <w:r>
        <w:rPr>
          <w:rFonts w:hint="eastAsia"/>
          <w:color w:val="auto"/>
        </w:rPr>
        <w:t>可选择大鼠、兔或犬（其中直肠常选兔或犬），大鼠体重</w:t>
      </w:r>
      <w:r>
        <w:rPr>
          <w:color w:val="auto"/>
        </w:rPr>
        <w:t>250～300g，家兔体重2～3kg；每组动物数分别为兔至少4只、大鼠至少6只、犬至少4只；雌雄各半。</w:t>
      </w:r>
    </w:p>
    <w:p>
      <w:pPr>
        <w:rPr>
          <w:color w:val="auto"/>
        </w:rPr>
      </w:pPr>
      <w:r>
        <w:rPr>
          <w:rFonts w:hint="eastAsia"/>
          <w:color w:val="auto"/>
        </w:rPr>
        <w:t>一般应设计三个剂量组，据情况同设赋形剂或空白对照组</w:t>
      </w:r>
      <w:r>
        <w:rPr>
          <w:color w:val="auto"/>
        </w:rPr>
        <w:t>/阴性对照（生理盐水）组。</w:t>
      </w:r>
    </w:p>
    <w:p>
      <w:pPr>
        <w:rPr>
          <w:color w:val="auto"/>
        </w:rPr>
      </w:pPr>
      <w:r>
        <w:rPr>
          <w:rFonts w:hint="eastAsia"/>
          <w:color w:val="auto"/>
        </w:rPr>
        <w:t>（2）</w:t>
      </w:r>
      <w:r>
        <w:rPr>
          <w:color w:val="auto"/>
        </w:rPr>
        <w:t>给药方法及时间、期限</w:t>
      </w:r>
    </w:p>
    <w:p>
      <w:pPr>
        <w:rPr>
          <w:color w:val="auto"/>
        </w:rPr>
      </w:pPr>
      <w:r>
        <w:rPr>
          <w:rFonts w:hint="eastAsia"/>
          <w:color w:val="auto"/>
        </w:rPr>
        <w:t>据受试药特性及临床拟用法用量，尽可能采用与临床一致的途径和</w:t>
      </w:r>
      <w:r>
        <w:rPr>
          <w:color w:val="auto"/>
        </w:rPr>
        <w:t>/或相似方法给予药物，给药容积可参考临床拟用情况或不同动物种属的最大给药量，以尽可能暴露受试物毒性和刺激性，给予后应尽量保证药物在腔道的停留时间（阴道给药至少4小时，直肠给药至少2～4小时），必要时采用适合方式封闭一定时间。</w:t>
      </w:r>
    </w:p>
    <w:p>
      <w:pPr>
        <w:rPr>
          <w:color w:val="auto"/>
        </w:rPr>
      </w:pPr>
      <w:r>
        <w:rPr>
          <w:rFonts w:hint="eastAsia"/>
          <w:color w:val="auto"/>
        </w:rPr>
        <w:t>给药频率和期限需根据临床应用情况确定。临床用药超过</w:t>
      </w:r>
      <w:r>
        <w:rPr>
          <w:color w:val="auto"/>
        </w:rPr>
        <w:t>1周的受试物应进行多次给药刺激试验，每天给药次数应不少于临床用药频率，通常每天1～2次，至少7天。</w:t>
      </w:r>
    </w:p>
    <w:p>
      <w:pPr>
        <w:rPr>
          <w:color w:val="auto"/>
        </w:rPr>
      </w:pPr>
      <w:r>
        <w:rPr>
          <w:rFonts w:hint="eastAsia"/>
          <w:color w:val="auto"/>
        </w:rPr>
        <w:t>（3）</w:t>
      </w:r>
      <w:r>
        <w:rPr>
          <w:color w:val="auto"/>
        </w:rPr>
        <w:t>观察指标</w:t>
      </w:r>
    </w:p>
    <w:p>
      <w:pPr>
        <w:rPr>
          <w:color w:val="auto"/>
        </w:rPr>
      </w:pPr>
      <w:r>
        <w:rPr>
          <w:rFonts w:hint="eastAsia"/>
          <w:color w:val="auto"/>
        </w:rPr>
        <w:t>直肠用药刺激试验中，每天给药前后应观察动物的临床表现（如疼痛症状）和肛门区域及肛门括约肌、粪便（包括血、粘液）等异常。</w:t>
      </w:r>
    </w:p>
    <w:p>
      <w:pPr>
        <w:rPr>
          <w:color w:val="auto"/>
        </w:rPr>
      </w:pPr>
      <w:r>
        <w:rPr>
          <w:rFonts w:hint="eastAsia"/>
          <w:color w:val="auto"/>
        </w:rPr>
        <w:t>阴道用药刺激试验中，每天给药前后应观察动物的临床表现（如疼痛症状）和阴道部位、阴道分泌物（如血、粘液）等是否异常。</w:t>
      </w:r>
    </w:p>
    <w:p>
      <w:pPr>
        <w:rPr>
          <w:color w:val="auto"/>
        </w:rPr>
      </w:pPr>
      <w:r>
        <w:rPr>
          <w:rFonts w:hint="eastAsia"/>
          <w:color w:val="auto"/>
        </w:rPr>
        <w:t>上述试验末次给药后</w:t>
      </w:r>
      <w:r>
        <w:rPr>
          <w:color w:val="auto"/>
        </w:rPr>
        <w:t>24小时动物安乐死、解剖，肉眼主要观察直肠/阴道的给药局部组织有无充血、水肿等现象，若有，则需进行肛周组织/阴道及生殖系统的病理组织学检查，并据检查结果提供组织病理学检查报告和照片。</w:t>
      </w:r>
    </w:p>
    <w:p>
      <w:pPr>
        <w:rPr>
          <w:color w:val="auto"/>
        </w:rPr>
      </w:pPr>
      <w:r>
        <w:rPr>
          <w:rFonts w:hint="eastAsia"/>
          <w:color w:val="auto"/>
        </w:rPr>
        <w:t>（4）</w:t>
      </w:r>
      <w:r>
        <w:rPr>
          <w:color w:val="auto"/>
        </w:rPr>
        <w:t>结果及分析</w:t>
      </w:r>
    </w:p>
    <w:p>
      <w:pPr>
        <w:rPr>
          <w:color w:val="auto"/>
        </w:rPr>
      </w:pPr>
      <w:r>
        <w:rPr>
          <w:rFonts w:hint="eastAsia"/>
          <w:color w:val="auto"/>
        </w:rPr>
        <w:t>将观察结果与对照组进行比较判断，并结合组织病理学检查结果对受试物的刺激性及其程度进行分析判断。</w:t>
      </w:r>
    </w:p>
    <w:p>
      <w:pPr>
        <w:rPr>
          <w:color w:val="auto"/>
        </w:rPr>
      </w:pPr>
      <w:r>
        <w:rPr>
          <w:color w:val="auto"/>
        </w:rPr>
        <w:t>6.皮肤给药光毒性（光刺激性）试验</w:t>
      </w:r>
    </w:p>
    <w:p>
      <w:pPr>
        <w:rPr>
          <w:color w:val="auto"/>
        </w:rPr>
      </w:pPr>
      <w:r>
        <w:rPr>
          <w:rFonts w:hint="eastAsia"/>
          <w:color w:val="auto"/>
        </w:rPr>
        <w:t>光毒性是由光诱导的非免疫性的皮肤对光的反应，是指药物吸收的光能量在皮肤中释放导致皮肤损伤的作用。</w:t>
      </w:r>
    </w:p>
    <w:p>
      <w:pPr>
        <w:rPr>
          <w:color w:val="auto"/>
        </w:rPr>
      </w:pPr>
      <w:r>
        <w:rPr>
          <w:rFonts w:hint="eastAsia"/>
          <w:color w:val="auto"/>
        </w:rPr>
        <w:t>皮肤给药光毒性试验的目的是观察受试物接触皮肤或应用后遇光照射是否有光毒性反应。临床表现与晒伤相似，表现为红斑、水肿、皮肤瘙痒和色素沉着，严重者可产生局部坏死、溃烂或表皮脱落。</w:t>
      </w:r>
    </w:p>
    <w:p>
      <w:pPr>
        <w:rPr>
          <w:color w:val="auto"/>
        </w:rPr>
      </w:pPr>
      <w:r>
        <w:rPr>
          <w:rFonts w:hint="eastAsia"/>
          <w:color w:val="auto"/>
        </w:rPr>
        <w:t>（1）</w:t>
      </w:r>
      <w:r>
        <w:rPr>
          <w:color w:val="auto"/>
        </w:rPr>
        <w:t>实验动物及分组</w:t>
      </w:r>
    </w:p>
    <w:p>
      <w:pPr>
        <w:rPr>
          <w:color w:val="auto"/>
        </w:rPr>
      </w:pPr>
      <w:r>
        <w:rPr>
          <w:rFonts w:hint="eastAsia"/>
          <w:color w:val="auto"/>
        </w:rPr>
        <w:t>通常采用白色豚鼠；每组动物数至少</w:t>
      </w:r>
      <w:r>
        <w:rPr>
          <w:color w:val="auto"/>
        </w:rPr>
        <w:t xml:space="preserve">6只，雌雄各半。 </w:t>
      </w:r>
    </w:p>
    <w:p>
      <w:pPr>
        <w:rPr>
          <w:color w:val="auto"/>
        </w:rPr>
      </w:pPr>
      <w:r>
        <w:rPr>
          <w:rFonts w:hint="eastAsia"/>
          <w:color w:val="auto"/>
        </w:rPr>
        <w:t>应设阴性、阳性对照组和受试物不同剂量组，至少包括临床用药浓度。</w:t>
      </w:r>
    </w:p>
    <w:p>
      <w:pPr>
        <w:rPr>
          <w:color w:val="auto"/>
        </w:rPr>
      </w:pPr>
      <w:r>
        <w:rPr>
          <w:rFonts w:hint="eastAsia"/>
          <w:color w:val="auto"/>
        </w:rPr>
        <w:t>（2）</w:t>
      </w:r>
      <w:r>
        <w:rPr>
          <w:color w:val="auto"/>
        </w:rPr>
        <w:t>给药方法及时间</w:t>
      </w:r>
    </w:p>
    <w:p>
      <w:pPr>
        <w:rPr>
          <w:color w:val="auto"/>
        </w:rPr>
      </w:pPr>
      <w:r>
        <w:rPr>
          <w:rFonts w:hint="eastAsia"/>
          <w:color w:val="auto"/>
        </w:rPr>
        <w:t>试验前按皮肤刺激性试验中相关要求进行动物备皮后，涂敷药物。给药</w:t>
      </w:r>
      <w:r>
        <w:rPr>
          <w:color w:val="auto"/>
        </w:rPr>
        <w:t>30分钟后覆盖固定，UV光源照射（UVA波长为320-400nm，如含UVB，其剂量不得超过0.1J/cm2）。</w:t>
      </w:r>
    </w:p>
    <w:p>
      <w:pPr>
        <w:rPr>
          <w:color w:val="auto"/>
        </w:rPr>
      </w:pPr>
      <w:r>
        <w:rPr>
          <w:rFonts w:hint="eastAsia"/>
          <w:color w:val="auto"/>
        </w:rPr>
        <w:t>（3）</w:t>
      </w:r>
      <w:r>
        <w:rPr>
          <w:color w:val="auto"/>
        </w:rPr>
        <w:t>观察指标</w:t>
      </w:r>
    </w:p>
    <w:p>
      <w:pPr>
        <w:rPr>
          <w:color w:val="auto"/>
        </w:rPr>
      </w:pPr>
      <w:r>
        <w:rPr>
          <w:rFonts w:hint="eastAsia"/>
          <w:color w:val="auto"/>
        </w:rPr>
        <w:t>上述试验结束后分别于</w:t>
      </w:r>
      <w:r>
        <w:rPr>
          <w:color w:val="auto"/>
        </w:rPr>
        <w:t>1、24、48和72小时观察皮肤是否出现与晒伤相似的症状反应，根据表8计算评分。</w:t>
      </w:r>
    </w:p>
    <w:p>
      <w:pPr>
        <w:rPr>
          <w:color w:val="auto"/>
        </w:rPr>
      </w:pPr>
      <w:r>
        <w:rPr>
          <w:rFonts w:hint="eastAsia"/>
          <w:color w:val="auto"/>
        </w:rPr>
        <w:t>（4）</w:t>
      </w:r>
      <w:r>
        <w:rPr>
          <w:color w:val="auto"/>
        </w:rPr>
        <w:t>结果及分析</w:t>
      </w:r>
    </w:p>
    <w:p>
      <w:pPr>
        <w:rPr>
          <w:color w:val="auto"/>
        </w:rPr>
      </w:pPr>
      <w:r>
        <w:rPr>
          <w:rFonts w:hint="eastAsia"/>
          <w:color w:val="auto"/>
        </w:rPr>
        <w:t>单纯涂受试物而未经照射区域未出现皮肤反应，而涂受试物后经照射的区域出现皮肤反应分值之和≥</w:t>
      </w:r>
      <w:r>
        <w:rPr>
          <w:color w:val="auto"/>
        </w:rPr>
        <w:t>2的动物数≥1只时，可判为受试物具有光毒性。</w:t>
      </w:r>
    </w:p>
    <w:p>
      <w:pPr>
        <w:ind w:firstLine="0" w:firstLineChars="0"/>
        <w:jc w:val="center"/>
        <w:rPr>
          <w:color w:val="auto"/>
        </w:rPr>
      </w:pPr>
      <w:r>
        <w:rPr>
          <w:rFonts w:hint="eastAsia"/>
          <w:color w:val="auto"/>
        </w:rPr>
        <w:t>表</w:t>
      </w:r>
      <w:r>
        <w:rPr>
          <w:color w:val="auto"/>
        </w:rPr>
        <w:t>8  皮肤反应的评分标准</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2"/>
        <w:gridCol w:w="818"/>
        <w:gridCol w:w="3457"/>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红斑和焦痂形成</w:t>
            </w:r>
          </w:p>
        </w:tc>
        <w:tc>
          <w:tcPr>
            <w:tcW w:w="818"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分值</w:t>
            </w:r>
          </w:p>
        </w:tc>
        <w:tc>
          <w:tcPr>
            <w:tcW w:w="3457"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水肿形成</w:t>
            </w:r>
          </w:p>
        </w:tc>
        <w:tc>
          <w:tcPr>
            <w:tcW w:w="805"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无红斑</w:t>
            </w:r>
          </w:p>
        </w:tc>
        <w:tc>
          <w:tcPr>
            <w:tcW w:w="818"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c>
          <w:tcPr>
            <w:tcW w:w="345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无水肿</w:t>
            </w:r>
          </w:p>
        </w:tc>
        <w:tc>
          <w:tcPr>
            <w:tcW w:w="8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非常轻的红斑，勉强可见</w:t>
            </w:r>
          </w:p>
        </w:tc>
        <w:tc>
          <w:tcPr>
            <w:tcW w:w="818"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c>
          <w:tcPr>
            <w:tcW w:w="345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非常轻度水肿，勉强可见</w:t>
            </w:r>
          </w:p>
        </w:tc>
        <w:tc>
          <w:tcPr>
            <w:tcW w:w="8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明显的红斑</w:t>
            </w:r>
          </w:p>
        </w:tc>
        <w:tc>
          <w:tcPr>
            <w:tcW w:w="818"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c>
          <w:tcPr>
            <w:tcW w:w="345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轻度水肿（边缘清晰）</w:t>
            </w:r>
          </w:p>
        </w:tc>
        <w:tc>
          <w:tcPr>
            <w:tcW w:w="8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中度至重度的红斑</w:t>
            </w:r>
          </w:p>
        </w:tc>
        <w:tc>
          <w:tcPr>
            <w:tcW w:w="818"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c>
          <w:tcPr>
            <w:tcW w:w="345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中度水肿（皮肤隆起约1mm）</w:t>
            </w:r>
          </w:p>
        </w:tc>
        <w:tc>
          <w:tcPr>
            <w:tcW w:w="8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重度红斑（鲜红色）至轻度焦痂形成（深层损伤）</w:t>
            </w:r>
          </w:p>
        </w:tc>
        <w:tc>
          <w:tcPr>
            <w:tcW w:w="818"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4</w:t>
            </w:r>
          </w:p>
        </w:tc>
        <w:tc>
          <w:tcPr>
            <w:tcW w:w="3457"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重度水肿（皮肤隆起大于1mm，并超过涂受试物的区域）</w:t>
            </w:r>
          </w:p>
        </w:tc>
        <w:tc>
          <w:tcPr>
            <w:tcW w:w="805"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4</w:t>
            </w:r>
          </w:p>
        </w:tc>
      </w:tr>
    </w:tbl>
    <w:p>
      <w:pPr>
        <w:rPr>
          <w:color w:val="auto"/>
        </w:rPr>
        <w:sectPr>
          <w:pgSz w:w="11906" w:h="16838"/>
          <w:pgMar w:top="1440" w:right="1800" w:bottom="1440" w:left="1800" w:header="851" w:footer="992" w:gutter="0"/>
          <w:cols w:space="425" w:num="1"/>
          <w:docGrid w:type="lines" w:linePitch="312" w:charSpace="0"/>
        </w:sectPr>
      </w:pPr>
    </w:p>
    <w:p>
      <w:pPr>
        <w:pStyle w:val="3"/>
        <w:rPr>
          <w:color w:val="auto"/>
        </w:rPr>
      </w:pPr>
      <w:bookmarkStart w:id="35" w:name="_Toc879"/>
      <w:bookmarkStart w:id="36" w:name="_Toc15865"/>
      <w:r>
        <w:rPr>
          <w:rFonts w:hint="eastAsia"/>
          <w:color w:val="auto"/>
        </w:rPr>
        <w:t>第四部分</w:t>
      </w:r>
      <w:r>
        <w:rPr>
          <w:color w:val="auto"/>
        </w:rPr>
        <w:t xml:space="preserve"> 过敏性研究技术指导原则</w:t>
      </w:r>
      <w:bookmarkEnd w:id="35"/>
      <w:bookmarkEnd w:id="36"/>
    </w:p>
    <w:p>
      <w:pPr>
        <w:rPr>
          <w:color w:val="auto"/>
        </w:rPr>
      </w:pPr>
      <w:r>
        <w:rPr>
          <w:rFonts w:hint="eastAsia"/>
          <w:color w:val="auto"/>
        </w:rPr>
        <w:t>一、概述</w:t>
      </w:r>
    </w:p>
    <w:p>
      <w:pPr>
        <w:rPr>
          <w:color w:val="auto"/>
        </w:rPr>
      </w:pPr>
      <w:r>
        <w:rPr>
          <w:rFonts w:hint="eastAsia"/>
          <w:color w:val="auto"/>
        </w:rPr>
        <w:t>过敏性又称超敏反应，指机体受同一抗原再刺激后产生的一种表现为组织损伤或生理功能紊乱的特异性免疫反应。过敏性试验是观察动物接触受试物后的全身或局部过敏反应。为医疗机构制剂临床前安全性评价的组成部分。药物的原形及其代谢物、辅料、有关物质及理化性质（如</w:t>
      </w:r>
      <w:r>
        <w:rPr>
          <w:color w:val="auto"/>
        </w:rPr>
        <w:t>pH值、渗透压等）均有可能引起过敏性的发生，因此药物在临床应用前应研究其制剂在给药部位使用后引起的局部和/或全身过敏性，以提示临床应用时可能出现的过敏性反应、程度及安全范围，可为制剂的研发提供安全性参考信息。</w:t>
      </w:r>
    </w:p>
    <w:p>
      <w:pPr>
        <w:rPr>
          <w:color w:val="auto"/>
        </w:rPr>
      </w:pPr>
      <w:r>
        <w:rPr>
          <w:rFonts w:hint="eastAsia"/>
          <w:color w:val="auto"/>
        </w:rPr>
        <w:t>本指导原则适用于云南省医疗机构中药</w:t>
      </w:r>
      <w:r>
        <w:rPr>
          <w:color w:val="auto"/>
        </w:rPr>
        <w:t>(民族药)制剂（以下简称“制剂”）的过敏性试验研究。</w:t>
      </w:r>
    </w:p>
    <w:p>
      <w:pPr>
        <w:rPr>
          <w:color w:val="auto"/>
        </w:rPr>
      </w:pPr>
      <w:r>
        <w:rPr>
          <w:rFonts w:hint="eastAsia"/>
          <w:color w:val="auto"/>
        </w:rPr>
        <w:t>二、一般要求</w:t>
      </w:r>
    </w:p>
    <w:p>
      <w:pPr>
        <w:rPr>
          <w:color w:val="auto"/>
        </w:rPr>
      </w:pPr>
      <w:r>
        <w:rPr>
          <w:rFonts w:hint="eastAsia"/>
          <w:color w:val="auto"/>
        </w:rPr>
        <w:t>基本原则：云南省医疗机构中药（民族药）制剂情况复杂，本指导原则所提及的内容不可能完全涵盖临床前安全性研究的实际情况，因此开展研究工作时应遵循“具体问题具体分析”的原则。</w:t>
      </w:r>
    </w:p>
    <w:p>
      <w:pPr>
        <w:rPr>
          <w:color w:val="auto"/>
        </w:rPr>
      </w:pPr>
      <w:r>
        <w:rPr>
          <w:rFonts w:hint="eastAsia"/>
          <w:color w:val="auto"/>
        </w:rPr>
        <w:t>实验管理：应遵守《药物非临床研究质量管理规范》。</w:t>
      </w:r>
    </w:p>
    <w:p>
      <w:pPr>
        <w:rPr>
          <w:color w:val="auto"/>
        </w:rPr>
      </w:pPr>
      <w:r>
        <w:rPr>
          <w:rFonts w:hint="eastAsia"/>
          <w:color w:val="auto"/>
        </w:rPr>
        <w:t>试验设计：应符合随机、对照、重复的原则。</w:t>
      </w:r>
    </w:p>
    <w:p>
      <w:pPr>
        <w:rPr>
          <w:color w:val="auto"/>
        </w:rPr>
      </w:pPr>
      <w:r>
        <w:rPr>
          <w:rFonts w:hint="eastAsia"/>
          <w:color w:val="auto"/>
        </w:rPr>
        <w:t>研究机构：必须是已在国内外相关机构注册（或备案）、从事药品安全性评价或毒理研究的具有法人资格的机构。应取得相应实验动物使用许可证，具有相关研究领域的相应设备设施或者相关资质。</w:t>
      </w:r>
    </w:p>
    <w:p>
      <w:pPr>
        <w:rPr>
          <w:color w:val="auto"/>
        </w:rPr>
      </w:pPr>
      <w:r>
        <w:rPr>
          <w:rFonts w:hint="eastAsia"/>
          <w:color w:val="auto"/>
        </w:rPr>
        <w:t>实验环境：应是与实验动物级别相适应的实验环境，并能满足实验动物饲养标准要求。</w:t>
      </w:r>
    </w:p>
    <w:p>
      <w:pPr>
        <w:rPr>
          <w:color w:val="auto"/>
        </w:rPr>
      </w:pPr>
      <w:r>
        <w:rPr>
          <w:rFonts w:hint="eastAsia"/>
          <w:color w:val="auto"/>
        </w:rPr>
        <w:t>研究人员：试验项目负责人必须具备相关专业领域副高级及以上的技术职称；所有参加研究的人员必须接受过相关专业的正规培训或训练。</w:t>
      </w:r>
    </w:p>
    <w:p>
      <w:pPr>
        <w:rPr>
          <w:color w:val="auto"/>
        </w:rPr>
      </w:pPr>
      <w:r>
        <w:rPr>
          <w:rFonts w:hint="eastAsia"/>
          <w:color w:val="auto"/>
        </w:rPr>
        <w:t>受试物和对照样品的要求：应当采用制备工艺相对稳定、符合拟申报医疗机构制剂拟定的质量标准草案要求的中试样品（若因特殊情况不能提供中试样品的，需提供充分理由）。注明受试物的名称、来源、批号、含量（或规格）、保存条件及配制方法、配制单位等，应提供受试样品的检验报告。如果由于给药容量或给药方法限制，可采用提取的浸膏</w:t>
      </w:r>
      <w:r>
        <w:rPr>
          <w:color w:val="auto"/>
        </w:rPr>
        <w:t>/原料药或浓缩液或通过增加给药次数等进行试验。</w:t>
      </w:r>
    </w:p>
    <w:p>
      <w:pPr>
        <w:rPr>
          <w:color w:val="auto"/>
        </w:rPr>
      </w:pPr>
      <w:r>
        <w:rPr>
          <w:rFonts w:hint="eastAsia"/>
          <w:color w:val="auto"/>
        </w:rPr>
        <w:t>试验中所用溶媒和</w:t>
      </w:r>
      <w:r>
        <w:rPr>
          <w:color w:val="auto"/>
        </w:rPr>
        <w:t>/或辅料，应提供批号、规格、生产厂家。对照药物原则上应采用已上市的、适应症相同或类似且疗效公认的药物。</w:t>
      </w:r>
    </w:p>
    <w:p>
      <w:pPr>
        <w:rPr>
          <w:color w:val="auto"/>
        </w:rPr>
      </w:pPr>
      <w:r>
        <w:rPr>
          <w:rFonts w:hint="eastAsia"/>
          <w:color w:val="auto"/>
        </w:rPr>
        <w:t>由于中药</w:t>
      </w:r>
      <w:r>
        <w:rPr>
          <w:color w:val="auto"/>
        </w:rPr>
        <w:t>(民族药)的特殊性，建议试验中使用的受试物采用临用现配的方法配制；如果给药时间较长，建议考察配制后体积是否存在随放置时间延长而膨胀导致给药终浓度不准等因素。</w:t>
      </w:r>
    </w:p>
    <w:p>
      <w:pPr>
        <w:rPr>
          <w:color w:val="auto"/>
        </w:rPr>
      </w:pPr>
      <w:r>
        <w:rPr>
          <w:rFonts w:hint="eastAsia"/>
          <w:color w:val="auto"/>
        </w:rPr>
        <w:t>制剂生产和使用过程中，若受试物的工艺及其有关参数发生变化，并可能影响到其安全性，则应根据情况补充进行相应的安全性试验。</w:t>
      </w:r>
    </w:p>
    <w:p>
      <w:pPr>
        <w:rPr>
          <w:color w:val="auto"/>
        </w:rPr>
      </w:pPr>
      <w:r>
        <w:rPr>
          <w:rFonts w:hint="eastAsia"/>
          <w:color w:val="auto"/>
        </w:rPr>
        <w:t>三、基本内容</w:t>
      </w:r>
    </w:p>
    <w:p>
      <w:pPr>
        <w:rPr>
          <w:color w:val="auto"/>
        </w:rPr>
      </w:pPr>
      <w:r>
        <w:rPr>
          <w:rFonts w:hint="eastAsia"/>
          <w:color w:val="auto"/>
        </w:rPr>
        <w:t>药物制剂的开发背景和研究基础各不相同，在进行过敏性试验研究之前应进行文献查阅，根据申报品种的立题依据、临床意义、处方来源、使用历史、有效性与安全性等背景资料进行综合考虑。各研究内容应尽可能对制剂的临床前安全性进行科学、合理、充分地评价。在具体开展试验时应据受试物的特性和临床应用特点等，按以下各具体要求进行。</w:t>
      </w:r>
    </w:p>
    <w:p>
      <w:pPr>
        <w:rPr>
          <w:color w:val="auto"/>
        </w:rPr>
      </w:pPr>
      <w:r>
        <w:rPr>
          <w:rFonts w:hint="eastAsia"/>
          <w:color w:val="auto"/>
        </w:rPr>
        <w:t>（一）实验动物</w:t>
      </w:r>
    </w:p>
    <w:p>
      <w:pPr>
        <w:rPr>
          <w:color w:val="auto"/>
        </w:rPr>
      </w:pPr>
      <w:r>
        <w:rPr>
          <w:color w:val="auto"/>
        </w:rPr>
        <w:t>1.种属</w:t>
      </w:r>
    </w:p>
    <w:p>
      <w:pPr>
        <w:rPr>
          <w:color w:val="auto"/>
        </w:rPr>
      </w:pPr>
      <w:r>
        <w:rPr>
          <w:rFonts w:hint="eastAsia"/>
          <w:color w:val="auto"/>
        </w:rPr>
        <w:t>一般选豚鼠，</w:t>
      </w:r>
      <w:r>
        <w:rPr>
          <w:color w:val="auto"/>
        </w:rPr>
        <w:t>250g左右为宜；每组动物的数量10只左右，雌雄各半。</w:t>
      </w:r>
    </w:p>
    <w:p>
      <w:pPr>
        <w:rPr>
          <w:color w:val="auto"/>
        </w:rPr>
      </w:pPr>
      <w:r>
        <w:rPr>
          <w:color w:val="auto"/>
        </w:rPr>
        <w:t>2.级别</w:t>
      </w:r>
    </w:p>
    <w:p>
      <w:pPr>
        <w:rPr>
          <w:color w:val="auto"/>
        </w:rPr>
      </w:pPr>
      <w:r>
        <w:rPr>
          <w:rFonts w:hint="eastAsia"/>
          <w:color w:val="auto"/>
        </w:rPr>
        <w:t>应符合国家有关规定的等级要求（清洁级及以上），来源、品系、遗传背景清楚，具有实验动物质量合格证。</w:t>
      </w:r>
    </w:p>
    <w:p>
      <w:pPr>
        <w:rPr>
          <w:color w:val="auto"/>
        </w:rPr>
      </w:pPr>
      <w:r>
        <w:rPr>
          <w:color w:val="auto"/>
        </w:rPr>
        <w:t>3.动物数</w:t>
      </w:r>
    </w:p>
    <w:p>
      <w:pPr>
        <w:rPr>
          <w:color w:val="auto"/>
        </w:rPr>
      </w:pPr>
      <w:r>
        <w:rPr>
          <w:rFonts w:hint="eastAsia"/>
          <w:color w:val="auto"/>
        </w:rPr>
        <w:t>根据动物种属和研究目的确定所需的动物数，但应符合试验方法及结果分析评价的需要。</w:t>
      </w:r>
    </w:p>
    <w:p>
      <w:pPr>
        <w:rPr>
          <w:color w:val="auto"/>
        </w:rPr>
      </w:pPr>
      <w:r>
        <w:rPr>
          <w:color w:val="auto"/>
        </w:rPr>
        <w:t>4.性别</w:t>
      </w:r>
    </w:p>
    <w:p>
      <w:pPr>
        <w:rPr>
          <w:color w:val="auto"/>
        </w:rPr>
      </w:pPr>
      <w:r>
        <w:rPr>
          <w:rFonts w:hint="eastAsia"/>
          <w:color w:val="auto"/>
        </w:rPr>
        <w:t>通常采用两种性别的动物进行试验，雌雄各半。若因特殊情况需采用单性别动物进行试验，应阐明其合理性。对于临床单性别的用药，则采用对应单性别动物即可。</w:t>
      </w:r>
    </w:p>
    <w:p>
      <w:pPr>
        <w:rPr>
          <w:color w:val="auto"/>
        </w:rPr>
      </w:pPr>
      <w:r>
        <w:rPr>
          <w:color w:val="auto"/>
        </w:rPr>
        <w:t>5.年龄</w:t>
      </w:r>
    </w:p>
    <w:p>
      <w:pPr>
        <w:rPr>
          <w:color w:val="auto"/>
        </w:rPr>
      </w:pPr>
      <w:r>
        <w:rPr>
          <w:rFonts w:hint="eastAsia"/>
          <w:color w:val="auto"/>
        </w:rPr>
        <w:t>通常采用健康成年动物进行试验。如果受试物拟用于或可能用于儿童或老年人群，建议采用与儿童或老年年龄段相对应的幼年或老年动物进行试验，并说明理由。</w:t>
      </w:r>
    </w:p>
    <w:p>
      <w:pPr>
        <w:rPr>
          <w:color w:val="auto"/>
        </w:rPr>
      </w:pPr>
      <w:r>
        <w:rPr>
          <w:rFonts w:hint="eastAsia"/>
          <w:color w:val="auto"/>
        </w:rPr>
        <w:t>（二）给药途径</w:t>
      </w:r>
      <w:r>
        <w:rPr>
          <w:color w:val="auto"/>
        </w:rPr>
        <w:t xml:space="preserve"> </w:t>
      </w:r>
    </w:p>
    <w:p>
      <w:pPr>
        <w:rPr>
          <w:color w:val="auto"/>
        </w:rPr>
      </w:pPr>
      <w:r>
        <w:rPr>
          <w:rFonts w:hint="eastAsia"/>
          <w:color w:val="auto"/>
        </w:rPr>
        <w:t>通常情况下给药途径应与临床用药途径一致。如不采用临床使用途径，必须充分说明理由。</w:t>
      </w:r>
    </w:p>
    <w:p>
      <w:pPr>
        <w:rPr>
          <w:color w:val="auto"/>
        </w:rPr>
      </w:pPr>
      <w:r>
        <w:rPr>
          <w:rFonts w:hint="eastAsia"/>
          <w:color w:val="auto"/>
        </w:rPr>
        <w:t>（三）方法选择和给药剂量</w:t>
      </w:r>
    </w:p>
    <w:p>
      <w:pPr>
        <w:rPr>
          <w:color w:val="auto"/>
        </w:rPr>
      </w:pPr>
      <w:r>
        <w:rPr>
          <w:rFonts w:hint="eastAsia"/>
          <w:color w:val="auto"/>
        </w:rPr>
        <w:t>进行何种过敏性试验应根据药物特点、临床适应症、过敏反应发生机制、影响因素等确定。</w:t>
      </w:r>
    </w:p>
    <w:p>
      <w:pPr>
        <w:rPr>
          <w:color w:val="auto"/>
        </w:rPr>
      </w:pPr>
      <w:r>
        <w:rPr>
          <w:rFonts w:hint="eastAsia"/>
          <w:color w:val="auto"/>
        </w:rPr>
        <w:t>通常经皮给药制剂可选择进行主动皮肤过敏试验（</w:t>
      </w:r>
      <w:r>
        <w:rPr>
          <w:color w:val="auto"/>
        </w:rPr>
        <w:t>Active Cutaneous Anaphylaxis, ACA），被动皮肤过敏试验（PCA），豚鼠封闭斑贴试验（BuehlerTest）、最大化试验（GPMT）或其他合理的试验方法如小鼠局部淋巴结试验（Murine Local Lymph Node Assay, LLNA）等。本指导原则重点介绍主动皮肤过敏试验，被动皮肤过敏试验，豚鼠封闭斑贴试验、最大化试验（GPMT），简单介绍皮肤光敏反应，其它方法可参照国家食品药品监督管理局颁布的相关技术指导原则及有关技术</w:t>
      </w:r>
      <w:r>
        <w:rPr>
          <w:rFonts w:hint="eastAsia"/>
          <w:color w:val="auto"/>
        </w:rPr>
        <w:t>要求。</w:t>
      </w:r>
    </w:p>
    <w:p>
      <w:pPr>
        <w:rPr>
          <w:color w:val="auto"/>
        </w:rPr>
      </w:pPr>
      <w:r>
        <w:rPr>
          <w:color w:val="auto"/>
        </w:rPr>
        <w:t>1.给药部位</w:t>
      </w:r>
    </w:p>
    <w:p>
      <w:pPr>
        <w:rPr>
          <w:color w:val="auto"/>
        </w:rPr>
      </w:pPr>
      <w:r>
        <w:rPr>
          <w:rFonts w:hint="eastAsia"/>
          <w:color w:val="auto"/>
        </w:rPr>
        <w:t>一般应选择与临床给药相似的部位，并观察对可能接触到受试物的周围组织的影响。</w:t>
      </w:r>
    </w:p>
    <w:p>
      <w:pPr>
        <w:rPr>
          <w:color w:val="auto"/>
        </w:rPr>
      </w:pPr>
      <w:r>
        <w:rPr>
          <w:color w:val="auto"/>
        </w:rPr>
        <w:t>2.对照组</w:t>
      </w:r>
    </w:p>
    <w:p>
      <w:pPr>
        <w:rPr>
          <w:color w:val="auto"/>
        </w:rPr>
      </w:pPr>
      <w:r>
        <w:rPr>
          <w:rFonts w:hint="eastAsia"/>
          <w:color w:val="auto"/>
        </w:rPr>
        <w:t>应设阴性对照（如氯化钠注射液和</w:t>
      </w:r>
      <w:r>
        <w:rPr>
          <w:color w:val="auto"/>
        </w:rPr>
        <w:t>/或溶媒和/或赋形剂对照），并设阳性对照组，推荐的阳性对照物有巯基苯并噻唑，苯佐卡因，二硝基氯苯，331环氧树脂等，也可以据情况使用其他的阳性对照物。</w:t>
      </w:r>
    </w:p>
    <w:p>
      <w:pPr>
        <w:rPr>
          <w:color w:val="auto"/>
        </w:rPr>
      </w:pPr>
      <w:r>
        <w:rPr>
          <w:color w:val="auto"/>
        </w:rPr>
        <w:t>3.给药浓度、剂量与体积</w:t>
      </w:r>
    </w:p>
    <w:p>
      <w:pPr>
        <w:rPr>
          <w:color w:val="auto"/>
        </w:rPr>
      </w:pPr>
      <w:r>
        <w:rPr>
          <w:rFonts w:hint="eastAsia"/>
          <w:color w:val="auto"/>
        </w:rPr>
        <w:t>受试物组至少设</w:t>
      </w:r>
      <w:r>
        <w:rPr>
          <w:color w:val="auto"/>
        </w:rPr>
        <w:t>2个剂量，但应包括临床使用最高浓度。</w:t>
      </w:r>
    </w:p>
    <w:p>
      <w:pPr>
        <w:rPr>
          <w:color w:val="auto"/>
        </w:rPr>
      </w:pPr>
      <w:r>
        <w:rPr>
          <w:rFonts w:hint="eastAsia"/>
          <w:color w:val="auto"/>
        </w:rPr>
        <w:t>药物剂量取决于所选择的方法，一般致敏剂量应当足够高，以产生轻微的刺激性，激发剂量为不产生刺激性的最高剂量。</w:t>
      </w:r>
    </w:p>
    <w:p>
      <w:pPr>
        <w:rPr>
          <w:color w:val="auto"/>
        </w:rPr>
      </w:pPr>
      <w:r>
        <w:rPr>
          <w:rFonts w:hint="eastAsia"/>
          <w:color w:val="auto"/>
        </w:rPr>
        <w:t>设计给药浓度、剂量与体积时，应根据临床用药情况，并考虑受试动物给药部位的解剖和生理特点，保证受试物在给药部位的有效暴露，经皮给药的受试物则应保证在局部的有效暴露浓度和时间。</w:t>
      </w:r>
    </w:p>
    <w:p>
      <w:pPr>
        <w:rPr>
          <w:color w:val="auto"/>
        </w:rPr>
      </w:pPr>
      <w:r>
        <w:rPr>
          <w:rFonts w:hint="eastAsia"/>
          <w:color w:val="auto"/>
        </w:rPr>
        <w:t>注：试验中，若受试物为膏剂或液体，则一般不稀释；若受试物为固体粉末，则需与适量水或赋形剂混匀，以保证受试物与皮肤的良好接触。</w:t>
      </w:r>
    </w:p>
    <w:p>
      <w:pPr>
        <w:rPr>
          <w:color w:val="auto"/>
        </w:rPr>
      </w:pPr>
      <w:r>
        <w:rPr>
          <w:color w:val="auto"/>
        </w:rPr>
        <w:t>4.给药频率与周期</w:t>
      </w:r>
    </w:p>
    <w:p>
      <w:pPr>
        <w:rPr>
          <w:color w:val="auto"/>
        </w:rPr>
      </w:pPr>
      <w:r>
        <w:rPr>
          <w:rFonts w:hint="eastAsia"/>
          <w:color w:val="auto"/>
        </w:rPr>
        <w:t>据所采用试验方法确定。</w:t>
      </w:r>
    </w:p>
    <w:p>
      <w:pPr>
        <w:rPr>
          <w:color w:val="auto"/>
        </w:rPr>
      </w:pPr>
      <w:r>
        <w:rPr>
          <w:color w:val="auto"/>
        </w:rPr>
        <w:t>5.观察指标及时间</w:t>
      </w:r>
    </w:p>
    <w:p>
      <w:pPr>
        <w:rPr>
          <w:color w:val="auto"/>
        </w:rPr>
      </w:pPr>
      <w:r>
        <w:rPr>
          <w:rFonts w:hint="eastAsia"/>
          <w:color w:val="auto"/>
        </w:rPr>
        <w:t>（1）</w:t>
      </w:r>
      <w:r>
        <w:rPr>
          <w:color w:val="auto"/>
        </w:rPr>
        <w:t>全身或局部过敏反应</w:t>
      </w:r>
    </w:p>
    <w:p>
      <w:pPr>
        <w:rPr>
          <w:color w:val="auto"/>
        </w:rPr>
      </w:pPr>
      <w:r>
        <w:rPr>
          <w:rFonts w:hint="eastAsia"/>
          <w:color w:val="auto"/>
        </w:rPr>
        <w:t>主要观察敷药区皮肤的反应，如红斑与水肿等，并按相关标准进行评分。必要时提供相应的组织病理学照片。测定开始和结束时的动物体重。</w:t>
      </w:r>
    </w:p>
    <w:p>
      <w:pPr>
        <w:rPr>
          <w:color w:val="auto"/>
        </w:rPr>
      </w:pPr>
      <w:r>
        <w:rPr>
          <w:rFonts w:hint="eastAsia"/>
          <w:color w:val="auto"/>
        </w:rPr>
        <w:t>（2）</w:t>
      </w:r>
      <w:r>
        <w:rPr>
          <w:color w:val="auto"/>
        </w:rPr>
        <w:t>体重</w:t>
      </w:r>
    </w:p>
    <w:p>
      <w:pPr>
        <w:rPr>
          <w:color w:val="auto"/>
        </w:rPr>
      </w:pPr>
      <w:r>
        <w:rPr>
          <w:rFonts w:hint="eastAsia"/>
          <w:color w:val="auto"/>
        </w:rPr>
        <w:t>分别在试验开始、试验中适当时间和试验结束测定动物体重，以了解体重变化情况。</w:t>
      </w:r>
    </w:p>
    <w:p>
      <w:pPr>
        <w:rPr>
          <w:color w:val="auto"/>
        </w:rPr>
      </w:pPr>
      <w:r>
        <w:rPr>
          <w:color w:val="auto"/>
        </w:rPr>
        <w:t>6.统计方法</w:t>
      </w:r>
    </w:p>
    <w:p>
      <w:pPr>
        <w:rPr>
          <w:color w:val="auto"/>
        </w:rPr>
      </w:pPr>
      <w:r>
        <w:rPr>
          <w:rFonts w:hint="eastAsia"/>
          <w:color w:val="auto"/>
        </w:rPr>
        <w:t>应根据具体实验模型和试验方法选择合适的统计方法。</w:t>
      </w:r>
    </w:p>
    <w:p>
      <w:pPr>
        <w:rPr>
          <w:color w:val="auto"/>
        </w:rPr>
      </w:pPr>
      <w:r>
        <w:rPr>
          <w:rFonts w:hint="eastAsia"/>
          <w:color w:val="auto"/>
        </w:rPr>
        <w:t>（四）试验方法</w:t>
      </w:r>
    </w:p>
    <w:p>
      <w:pPr>
        <w:rPr>
          <w:color w:val="auto"/>
        </w:rPr>
      </w:pPr>
      <w:r>
        <w:rPr>
          <w:rFonts w:hint="eastAsia"/>
          <w:color w:val="auto"/>
        </w:rPr>
        <w:t>以下试验方法仅供参考。具体实施过程中应根据受试物的特点采用国内外公认的科学合理的试验方法，不应仅限于以下试验方法。</w:t>
      </w:r>
    </w:p>
    <w:p>
      <w:pPr>
        <w:rPr>
          <w:color w:val="auto"/>
        </w:rPr>
      </w:pPr>
      <w:r>
        <w:rPr>
          <w:color w:val="auto"/>
        </w:rPr>
        <w:t>1.主动皮肤过敏试验（ACA）</w:t>
      </w:r>
    </w:p>
    <w:p>
      <w:pPr>
        <w:rPr>
          <w:color w:val="auto"/>
        </w:rPr>
      </w:pPr>
      <w:r>
        <w:rPr>
          <w:rFonts w:hint="eastAsia"/>
          <w:color w:val="auto"/>
        </w:rPr>
        <w:t>（1）</w:t>
      </w:r>
      <w:r>
        <w:rPr>
          <w:color w:val="auto"/>
        </w:rPr>
        <w:t>实验动物及分组</w:t>
      </w:r>
    </w:p>
    <w:p>
      <w:pPr>
        <w:rPr>
          <w:color w:val="auto"/>
        </w:rPr>
      </w:pPr>
      <w:r>
        <w:rPr>
          <w:rFonts w:hint="eastAsia"/>
          <w:color w:val="auto"/>
        </w:rPr>
        <w:t>一般选用豚鼠，体重为</w:t>
      </w:r>
      <w:r>
        <w:rPr>
          <w:color w:val="auto"/>
        </w:rPr>
        <w:t>300～400g。每组动物的数量至少6只，雌雄各半。</w:t>
      </w:r>
    </w:p>
    <w:p>
      <w:pPr>
        <w:rPr>
          <w:color w:val="auto"/>
        </w:rPr>
      </w:pPr>
      <w:r>
        <w:rPr>
          <w:rFonts w:hint="eastAsia"/>
          <w:color w:val="auto"/>
        </w:rPr>
        <w:t>应设阴性、阳性对照组和受试物不同剂量组，至少包括临床拟用最高剂量或浓度。阴性对照组给予同体积的溶媒，阳性对照组一般给予牛血清白蛋白或卵白蛋白或已知致敏阳性物质。</w:t>
      </w:r>
    </w:p>
    <w:p>
      <w:pPr>
        <w:rPr>
          <w:color w:val="auto"/>
        </w:rPr>
      </w:pPr>
      <w:r>
        <w:rPr>
          <w:rFonts w:hint="eastAsia"/>
          <w:color w:val="auto"/>
        </w:rPr>
        <w:t>（2）</w:t>
      </w:r>
      <w:r>
        <w:rPr>
          <w:color w:val="auto"/>
        </w:rPr>
        <w:t>受试物的要求</w:t>
      </w:r>
    </w:p>
    <w:p>
      <w:pPr>
        <w:rPr>
          <w:color w:val="auto"/>
        </w:rPr>
      </w:pPr>
      <w:r>
        <w:rPr>
          <w:rFonts w:hint="eastAsia"/>
          <w:color w:val="auto"/>
        </w:rPr>
        <w:t>应与临床拟用制剂一致，为含活性成分和赋形剂或含透皮促进剂的混合制剂。若受试物为膏剂或液体，则一般不稀释；若受试物为固体粉末，则需与适量水或赋形剂混匀，以保证受试物与皮肤的良好接触。当使用赋形剂时，应考虑其对受试物透皮吸收的影响。</w:t>
      </w:r>
    </w:p>
    <w:p>
      <w:pPr>
        <w:rPr>
          <w:color w:val="auto"/>
        </w:rPr>
      </w:pPr>
      <w:r>
        <w:rPr>
          <w:rFonts w:hint="eastAsia"/>
          <w:color w:val="auto"/>
        </w:rPr>
        <w:t>（3）</w:t>
      </w:r>
      <w:r>
        <w:rPr>
          <w:color w:val="auto"/>
        </w:rPr>
        <w:t>给药方法</w:t>
      </w:r>
    </w:p>
    <w:p>
      <w:pPr>
        <w:rPr>
          <w:color w:val="auto"/>
        </w:rPr>
      </w:pPr>
      <w:r>
        <w:rPr>
          <w:rFonts w:hint="eastAsia"/>
          <w:color w:val="auto"/>
        </w:rPr>
        <w:t>试验前对动物拟给药局部去毛，脱毛面积为动物体表面积的</w:t>
      </w:r>
      <w:r>
        <w:rPr>
          <w:color w:val="auto"/>
        </w:rPr>
        <w:t>10%左右。</w:t>
      </w:r>
    </w:p>
    <w:p>
      <w:pPr>
        <w:rPr>
          <w:color w:val="auto"/>
        </w:rPr>
      </w:pPr>
      <w:r>
        <w:rPr>
          <w:rFonts w:hint="eastAsia"/>
          <w:color w:val="auto"/>
        </w:rPr>
        <w:t>在试验的第</w:t>
      </w:r>
      <w:r>
        <w:rPr>
          <w:color w:val="auto"/>
        </w:rPr>
        <w:t>0天、第7天和第14天，于动物去毛皮肤给予受试物致敏，给药后采用适当方式包扎固定，致敏接触阶段，应在充分保证受试物接触皮肤的范围和在皮肤的停留时间，一般在接触约6小时后去除药物。末次给药后14天，以同样方法于另一块去毛皮肤再次给药激发；激发给药6小时左右后，观察72小时内皮肤过敏反应情况，并按表1评分，按表2计算发生率。同时应观察动物是否有哮喘、站立不稳或休克等全身过敏反应。</w:t>
      </w:r>
    </w:p>
    <w:p>
      <w:pPr>
        <w:rPr>
          <w:color w:val="auto"/>
        </w:rPr>
      </w:pPr>
      <w:r>
        <w:rPr>
          <w:rFonts w:hint="eastAsia"/>
          <w:color w:val="auto"/>
        </w:rPr>
        <w:t>（4）</w:t>
      </w:r>
      <w:r>
        <w:rPr>
          <w:color w:val="auto"/>
        </w:rPr>
        <w:t>观察指标</w:t>
      </w:r>
    </w:p>
    <w:p>
      <w:pPr>
        <w:rPr>
          <w:color w:val="auto"/>
        </w:rPr>
      </w:pPr>
      <w:r>
        <w:rPr>
          <w:rFonts w:hint="eastAsia"/>
          <w:color w:val="auto"/>
        </w:rPr>
        <w:t>激发给药</w:t>
      </w:r>
      <w:r>
        <w:rPr>
          <w:color w:val="auto"/>
        </w:rPr>
        <w:t>6小时左右后，观察72小时内皮肤过敏反应情况，如红斑、水肿等过敏反应症状，并进行评分（参见表1）；</w:t>
      </w:r>
    </w:p>
    <w:p>
      <w:pPr>
        <w:rPr>
          <w:color w:val="auto"/>
        </w:rPr>
      </w:pPr>
      <w:r>
        <w:rPr>
          <w:rFonts w:hint="eastAsia"/>
          <w:color w:val="auto"/>
        </w:rPr>
        <w:t>计算过敏反应发生率，同时应观察动物是否有哮喘、站立不稳或休克等全身过敏反应。</w:t>
      </w:r>
    </w:p>
    <w:p>
      <w:pPr>
        <w:rPr>
          <w:color w:val="auto"/>
        </w:rPr>
      </w:pPr>
      <w:r>
        <w:rPr>
          <w:rFonts w:hint="eastAsia"/>
          <w:color w:val="auto"/>
        </w:rPr>
        <w:t>试验过程中分别于试验开始前、试验过程中适当时间和结束时测量动物体重。</w:t>
      </w:r>
    </w:p>
    <w:p>
      <w:pPr>
        <w:rPr>
          <w:color w:val="auto"/>
        </w:rPr>
      </w:pPr>
      <w:r>
        <w:rPr>
          <w:rFonts w:hint="eastAsia"/>
          <w:color w:val="auto"/>
        </w:rPr>
        <w:t>（5）</w:t>
      </w:r>
      <w:r>
        <w:rPr>
          <w:color w:val="auto"/>
        </w:rPr>
        <w:t>结果及分析</w:t>
      </w:r>
    </w:p>
    <w:p>
      <w:pPr>
        <w:rPr>
          <w:color w:val="auto"/>
        </w:rPr>
      </w:pPr>
      <w:r>
        <w:rPr>
          <w:rFonts w:hint="eastAsia"/>
          <w:color w:val="auto"/>
        </w:rPr>
        <w:t>根据过敏反应发生率判断过敏反应发生程度，并根据参照表</w:t>
      </w:r>
      <w:r>
        <w:rPr>
          <w:color w:val="auto"/>
        </w:rPr>
        <w:t>2的评价标准判定受试物的致敏强度。</w:t>
      </w:r>
    </w:p>
    <w:p>
      <w:pPr>
        <w:ind w:firstLine="0" w:firstLineChars="0"/>
        <w:jc w:val="center"/>
        <w:rPr>
          <w:color w:val="auto"/>
        </w:rPr>
      </w:pPr>
      <w:r>
        <w:rPr>
          <w:rFonts w:hint="eastAsia"/>
          <w:color w:val="auto"/>
        </w:rPr>
        <w:t>表</w:t>
      </w:r>
      <w:r>
        <w:rPr>
          <w:color w:val="auto"/>
        </w:rPr>
        <w:t>1 皮肤过敏反应程度的评分标准</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0"/>
        <w:gridCol w:w="1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0"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皮肤过敏反应</w:t>
            </w:r>
          </w:p>
        </w:tc>
        <w:tc>
          <w:tcPr>
            <w:tcW w:w="1442"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红斑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无红斑</w:t>
            </w:r>
          </w:p>
        </w:tc>
        <w:tc>
          <w:tcPr>
            <w:tcW w:w="1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轻度红斑，勉强可见</w:t>
            </w:r>
          </w:p>
        </w:tc>
        <w:tc>
          <w:tcPr>
            <w:tcW w:w="1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中度红斑，明显可见</w:t>
            </w:r>
          </w:p>
        </w:tc>
        <w:tc>
          <w:tcPr>
            <w:tcW w:w="1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重度红斑</w:t>
            </w:r>
          </w:p>
        </w:tc>
        <w:tc>
          <w:tcPr>
            <w:tcW w:w="1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紫红色红斑到轻度焦痂形成</w:t>
            </w:r>
          </w:p>
        </w:tc>
        <w:tc>
          <w:tcPr>
            <w:tcW w:w="1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spacing w:line="240" w:lineRule="auto"/>
              <w:ind w:firstLine="0" w:firstLineChars="0"/>
              <w:jc w:val="center"/>
              <w:rPr>
                <w:rFonts w:cs="Tahoma"/>
                <w:color w:val="auto"/>
                <w:kern w:val="0"/>
                <w:sz w:val="24"/>
                <w:szCs w:val="24"/>
              </w:rPr>
            </w:pPr>
            <w:r>
              <w:rPr>
                <w:rFonts w:cs="Tahoma"/>
                <w:b/>
                <w:bCs/>
                <w:color w:val="auto"/>
                <w:kern w:val="0"/>
                <w:sz w:val="24"/>
                <w:szCs w:val="24"/>
              </w:rPr>
              <w:t>水肿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无水肿</w:t>
            </w:r>
          </w:p>
        </w:tc>
        <w:tc>
          <w:tcPr>
            <w:tcW w:w="1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轻度水肿，勉强可见</w:t>
            </w:r>
          </w:p>
        </w:tc>
        <w:tc>
          <w:tcPr>
            <w:tcW w:w="1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中度水肿，明显可见（边缘高出周围皮肤）</w:t>
            </w:r>
          </w:p>
        </w:tc>
        <w:tc>
          <w:tcPr>
            <w:tcW w:w="1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重度水肿，皮肤隆起1mm，轮廓清楚</w:t>
            </w:r>
          </w:p>
        </w:tc>
        <w:tc>
          <w:tcPr>
            <w:tcW w:w="1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严重水肿，皮肤隆起1mm以上或有水泡或破溃</w:t>
            </w:r>
          </w:p>
        </w:tc>
        <w:tc>
          <w:tcPr>
            <w:tcW w:w="1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0"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最高总分值</w:t>
            </w:r>
          </w:p>
        </w:tc>
        <w:tc>
          <w:tcPr>
            <w:tcW w:w="1442"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8</w:t>
            </w:r>
          </w:p>
        </w:tc>
      </w:tr>
    </w:tbl>
    <w:p>
      <w:pPr>
        <w:ind w:firstLine="0" w:firstLineChars="0"/>
        <w:jc w:val="center"/>
        <w:rPr>
          <w:color w:val="auto"/>
        </w:rPr>
      </w:pPr>
      <w:r>
        <w:rPr>
          <w:rFonts w:hint="eastAsia"/>
          <w:color w:val="auto"/>
        </w:rPr>
        <w:t>表</w:t>
      </w:r>
      <w:r>
        <w:rPr>
          <w:color w:val="auto"/>
        </w:rPr>
        <w:t>2 皮肤致敏性评价标准</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致敏发生率（%）</w:t>
            </w:r>
          </w:p>
        </w:tc>
        <w:tc>
          <w:tcPr>
            <w:tcW w:w="4261"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皮肤致敏性评价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0～10</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无致敏性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11～30</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轻度致敏性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ind w:firstLine="0" w:firstLineChars="0"/>
              <w:jc w:val="center"/>
              <w:rPr>
                <w:rFonts w:cs="Tahoma"/>
                <w:color w:val="auto"/>
                <w:kern w:val="0"/>
                <w:sz w:val="24"/>
                <w:szCs w:val="24"/>
              </w:rPr>
            </w:pPr>
            <w:r>
              <w:rPr>
                <w:rFonts w:cs="Tahoma"/>
                <w:color w:val="auto"/>
                <w:kern w:val="0"/>
                <w:sz w:val="24"/>
                <w:szCs w:val="24"/>
              </w:rPr>
              <w:t>31～60</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中度致敏性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61～80</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高度致敏性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81～100</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极度致敏性</w:t>
            </w:r>
          </w:p>
        </w:tc>
      </w:tr>
    </w:tbl>
    <w:p>
      <w:pPr>
        <w:rPr>
          <w:color w:val="auto"/>
        </w:rPr>
      </w:pPr>
      <w:r>
        <w:rPr>
          <w:color w:val="auto"/>
        </w:rPr>
        <w:t>2.被动皮肤过敏试验（PCA）</w:t>
      </w:r>
    </w:p>
    <w:p>
      <w:pPr>
        <w:rPr>
          <w:color w:val="auto"/>
        </w:rPr>
      </w:pPr>
      <w:r>
        <w:rPr>
          <w:rFonts w:hint="eastAsia"/>
          <w:color w:val="auto"/>
        </w:rPr>
        <w:t>（1）</w:t>
      </w:r>
      <w:r>
        <w:rPr>
          <w:color w:val="auto"/>
        </w:rPr>
        <w:t>实验动物及分组</w:t>
      </w:r>
    </w:p>
    <w:p>
      <w:pPr>
        <w:rPr>
          <w:color w:val="auto"/>
        </w:rPr>
      </w:pPr>
      <w:r>
        <w:rPr>
          <w:rFonts w:hint="eastAsia"/>
          <w:color w:val="auto"/>
        </w:rPr>
        <w:t>通常选大鼠，可用小鼠，根据试验需要也可选用豚鼠，选择动物时应考虑不同种属动物</w:t>
      </w:r>
      <w:r>
        <w:rPr>
          <w:color w:val="auto"/>
        </w:rPr>
        <w:t>IgE的出现时间。每组动物数至少6只。</w:t>
      </w:r>
    </w:p>
    <w:p>
      <w:pPr>
        <w:rPr>
          <w:color w:val="auto"/>
        </w:rPr>
      </w:pPr>
      <w:r>
        <w:rPr>
          <w:rFonts w:hint="eastAsia"/>
          <w:color w:val="auto"/>
        </w:rPr>
        <w:t>应据受试物特点和试验目的设立阴性、阳性对照组、受试物不同剂量组（至少包括临床拟用最大剂量或浓度）。阴性对照组应给予同体积的溶媒，阳性对照组给予牛血清白蛋白或卵白蛋白或已知致敏阳性物质。</w:t>
      </w:r>
    </w:p>
    <w:p>
      <w:pPr>
        <w:rPr>
          <w:color w:val="auto"/>
        </w:rPr>
      </w:pPr>
      <w:r>
        <w:rPr>
          <w:rFonts w:hint="eastAsia"/>
          <w:color w:val="auto"/>
        </w:rPr>
        <w:t>（2）</w:t>
      </w:r>
      <w:r>
        <w:rPr>
          <w:color w:val="auto"/>
        </w:rPr>
        <w:t>给药方法</w:t>
      </w:r>
    </w:p>
    <w:p>
      <w:pPr>
        <w:rPr>
          <w:color w:val="auto"/>
        </w:rPr>
      </w:pPr>
      <w:r>
        <w:rPr>
          <w:rFonts w:hint="eastAsia"/>
          <w:color w:val="auto"/>
        </w:rPr>
        <w:t>致敏：选择容易产生抗体的给药方法，如静脉、腹腔或皮下注射等，隔日一次，共给药</w:t>
      </w:r>
      <w:r>
        <w:rPr>
          <w:color w:val="auto"/>
        </w:rPr>
        <w:t>3～5次；末次致敏后第10～14天制备致敏血清。</w:t>
      </w:r>
    </w:p>
    <w:p>
      <w:pPr>
        <w:rPr>
          <w:color w:val="auto"/>
        </w:rPr>
      </w:pPr>
      <w:r>
        <w:rPr>
          <w:rFonts w:hint="eastAsia"/>
          <w:color w:val="auto"/>
        </w:rPr>
        <w:t>激发：试验前对动物拟给药局部去毛，脱毛面积为动物体表面积的</w:t>
      </w:r>
      <w:r>
        <w:rPr>
          <w:color w:val="auto"/>
        </w:rPr>
        <w:t>10%左右。于动物备皮处皮内注射适合稀释度的致敏血清0.1mL，24或48小时后，静脉注射与致敏剂量相同的激发抗原加等量的0.5%～1%伊文思兰染料共1mL。</w:t>
      </w:r>
    </w:p>
    <w:p>
      <w:pPr>
        <w:rPr>
          <w:color w:val="auto"/>
        </w:rPr>
      </w:pPr>
      <w:r>
        <w:rPr>
          <w:rFonts w:hint="eastAsia"/>
          <w:color w:val="auto"/>
        </w:rPr>
        <w:t>由于不同种属动物接受含</w:t>
      </w:r>
      <w:r>
        <w:rPr>
          <w:color w:val="auto"/>
        </w:rPr>
        <w:t>IgE抗体血清后，至能够应答抗原攻击产生过敏反应的时间不同，因此，应特别注意不同种属动物激发时间选择的合理性。</w:t>
      </w:r>
    </w:p>
    <w:p>
      <w:pPr>
        <w:rPr>
          <w:color w:val="auto"/>
        </w:rPr>
      </w:pPr>
      <w:r>
        <w:rPr>
          <w:rFonts w:hint="eastAsia"/>
          <w:color w:val="auto"/>
        </w:rPr>
        <w:t>（3）</w:t>
      </w:r>
      <w:r>
        <w:rPr>
          <w:color w:val="auto"/>
        </w:rPr>
        <w:t>观察指标</w:t>
      </w:r>
    </w:p>
    <w:p>
      <w:pPr>
        <w:rPr>
          <w:color w:val="auto"/>
        </w:rPr>
      </w:pPr>
      <w:r>
        <w:rPr>
          <w:rFonts w:hint="eastAsia"/>
          <w:color w:val="auto"/>
        </w:rPr>
        <w:t>致敏后、激发前应每日观察动物一般症状、体征；激发注射</w:t>
      </w:r>
      <w:r>
        <w:rPr>
          <w:color w:val="auto"/>
        </w:rPr>
        <w:t>30分钟后测量皮肤内层的斑点大小，直径大于5mm者为阳性，不规则斑点的直径为长径与短径之和的一半，应提供各组蓝斑照片。</w:t>
      </w:r>
    </w:p>
    <w:p>
      <w:pPr>
        <w:rPr>
          <w:color w:val="auto"/>
        </w:rPr>
      </w:pPr>
      <w:r>
        <w:rPr>
          <w:rFonts w:hint="eastAsia"/>
          <w:color w:val="auto"/>
        </w:rPr>
        <w:t>（4）</w:t>
      </w:r>
      <w:r>
        <w:rPr>
          <w:color w:val="auto"/>
        </w:rPr>
        <w:t>结果及分析</w:t>
      </w:r>
    </w:p>
    <w:p>
      <w:pPr>
        <w:rPr>
          <w:color w:val="auto"/>
        </w:rPr>
      </w:pPr>
      <w:r>
        <w:rPr>
          <w:rFonts w:hint="eastAsia"/>
          <w:color w:val="auto"/>
        </w:rPr>
        <w:t>对蓝斑直径大于</w:t>
      </w:r>
      <w:r>
        <w:rPr>
          <w:color w:val="auto"/>
        </w:rPr>
        <w:t>5mm者可判定为阳性，计算各组的阳性反应发生率，对各组阳性率统计分析比较，结合一般症状、体征观察结果判断受试物是否有过敏反应。</w:t>
      </w:r>
    </w:p>
    <w:p>
      <w:pPr>
        <w:rPr>
          <w:color w:val="auto"/>
        </w:rPr>
      </w:pPr>
      <w:r>
        <w:rPr>
          <w:color w:val="auto"/>
        </w:rPr>
        <w:t>3.豚鼠Buehler试验（BT）和最大化试验（GPMT试验）</w:t>
      </w:r>
    </w:p>
    <w:p>
      <w:pPr>
        <w:rPr>
          <w:color w:val="auto"/>
        </w:rPr>
      </w:pPr>
      <w:r>
        <w:rPr>
          <w:rFonts w:hint="eastAsia"/>
          <w:color w:val="auto"/>
        </w:rPr>
        <w:t>（1）</w:t>
      </w:r>
      <w:r>
        <w:rPr>
          <w:color w:val="auto"/>
        </w:rPr>
        <w:t>实验动物及分组</w:t>
      </w:r>
    </w:p>
    <w:p>
      <w:pPr>
        <w:rPr>
          <w:color w:val="auto"/>
        </w:rPr>
      </w:pPr>
      <w:r>
        <w:rPr>
          <w:rFonts w:hint="eastAsia"/>
          <w:color w:val="auto"/>
        </w:rPr>
        <w:t>通常选成年豚鼠，受试物组不少于</w:t>
      </w:r>
      <w:r>
        <w:rPr>
          <w:color w:val="auto"/>
        </w:rPr>
        <w:t>20只、对照组不少于10只。</w:t>
      </w:r>
    </w:p>
    <w:p>
      <w:pPr>
        <w:rPr>
          <w:color w:val="auto"/>
        </w:rPr>
      </w:pPr>
      <w:r>
        <w:rPr>
          <w:rFonts w:hint="eastAsia"/>
          <w:color w:val="auto"/>
        </w:rPr>
        <w:t>应据受试物特点和试验目的设立阴性对照组和阳性对照组。可选用文献或相关技术指导原则推荐的阳性对照物，也可以使用其他的阳性对照物，但轻－中度的致敏剂在加佐剂的试验中至少</w:t>
      </w:r>
      <w:r>
        <w:rPr>
          <w:color w:val="auto"/>
        </w:rPr>
        <w:t>30%和不加佐剂试验中至少15%应有反应。</w:t>
      </w:r>
    </w:p>
    <w:p>
      <w:pPr>
        <w:rPr>
          <w:color w:val="auto"/>
        </w:rPr>
      </w:pPr>
      <w:r>
        <w:rPr>
          <w:rFonts w:hint="eastAsia"/>
          <w:color w:val="auto"/>
        </w:rPr>
        <w:t>（2）</w:t>
      </w:r>
      <w:r>
        <w:rPr>
          <w:color w:val="auto"/>
        </w:rPr>
        <w:t>给药方法</w:t>
      </w:r>
    </w:p>
    <w:p>
      <w:pPr>
        <w:rPr>
          <w:color w:val="auto"/>
        </w:rPr>
      </w:pPr>
      <w:r>
        <w:rPr>
          <w:rFonts w:hint="eastAsia"/>
          <w:color w:val="auto"/>
        </w:rPr>
        <w:t>药物剂量取决于所选择的方法。其中，</w:t>
      </w:r>
      <w:r>
        <w:rPr>
          <w:color w:val="auto"/>
        </w:rPr>
        <w:t>Buehler试验（BT试验）中，致敏剂量应当足够高，以产生轻微的刺激性，激发剂量为不产生刺激性的最高剂量；豚鼠最大化试验（GPMT试验）中，致敏剂量应足够高，以产生轻－中度的皮肤刺激性且能很好地全身耐受，激发剂量为不产生刺激性的最高剂量。</w:t>
      </w:r>
    </w:p>
    <w:p>
      <w:pPr>
        <w:rPr>
          <w:color w:val="auto"/>
        </w:rPr>
      </w:pPr>
      <w:r>
        <w:rPr>
          <w:rFonts w:hint="eastAsia"/>
          <w:color w:val="auto"/>
        </w:rPr>
        <w:t>一般在第</w:t>
      </w:r>
      <w:r>
        <w:rPr>
          <w:color w:val="auto"/>
        </w:rPr>
        <w:t>0、6～8天和13～15天局部给药诱导，第27～28天在未给药部位给药6小时激发。GMPT试验采用皮内注射给药，使用或者不使用佐剂进行诱导，局部诱导5～8天后，第20～22天给予激发剂量24小时。</w:t>
      </w:r>
    </w:p>
    <w:p>
      <w:pPr>
        <w:rPr>
          <w:color w:val="auto"/>
        </w:rPr>
      </w:pPr>
      <w:r>
        <w:rPr>
          <w:rFonts w:hint="eastAsia"/>
          <w:color w:val="auto"/>
        </w:rPr>
        <w:t>两种试验方法均在去除药物</w:t>
      </w:r>
      <w:r>
        <w:rPr>
          <w:color w:val="auto"/>
        </w:rPr>
        <w:t>24和48小时后观察并读取结果。如结果难以判定，一周后再次激发。</w:t>
      </w:r>
    </w:p>
    <w:p>
      <w:pPr>
        <w:rPr>
          <w:color w:val="auto"/>
        </w:rPr>
      </w:pPr>
      <w:r>
        <w:rPr>
          <w:rFonts w:hint="eastAsia"/>
          <w:color w:val="auto"/>
        </w:rPr>
        <w:t>（3）</w:t>
      </w:r>
      <w:r>
        <w:rPr>
          <w:color w:val="auto"/>
        </w:rPr>
        <w:t>观察指标</w:t>
      </w:r>
    </w:p>
    <w:p>
      <w:pPr>
        <w:rPr>
          <w:color w:val="auto"/>
        </w:rPr>
      </w:pPr>
      <w:r>
        <w:rPr>
          <w:rFonts w:hint="eastAsia"/>
          <w:color w:val="auto"/>
        </w:rPr>
        <w:t>一般在致敏后</w:t>
      </w:r>
      <w:r>
        <w:rPr>
          <w:color w:val="auto"/>
        </w:rPr>
        <w:t>1和24小时及激发后24和48小时观察皮肤红斑、水肿和其他异常反应，按表3进行评分，计算过敏反应发生率。可根据毒性反应情况适当调整观察时间。同时测定试验开始、试验过程中适当时间和结束时的动物体重。</w:t>
      </w:r>
    </w:p>
    <w:p>
      <w:pPr>
        <w:rPr>
          <w:color w:val="auto"/>
        </w:rPr>
      </w:pPr>
      <w:r>
        <w:rPr>
          <w:rFonts w:hint="eastAsia"/>
          <w:color w:val="auto"/>
        </w:rPr>
        <w:t>（4）</w:t>
      </w:r>
      <w:r>
        <w:rPr>
          <w:color w:val="auto"/>
        </w:rPr>
        <w:t>结果及分析</w:t>
      </w:r>
    </w:p>
    <w:p>
      <w:pPr>
        <w:rPr>
          <w:color w:val="auto"/>
        </w:rPr>
      </w:pPr>
      <w:r>
        <w:rPr>
          <w:rFonts w:hint="eastAsia"/>
          <w:color w:val="auto"/>
        </w:rPr>
        <w:t>据过敏反应发生率，按表</w:t>
      </w:r>
      <w:r>
        <w:rPr>
          <w:color w:val="auto"/>
        </w:rPr>
        <w:t>4判断过敏反应强度。</w:t>
      </w:r>
    </w:p>
    <w:p>
      <w:pPr>
        <w:ind w:firstLine="0" w:firstLineChars="0"/>
        <w:jc w:val="center"/>
        <w:rPr>
          <w:color w:val="auto"/>
        </w:rPr>
      </w:pPr>
      <w:r>
        <w:rPr>
          <w:rFonts w:hint="eastAsia"/>
          <w:color w:val="auto"/>
        </w:rPr>
        <w:t>表</w:t>
      </w:r>
      <w:r>
        <w:rPr>
          <w:color w:val="auto"/>
        </w:rPr>
        <w:t>3  皮肤反应评分标准</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皮肤反应强度</w:t>
            </w:r>
          </w:p>
        </w:tc>
        <w:tc>
          <w:tcPr>
            <w:tcW w:w="4261" w:type="dxa"/>
            <w:vAlign w:val="center"/>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积分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spacing w:line="240" w:lineRule="auto"/>
              <w:ind w:firstLine="0" w:firstLineChars="0"/>
              <w:jc w:val="center"/>
              <w:rPr>
                <w:rFonts w:cs="Tahoma"/>
                <w:color w:val="auto"/>
                <w:kern w:val="0"/>
                <w:sz w:val="24"/>
                <w:szCs w:val="24"/>
              </w:rPr>
            </w:pPr>
            <w:r>
              <w:rPr>
                <w:rFonts w:cs="Tahoma"/>
                <w:b/>
                <w:bCs/>
                <w:color w:val="auto"/>
                <w:kern w:val="0"/>
                <w:sz w:val="24"/>
                <w:szCs w:val="24"/>
              </w:rPr>
              <w:t>红斑形成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无红斑</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轻微可见红斑</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中度红斑</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重度红斑</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水肿性红斑</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spacing w:line="240" w:lineRule="auto"/>
              <w:ind w:firstLine="0" w:firstLineChars="0"/>
              <w:jc w:val="center"/>
              <w:rPr>
                <w:rFonts w:cs="Tahoma"/>
                <w:color w:val="auto"/>
                <w:kern w:val="0"/>
                <w:sz w:val="24"/>
                <w:szCs w:val="24"/>
              </w:rPr>
            </w:pPr>
            <w:r>
              <w:rPr>
                <w:rFonts w:cs="Tahoma"/>
                <w:b/>
                <w:bCs/>
                <w:color w:val="auto"/>
                <w:kern w:val="0"/>
                <w:sz w:val="24"/>
                <w:szCs w:val="24"/>
              </w:rPr>
              <w:t>水肿形成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无水肿</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轻度水肿</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中度水肿</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重度水肿</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总积分</w:t>
            </w:r>
          </w:p>
        </w:tc>
        <w:tc>
          <w:tcPr>
            <w:tcW w:w="4261" w:type="dxa"/>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7</w:t>
            </w:r>
          </w:p>
        </w:tc>
      </w:tr>
    </w:tbl>
    <w:p>
      <w:pPr>
        <w:ind w:firstLine="0" w:firstLineChars="0"/>
        <w:jc w:val="center"/>
        <w:rPr>
          <w:color w:val="auto"/>
        </w:rPr>
      </w:pPr>
      <w:r>
        <w:rPr>
          <w:rFonts w:hint="eastAsia"/>
          <w:color w:val="auto"/>
        </w:rPr>
        <w:t>表</w:t>
      </w:r>
      <w:r>
        <w:rPr>
          <w:color w:val="auto"/>
        </w:rPr>
        <w:t>4  致敏强度</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致敏率</w:t>
            </w:r>
          </w:p>
        </w:tc>
        <w:tc>
          <w:tcPr>
            <w:tcW w:w="2841" w:type="dxa"/>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分级</w:t>
            </w:r>
          </w:p>
        </w:tc>
        <w:tc>
          <w:tcPr>
            <w:tcW w:w="2841" w:type="dxa"/>
          </w:tcPr>
          <w:p>
            <w:pPr>
              <w:spacing w:line="240" w:lineRule="auto"/>
              <w:ind w:firstLine="0" w:firstLineChars="0"/>
              <w:jc w:val="center"/>
              <w:rPr>
                <w:rFonts w:cs="Tahoma"/>
                <w:b/>
                <w:bCs/>
                <w:color w:val="auto"/>
                <w:kern w:val="0"/>
                <w:sz w:val="24"/>
                <w:szCs w:val="24"/>
              </w:rPr>
            </w:pPr>
            <w:r>
              <w:rPr>
                <w:rFonts w:cs="Tahoma"/>
                <w:b/>
                <w:bCs/>
                <w:color w:val="auto"/>
                <w:kern w:val="0"/>
                <w:sz w:val="24"/>
                <w:szCs w:val="24"/>
              </w:rPr>
              <w:t>致敏强度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ind w:firstLine="0" w:firstLineChars="0"/>
              <w:jc w:val="center"/>
              <w:rPr>
                <w:rFonts w:cs="Tahoma"/>
                <w:color w:val="auto"/>
                <w:kern w:val="0"/>
                <w:sz w:val="24"/>
                <w:szCs w:val="24"/>
              </w:rPr>
            </w:pPr>
            <w:r>
              <w:rPr>
                <w:rFonts w:cs="Tahoma"/>
                <w:color w:val="auto"/>
                <w:kern w:val="0"/>
                <w:sz w:val="24"/>
                <w:szCs w:val="24"/>
              </w:rPr>
              <w:t>0～8</w:t>
            </w:r>
          </w:p>
        </w:tc>
        <w:tc>
          <w:tcPr>
            <w:tcW w:w="2841" w:type="dxa"/>
          </w:tcPr>
          <w:p>
            <w:pPr>
              <w:spacing w:line="240" w:lineRule="auto"/>
              <w:ind w:firstLine="0" w:firstLineChars="0"/>
              <w:jc w:val="center"/>
              <w:rPr>
                <w:rFonts w:cs="Tahoma"/>
                <w:color w:val="auto"/>
                <w:kern w:val="0"/>
                <w:sz w:val="24"/>
                <w:szCs w:val="24"/>
              </w:rPr>
            </w:pPr>
            <w:r>
              <w:rPr>
                <w:rFonts w:hint="eastAsia" w:cs="宋体"/>
                <w:color w:val="auto"/>
                <w:kern w:val="0"/>
                <w:sz w:val="24"/>
                <w:szCs w:val="24"/>
              </w:rPr>
              <w:t>Ⅰ</w:t>
            </w:r>
          </w:p>
        </w:tc>
        <w:tc>
          <w:tcPr>
            <w:tcW w:w="2841" w:type="dxa"/>
          </w:tcPr>
          <w:p>
            <w:pPr>
              <w:spacing w:line="240" w:lineRule="auto"/>
              <w:ind w:firstLine="0" w:firstLineChars="0"/>
              <w:jc w:val="center"/>
              <w:rPr>
                <w:rFonts w:cs="Tahoma"/>
                <w:color w:val="auto"/>
                <w:kern w:val="0"/>
                <w:sz w:val="24"/>
                <w:szCs w:val="24"/>
              </w:rPr>
            </w:pPr>
            <w:r>
              <w:rPr>
                <w:rFonts w:cs="Tahoma"/>
                <w:color w:val="auto"/>
                <w:kern w:val="0"/>
                <w:sz w:val="24"/>
                <w:szCs w:val="24"/>
              </w:rPr>
              <w:t>弱致敏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ind w:firstLine="0" w:firstLineChars="0"/>
              <w:jc w:val="center"/>
              <w:rPr>
                <w:rFonts w:cs="Tahoma"/>
                <w:color w:val="auto"/>
                <w:kern w:val="0"/>
                <w:sz w:val="24"/>
                <w:szCs w:val="24"/>
              </w:rPr>
            </w:pPr>
            <w:r>
              <w:rPr>
                <w:rFonts w:cs="Tahoma"/>
                <w:color w:val="auto"/>
                <w:kern w:val="0"/>
                <w:sz w:val="24"/>
                <w:szCs w:val="24"/>
              </w:rPr>
              <w:t>9～28</w:t>
            </w:r>
          </w:p>
        </w:tc>
        <w:tc>
          <w:tcPr>
            <w:tcW w:w="2841" w:type="dxa"/>
          </w:tcPr>
          <w:p>
            <w:pPr>
              <w:spacing w:line="240" w:lineRule="auto"/>
              <w:ind w:firstLine="0" w:firstLineChars="0"/>
              <w:jc w:val="center"/>
              <w:rPr>
                <w:rFonts w:cs="Tahoma"/>
                <w:color w:val="auto"/>
                <w:kern w:val="0"/>
                <w:sz w:val="24"/>
                <w:szCs w:val="24"/>
              </w:rPr>
            </w:pPr>
            <w:r>
              <w:rPr>
                <w:rFonts w:hint="eastAsia" w:cs="宋体"/>
                <w:color w:val="auto"/>
                <w:kern w:val="0"/>
                <w:sz w:val="24"/>
                <w:szCs w:val="24"/>
              </w:rPr>
              <w:t>Ⅱ</w:t>
            </w:r>
          </w:p>
        </w:tc>
        <w:tc>
          <w:tcPr>
            <w:tcW w:w="2841" w:type="dxa"/>
          </w:tcPr>
          <w:p>
            <w:pPr>
              <w:spacing w:line="240" w:lineRule="auto"/>
              <w:ind w:firstLine="0" w:firstLineChars="0"/>
              <w:jc w:val="center"/>
              <w:rPr>
                <w:rFonts w:cs="Tahoma"/>
                <w:color w:val="auto"/>
                <w:kern w:val="0"/>
                <w:sz w:val="24"/>
                <w:szCs w:val="24"/>
              </w:rPr>
            </w:pPr>
            <w:r>
              <w:rPr>
                <w:rFonts w:cs="Tahoma"/>
                <w:color w:val="auto"/>
                <w:kern w:val="0"/>
                <w:sz w:val="24"/>
                <w:szCs w:val="24"/>
              </w:rPr>
              <w:t>轻度致敏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ind w:firstLine="0" w:firstLineChars="0"/>
              <w:jc w:val="center"/>
              <w:rPr>
                <w:rFonts w:cs="Tahoma"/>
                <w:color w:val="auto"/>
                <w:kern w:val="0"/>
                <w:sz w:val="24"/>
                <w:szCs w:val="24"/>
              </w:rPr>
            </w:pPr>
            <w:r>
              <w:rPr>
                <w:rFonts w:cs="Tahoma"/>
                <w:color w:val="auto"/>
                <w:kern w:val="0"/>
                <w:sz w:val="24"/>
                <w:szCs w:val="24"/>
              </w:rPr>
              <w:t>29～64</w:t>
            </w:r>
          </w:p>
        </w:tc>
        <w:tc>
          <w:tcPr>
            <w:tcW w:w="2841" w:type="dxa"/>
          </w:tcPr>
          <w:p>
            <w:pPr>
              <w:spacing w:line="240" w:lineRule="auto"/>
              <w:ind w:firstLine="0" w:firstLineChars="0"/>
              <w:jc w:val="center"/>
              <w:rPr>
                <w:rFonts w:cs="Tahoma"/>
                <w:color w:val="auto"/>
                <w:kern w:val="0"/>
                <w:sz w:val="24"/>
                <w:szCs w:val="24"/>
              </w:rPr>
            </w:pPr>
            <w:r>
              <w:rPr>
                <w:rFonts w:hint="eastAsia" w:cs="宋体"/>
                <w:color w:val="auto"/>
                <w:kern w:val="0"/>
                <w:sz w:val="24"/>
                <w:szCs w:val="24"/>
              </w:rPr>
              <w:t>Ⅲ</w:t>
            </w:r>
          </w:p>
        </w:tc>
        <w:tc>
          <w:tcPr>
            <w:tcW w:w="2841" w:type="dxa"/>
          </w:tcPr>
          <w:p>
            <w:pPr>
              <w:spacing w:line="240" w:lineRule="auto"/>
              <w:ind w:firstLine="0" w:firstLineChars="0"/>
              <w:jc w:val="center"/>
              <w:rPr>
                <w:rFonts w:cs="Tahoma"/>
                <w:color w:val="auto"/>
                <w:kern w:val="0"/>
                <w:sz w:val="24"/>
                <w:szCs w:val="24"/>
              </w:rPr>
            </w:pPr>
            <w:r>
              <w:rPr>
                <w:rFonts w:cs="Tahoma"/>
                <w:color w:val="auto"/>
                <w:kern w:val="0"/>
                <w:sz w:val="24"/>
                <w:szCs w:val="24"/>
              </w:rPr>
              <w:t>中度致敏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ind w:firstLine="0" w:firstLineChars="0"/>
              <w:jc w:val="center"/>
              <w:rPr>
                <w:rFonts w:cs="Tahoma"/>
                <w:color w:val="auto"/>
                <w:kern w:val="0"/>
                <w:sz w:val="24"/>
                <w:szCs w:val="24"/>
              </w:rPr>
            </w:pPr>
            <w:r>
              <w:rPr>
                <w:rFonts w:cs="Tahoma"/>
                <w:color w:val="auto"/>
                <w:kern w:val="0"/>
                <w:sz w:val="24"/>
                <w:szCs w:val="24"/>
              </w:rPr>
              <w:t>65～80</w:t>
            </w:r>
          </w:p>
        </w:tc>
        <w:tc>
          <w:tcPr>
            <w:tcW w:w="2841" w:type="dxa"/>
          </w:tcPr>
          <w:p>
            <w:pPr>
              <w:spacing w:line="240" w:lineRule="auto"/>
              <w:ind w:firstLine="0" w:firstLineChars="0"/>
              <w:jc w:val="center"/>
              <w:rPr>
                <w:rFonts w:cs="Tahoma"/>
                <w:color w:val="auto"/>
                <w:kern w:val="0"/>
                <w:sz w:val="24"/>
                <w:szCs w:val="24"/>
              </w:rPr>
            </w:pPr>
            <w:r>
              <w:rPr>
                <w:rFonts w:hint="eastAsia" w:cs="宋体"/>
                <w:color w:val="auto"/>
                <w:kern w:val="0"/>
                <w:sz w:val="24"/>
                <w:szCs w:val="24"/>
              </w:rPr>
              <w:t>Ⅳ</w:t>
            </w:r>
          </w:p>
        </w:tc>
        <w:tc>
          <w:tcPr>
            <w:tcW w:w="2841" w:type="dxa"/>
          </w:tcPr>
          <w:p>
            <w:pPr>
              <w:spacing w:line="240" w:lineRule="auto"/>
              <w:ind w:firstLine="0" w:firstLineChars="0"/>
              <w:jc w:val="center"/>
              <w:rPr>
                <w:rFonts w:cs="Tahoma"/>
                <w:color w:val="auto"/>
                <w:kern w:val="0"/>
                <w:sz w:val="24"/>
                <w:szCs w:val="24"/>
              </w:rPr>
            </w:pPr>
            <w:r>
              <w:rPr>
                <w:rFonts w:cs="Tahoma"/>
                <w:color w:val="auto"/>
                <w:kern w:val="0"/>
                <w:sz w:val="24"/>
                <w:szCs w:val="24"/>
              </w:rPr>
              <w:t>强致敏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spacing w:line="240" w:lineRule="auto"/>
              <w:ind w:firstLine="0" w:firstLineChars="0"/>
              <w:jc w:val="center"/>
              <w:rPr>
                <w:rFonts w:cs="Tahoma"/>
                <w:color w:val="auto"/>
                <w:kern w:val="0"/>
                <w:sz w:val="24"/>
                <w:szCs w:val="24"/>
              </w:rPr>
            </w:pPr>
            <w:r>
              <w:rPr>
                <w:rFonts w:cs="Tahoma"/>
                <w:color w:val="auto"/>
                <w:kern w:val="0"/>
                <w:sz w:val="24"/>
                <w:szCs w:val="24"/>
              </w:rPr>
              <w:t>81～100</w:t>
            </w:r>
          </w:p>
        </w:tc>
        <w:tc>
          <w:tcPr>
            <w:tcW w:w="2841" w:type="dxa"/>
          </w:tcPr>
          <w:p>
            <w:pPr>
              <w:spacing w:line="240" w:lineRule="auto"/>
              <w:ind w:firstLine="0" w:firstLineChars="0"/>
              <w:jc w:val="center"/>
              <w:rPr>
                <w:rFonts w:cs="Tahoma"/>
                <w:color w:val="auto"/>
                <w:kern w:val="0"/>
                <w:sz w:val="24"/>
                <w:szCs w:val="24"/>
              </w:rPr>
            </w:pPr>
            <w:r>
              <w:rPr>
                <w:rFonts w:hint="eastAsia" w:cs="宋体"/>
                <w:color w:val="auto"/>
                <w:kern w:val="0"/>
                <w:sz w:val="24"/>
                <w:szCs w:val="24"/>
              </w:rPr>
              <w:t>Ⅴ</w:t>
            </w:r>
          </w:p>
        </w:tc>
        <w:tc>
          <w:tcPr>
            <w:tcW w:w="2841" w:type="dxa"/>
          </w:tcPr>
          <w:p>
            <w:pPr>
              <w:spacing w:line="240" w:lineRule="auto"/>
              <w:ind w:firstLine="0" w:firstLineChars="0"/>
              <w:jc w:val="center"/>
              <w:rPr>
                <w:rFonts w:cs="Tahoma"/>
                <w:color w:val="auto"/>
                <w:kern w:val="0"/>
                <w:sz w:val="24"/>
                <w:szCs w:val="24"/>
              </w:rPr>
            </w:pPr>
            <w:r>
              <w:rPr>
                <w:rFonts w:cs="Tahoma"/>
                <w:color w:val="auto"/>
                <w:kern w:val="0"/>
                <w:sz w:val="24"/>
                <w:szCs w:val="24"/>
              </w:rPr>
              <w:t>极强致敏</w:t>
            </w:r>
          </w:p>
        </w:tc>
      </w:tr>
    </w:tbl>
    <w:p>
      <w:pPr>
        <w:rPr>
          <w:color w:val="auto"/>
        </w:rPr>
      </w:pPr>
      <w:r>
        <w:rPr>
          <w:color w:val="auto"/>
        </w:rPr>
        <w:t>4.皮肤光过敏反应试验</w:t>
      </w:r>
    </w:p>
    <w:p>
      <w:pPr>
        <w:rPr>
          <w:color w:val="auto"/>
        </w:rPr>
      </w:pPr>
      <w:r>
        <w:rPr>
          <w:rFonts w:hint="eastAsia"/>
          <w:color w:val="auto"/>
        </w:rPr>
        <w:t>（1）</w:t>
      </w:r>
      <w:r>
        <w:rPr>
          <w:color w:val="auto"/>
        </w:rPr>
        <w:t>实验动物</w:t>
      </w:r>
    </w:p>
    <w:p>
      <w:pPr>
        <w:rPr>
          <w:color w:val="auto"/>
        </w:rPr>
      </w:pPr>
      <w:r>
        <w:rPr>
          <w:rFonts w:hint="eastAsia"/>
          <w:color w:val="auto"/>
        </w:rPr>
        <w:t>原则上选健康白色豚鼠，每组不少于</w:t>
      </w:r>
      <w:r>
        <w:rPr>
          <w:color w:val="auto"/>
        </w:rPr>
        <w:t>5只。</w:t>
      </w:r>
    </w:p>
    <w:p>
      <w:pPr>
        <w:rPr>
          <w:color w:val="auto"/>
        </w:rPr>
      </w:pPr>
      <w:r>
        <w:rPr>
          <w:rFonts w:hint="eastAsia"/>
          <w:color w:val="auto"/>
        </w:rPr>
        <w:t>（2）</w:t>
      </w:r>
      <w:r>
        <w:rPr>
          <w:color w:val="auto"/>
        </w:rPr>
        <w:t>常见的几种给药方法</w:t>
      </w:r>
    </w:p>
    <w:p>
      <w:pPr>
        <w:rPr>
          <w:color w:val="auto"/>
        </w:rPr>
      </w:pPr>
      <w:r>
        <w:rPr>
          <w:color w:val="auto"/>
        </w:rPr>
        <w:t>Adjuvant and Strip法：皮内注射FCA、损伤皮肤角质层后涂敷受试物、照射紫外线，以上操作反复5次进行致敏，2周后再次涂敷受试物，照射紫外线激发。</w:t>
      </w:r>
    </w:p>
    <w:p>
      <w:pPr>
        <w:rPr>
          <w:color w:val="auto"/>
        </w:rPr>
      </w:pPr>
      <w:r>
        <w:rPr>
          <w:color w:val="auto"/>
        </w:rPr>
        <w:t>Harber法：涂敷受试物、照射紫外线，此操作隔日一次共3次致敏。3周后再次涂敷受试物，30分钟后照射紫外线激发。</w:t>
      </w:r>
    </w:p>
    <w:p>
      <w:pPr>
        <w:rPr>
          <w:color w:val="auto"/>
        </w:rPr>
      </w:pPr>
      <w:r>
        <w:rPr>
          <w:color w:val="auto"/>
        </w:rPr>
        <w:t>Horio法：涂敷20%月桂醇硫酸钠，再涂敷受试物，立即照射紫外线，此操作每日一次共3次致敏。14天后再次涂敷受试物，照射紫外线激发。</w:t>
      </w:r>
    </w:p>
    <w:p>
      <w:pPr>
        <w:rPr>
          <w:color w:val="auto"/>
        </w:rPr>
      </w:pPr>
      <w:r>
        <w:rPr>
          <w:color w:val="auto"/>
        </w:rPr>
        <w:t>Jordan法：破损皮肤涂敷受试物，1小时后照射紫外线，此操作每周5次，连续3周进行致敏，2周后再涂敷受试物，6小时后照射紫外线，此操作连续2日进行激发。</w:t>
      </w:r>
    </w:p>
    <w:p>
      <w:pPr>
        <w:rPr>
          <w:color w:val="auto"/>
        </w:rPr>
      </w:pPr>
      <w:r>
        <w:rPr>
          <w:color w:val="auto"/>
        </w:rPr>
        <w:t>Maurer法：涂敷受试物，1小时后照射紫外线及可见光线进行致敏。6周和9周后，各3日连续涂敷受试物，30分钟后照射紫外线进行激发。</w:t>
      </w:r>
    </w:p>
    <w:p>
      <w:pPr>
        <w:rPr>
          <w:color w:val="auto"/>
        </w:rPr>
      </w:pPr>
      <w:r>
        <w:rPr>
          <w:color w:val="auto"/>
        </w:rPr>
        <w:t>Morikawa法：为Harber改良法，涂敷受试物，30分钟后照射紫外线，此操作每周连续5天，共2周进行致敏，致敏2周后，涂敷受试物，30分钟后照射紫外线进行激发。</w:t>
      </w:r>
    </w:p>
    <w:p>
      <w:pPr>
        <w:rPr>
          <w:color w:val="auto"/>
        </w:rPr>
      </w:pPr>
      <w:r>
        <w:rPr>
          <w:color w:val="auto"/>
        </w:rPr>
        <w:t>Vinson法：涂敷受试物，照射紫外线，每日一次，连续5次致敏，7～10天后，再次涂敷受试物，照射紫外线激发。</w:t>
      </w:r>
    </w:p>
    <w:p>
      <w:pPr>
        <w:rPr>
          <w:color w:val="auto"/>
        </w:rPr>
      </w:pPr>
      <w:r>
        <w:rPr>
          <w:rFonts w:hint="eastAsia"/>
          <w:color w:val="auto"/>
        </w:rPr>
        <w:t>（3）</w:t>
      </w:r>
      <w:r>
        <w:rPr>
          <w:color w:val="auto"/>
        </w:rPr>
        <w:t>观察指标</w:t>
      </w:r>
    </w:p>
    <w:p>
      <w:pPr>
        <w:rPr>
          <w:color w:val="auto"/>
        </w:rPr>
      </w:pPr>
      <w:r>
        <w:rPr>
          <w:rFonts w:hint="eastAsia"/>
          <w:color w:val="auto"/>
        </w:rPr>
        <w:t>主要观察敷药区皮肤的反应，如红斑与水肿等，也可参照皮肤给药光毒性或</w:t>
      </w:r>
      <w:r>
        <w:rPr>
          <w:color w:val="auto"/>
        </w:rPr>
        <w:t>/和上述试验按相关标准进行评分。</w:t>
      </w:r>
    </w:p>
    <w:p>
      <w:pPr>
        <w:rPr>
          <w:color w:val="auto"/>
        </w:rPr>
      </w:pPr>
      <w:r>
        <w:rPr>
          <w:rFonts w:hint="eastAsia"/>
          <w:color w:val="auto"/>
        </w:rPr>
        <w:t>（4）</w:t>
      </w:r>
      <w:r>
        <w:rPr>
          <w:color w:val="auto"/>
        </w:rPr>
        <w:t>结果及分析</w:t>
      </w:r>
    </w:p>
    <w:p>
      <w:pPr>
        <w:rPr>
          <w:color w:val="auto"/>
        </w:rPr>
      </w:pPr>
      <w:r>
        <w:rPr>
          <w:rFonts w:hint="eastAsia"/>
          <w:color w:val="auto"/>
        </w:rPr>
        <w:t>根据对照组与给药组光敏反应比较的结果进行评价。当出现阳性结果时应追加试验，如：与已知阳性物质的比较试验以及其他试验方法（不加佐剂）进行试验。</w:t>
      </w:r>
    </w:p>
    <w:p>
      <w:pPr>
        <w:rPr>
          <w:color w:val="auto"/>
        </w:rPr>
        <w:sectPr>
          <w:pgSz w:w="11906" w:h="16838"/>
          <w:pgMar w:top="1440" w:right="1800" w:bottom="1440" w:left="1800" w:header="851" w:footer="992" w:gutter="0"/>
          <w:cols w:space="425" w:num="1"/>
          <w:docGrid w:type="lines" w:linePitch="312" w:charSpace="0"/>
        </w:sectPr>
      </w:pPr>
    </w:p>
    <w:p>
      <w:pPr>
        <w:pStyle w:val="2"/>
        <w:rPr>
          <w:color w:val="auto"/>
        </w:rPr>
      </w:pPr>
      <w:bookmarkStart w:id="37" w:name="_Toc133164603"/>
      <w:bookmarkStart w:id="38" w:name="_Toc13425"/>
      <w:bookmarkStart w:id="39" w:name="_Toc20470"/>
      <w:r>
        <w:rPr>
          <w:rFonts w:hint="eastAsia"/>
          <w:color w:val="auto"/>
        </w:rPr>
        <w:t>临床前药效学研究技术指导原则</w:t>
      </w:r>
      <w:bookmarkEnd w:id="37"/>
      <w:bookmarkEnd w:id="38"/>
      <w:bookmarkEnd w:id="39"/>
    </w:p>
    <w:p>
      <w:pPr>
        <w:rPr>
          <w:color w:val="auto"/>
        </w:rPr>
      </w:pPr>
      <w:r>
        <w:rPr>
          <w:rFonts w:hint="eastAsia"/>
          <w:color w:val="auto"/>
        </w:rPr>
        <w:t>根据国家食品药品监督管理局《医疗机构制剂注册管理办法》（试行）、《医疗机构制剂注册管理办法》（征求意见稿）及卫生部、国家中医药局、国家食品药品监督管理局《关于加强医疗机构中药制剂管理的意见》等有关要求，参照国家药品监督管理局发布的中药、天然药物研究技术指导原则，结合中药制剂临床用药、处方组成及剂型等特点，制订本技术指导原则。</w:t>
      </w:r>
    </w:p>
    <w:p>
      <w:pPr>
        <w:rPr>
          <w:color w:val="auto"/>
        </w:rPr>
      </w:pPr>
      <w:r>
        <w:rPr>
          <w:rFonts w:hint="eastAsia"/>
          <w:color w:val="auto"/>
        </w:rPr>
        <w:t>一、一般要求</w:t>
      </w:r>
    </w:p>
    <w:p>
      <w:pPr>
        <w:rPr>
          <w:color w:val="auto"/>
        </w:rPr>
      </w:pPr>
      <w:r>
        <w:rPr>
          <w:rFonts w:hint="eastAsia"/>
          <w:color w:val="auto"/>
        </w:rPr>
        <w:t>（一）基本原则：本指导原则不可能涵盖相关研究中的所有情况，仅作为目前对医疗机构制剂药效学研究的基本要求。具体制剂品种的相关研究应在本指导原则基础上，根据制剂的自身特点，遵循“具体问题具体分析”的原则。</w:t>
      </w:r>
    </w:p>
    <w:p>
      <w:pPr>
        <w:rPr>
          <w:color w:val="auto"/>
        </w:rPr>
      </w:pPr>
      <w:r>
        <w:rPr>
          <w:rFonts w:hint="eastAsia"/>
          <w:color w:val="auto"/>
        </w:rPr>
        <w:t>（二）实验管理：应遵守《药物非临床研究质量管理规范》。</w:t>
      </w:r>
    </w:p>
    <w:p>
      <w:pPr>
        <w:rPr>
          <w:color w:val="auto"/>
        </w:rPr>
      </w:pPr>
      <w:r>
        <w:rPr>
          <w:rFonts w:hint="eastAsia"/>
          <w:color w:val="auto"/>
        </w:rPr>
        <w:t>（三）研究机构：必须是已在国内外相关机构注册（或备案）、从事药物有效性评价的具有法人资格的机构。应取得相应实验动物使用许可证，具有相关研究领域的相应设备设施或者相关资质。</w:t>
      </w:r>
    </w:p>
    <w:p>
      <w:pPr>
        <w:rPr>
          <w:color w:val="auto"/>
        </w:rPr>
      </w:pPr>
      <w:r>
        <w:rPr>
          <w:rFonts w:hint="eastAsia"/>
          <w:color w:val="auto"/>
        </w:rPr>
        <w:t>（四）实验环境：应是与实验动物级别相适应的实验环境，并能满足实验动物饲养标准要求。</w:t>
      </w:r>
    </w:p>
    <w:p>
      <w:pPr>
        <w:rPr>
          <w:color w:val="auto"/>
        </w:rPr>
      </w:pPr>
      <w:r>
        <w:rPr>
          <w:rFonts w:hint="eastAsia"/>
          <w:color w:val="auto"/>
        </w:rPr>
        <w:t>（五）研究人员：试验项目负责人必须具备相关专业领域副高级及其以上的技术职称；所有参加研究的人员必须接受过相关专业的正规培训或训练。</w:t>
      </w:r>
    </w:p>
    <w:p>
      <w:pPr>
        <w:rPr>
          <w:color w:val="auto"/>
        </w:rPr>
      </w:pPr>
      <w:r>
        <w:rPr>
          <w:rFonts w:hint="eastAsia"/>
          <w:color w:val="auto"/>
        </w:rPr>
        <w:t>（六）实验样品</w:t>
      </w:r>
      <w:r>
        <w:rPr>
          <w:color w:val="auto"/>
        </w:rPr>
        <w:t>/对照药物要求</w:t>
      </w:r>
    </w:p>
    <w:p>
      <w:pPr>
        <w:rPr>
          <w:color w:val="auto"/>
        </w:rPr>
      </w:pPr>
      <w:r>
        <w:rPr>
          <w:rFonts w:hint="eastAsia"/>
          <w:color w:val="auto"/>
        </w:rPr>
        <w:t>药效学研究所使用的受试物应当采用制备工艺相对稳定、符合拟申报医疗机构制剂拟定的质量标准草案要求的中试样品（若因特殊情况不能提供中试样品的，需提供充分理由）。注明受试物的名称、来源、批号、含量（或规格）、保存条件、配制方法及配制单位等，并提供受试样品的检验报告。试验中所用溶媒和</w:t>
      </w:r>
      <w:r>
        <w:rPr>
          <w:color w:val="auto"/>
        </w:rPr>
        <w:t>/或辅料，应提供批号、规格、生产厂家，并符合试验要求。由于中药(民族药)的特殊性，建议试验中使用的受试物采用临用现配的方法配制。对照药物原则上选择目前已经上市，与受试制剂的功能主治、药理作用（机理）相同或相近的药物。</w:t>
      </w:r>
    </w:p>
    <w:p>
      <w:pPr>
        <w:rPr>
          <w:color w:val="auto"/>
        </w:rPr>
      </w:pPr>
      <w:r>
        <w:rPr>
          <w:rFonts w:hint="eastAsia"/>
          <w:color w:val="auto"/>
        </w:rPr>
        <w:t>（七）实验设计</w:t>
      </w:r>
    </w:p>
    <w:p>
      <w:pPr>
        <w:rPr>
          <w:color w:val="auto"/>
        </w:rPr>
      </w:pPr>
      <w:r>
        <w:rPr>
          <w:rFonts w:hint="eastAsia"/>
          <w:color w:val="auto"/>
        </w:rPr>
        <w:t>实验设计应符合随机、对照、重复的基本原则。</w:t>
      </w:r>
    </w:p>
    <w:p>
      <w:pPr>
        <w:rPr>
          <w:color w:val="auto"/>
        </w:rPr>
      </w:pPr>
      <w:r>
        <w:rPr>
          <w:color w:val="auto"/>
        </w:rPr>
        <w:t>1.实验设计应考虑中医药、民族医药特点，根据医疗机构制剂的主治（病或证），参照其功能，选择两种或多种相应试验方法，进行主要药效试验。</w:t>
      </w:r>
    </w:p>
    <w:p>
      <w:pPr>
        <w:rPr>
          <w:color w:val="auto"/>
        </w:rPr>
      </w:pPr>
      <w:r>
        <w:rPr>
          <w:color w:val="auto"/>
        </w:rPr>
        <w:t>2.由于中药、民族药常具有多方面的药效或通过多种方式发挥作用等特点，应选择相应的试验方法证实其药效。有时药效不够明显或仅见作用趋势，统计学处理无显著差异或量效关系不明显，也应如实上报结果作为参考。</w:t>
      </w:r>
    </w:p>
    <w:p>
      <w:pPr>
        <w:rPr>
          <w:color w:val="auto"/>
        </w:rPr>
      </w:pPr>
      <w:r>
        <w:rPr>
          <w:color w:val="auto"/>
        </w:rPr>
        <w:t>3.各种试验至少应设3个剂量组，药效学剂量常通过预试验找出最小有效量，再做正式试验。药效学试验的换算一般采用临床用量的体重计算，也可用临床等效量或根据半数致死量（LD50）计算，剂量选择应合理，尽量反映量效和（或）时效关系，大动物（猴、狗等）试验或在特殊情况下，可适当减少剂量组。</w:t>
      </w:r>
    </w:p>
    <w:p>
      <w:pPr>
        <w:rPr>
          <w:color w:val="auto"/>
        </w:rPr>
      </w:pPr>
      <w:r>
        <w:rPr>
          <w:color w:val="auto"/>
        </w:rPr>
        <w:t>4.试验结果应经统计学处理，并以表格列出统计结果，注明所使用的统计方法。</w:t>
      </w:r>
    </w:p>
    <w:p>
      <w:pPr>
        <w:rPr>
          <w:color w:val="auto"/>
        </w:rPr>
      </w:pPr>
      <w:r>
        <w:rPr>
          <w:rFonts w:hint="eastAsia"/>
          <w:color w:val="auto"/>
        </w:rPr>
        <w:t>二、基本内容</w:t>
      </w:r>
    </w:p>
    <w:p>
      <w:pPr>
        <w:rPr>
          <w:color w:val="auto"/>
        </w:rPr>
      </w:pPr>
      <w:r>
        <w:rPr>
          <w:rFonts w:hint="eastAsia"/>
          <w:color w:val="auto"/>
        </w:rPr>
        <w:t>由于中药制剂常具有多方面的药理作用，试验设计应充分考虑中医药的特点，根据制剂的功能主治或适应症，以反映临床疾病的病理生理过程，反映药理作用本质为前提，开展主要药效学研究。在“证”的生理病理学基础尚不确定，没有公认模型的情况下，可结合中医临床用药的规律与特点、中药药理学和现代生命科学的成果，选择与建立相应的疾病模型，以体内试验为主，必要时配合体外试验，评价该制剂对病理生理过程的影响，从而说明该制剂的人体临床作用，为开展临床研究提供支持。</w:t>
      </w:r>
    </w:p>
    <w:p>
      <w:pPr>
        <w:rPr>
          <w:color w:val="auto"/>
        </w:rPr>
      </w:pPr>
      <w:r>
        <w:rPr>
          <w:rFonts w:hint="eastAsia"/>
          <w:color w:val="auto"/>
        </w:rPr>
        <w:t>（一）实验动物</w:t>
      </w:r>
    </w:p>
    <w:p>
      <w:pPr>
        <w:rPr>
          <w:color w:val="auto"/>
        </w:rPr>
      </w:pPr>
      <w:r>
        <w:rPr>
          <w:rFonts w:hint="eastAsia"/>
          <w:color w:val="auto"/>
        </w:rPr>
        <w:t>根据实验的具体要求，合理选择动物，提供单位必须是已经取得相应实验动物生产许可证的单位，研究用的实验动物应具实验动物合格证及所使用动物有批号。一般多采用成年动物，必要时可选用特定年龄、性别的动物或特殊模型动物。对其种属、性别、年龄、体重、健康状态、饲养条件、动物来源及合格证号等，应有详细记录。</w:t>
      </w:r>
    </w:p>
    <w:p>
      <w:pPr>
        <w:rPr>
          <w:color w:val="auto"/>
        </w:rPr>
      </w:pPr>
      <w:r>
        <w:rPr>
          <w:rFonts w:hint="eastAsia"/>
          <w:color w:val="auto"/>
        </w:rPr>
        <w:t>（二）动物模型</w:t>
      </w:r>
    </w:p>
    <w:p>
      <w:pPr>
        <w:rPr>
          <w:color w:val="auto"/>
        </w:rPr>
      </w:pPr>
      <w:r>
        <w:rPr>
          <w:rFonts w:hint="eastAsia"/>
          <w:color w:val="auto"/>
        </w:rPr>
        <w:t>药效学评价尽量采用整体动物实验，根据药物作用特点及临床适应症选择相应的动物模型，选择最具代表性的</w:t>
      </w:r>
      <w:r>
        <w:rPr>
          <w:color w:val="auto"/>
        </w:rPr>
        <w:t>2个（含2个）以上动物模型，对制剂的药效进行评价。</w:t>
      </w:r>
    </w:p>
    <w:p>
      <w:pPr>
        <w:rPr>
          <w:color w:val="auto"/>
        </w:rPr>
      </w:pPr>
      <w:r>
        <w:rPr>
          <w:rFonts w:hint="eastAsia"/>
          <w:color w:val="auto"/>
        </w:rPr>
        <w:t>鼓励采用与拟治疾病相似或相近的成熟中医“证候”模型或疾病模型进行药效学研究，但应有相应的试验数据支持模型的可靠性；如缺乏成熟的中医“证候”动物模型或疾病模型，可通过观察与药物主治功效相近的药理作用来评价药效。</w:t>
      </w:r>
    </w:p>
    <w:p>
      <w:pPr>
        <w:rPr>
          <w:color w:val="auto"/>
        </w:rPr>
      </w:pPr>
      <w:r>
        <w:rPr>
          <w:rFonts w:hint="eastAsia"/>
          <w:color w:val="auto"/>
        </w:rPr>
        <w:t>（三）组别设置</w:t>
      </w:r>
    </w:p>
    <w:p>
      <w:pPr>
        <w:rPr>
          <w:color w:val="auto"/>
        </w:rPr>
      </w:pPr>
      <w:r>
        <w:rPr>
          <w:rFonts w:hint="eastAsia"/>
          <w:color w:val="auto"/>
        </w:rPr>
        <w:t>应设立阴性对照、阳性对照和受试药物不同剂量组，必要时须设正常对照组。根据动物种属和研究目的确定所需动物数量，动物数量应符合试验方法及结果分析评价的需要。每组动物数应符合统计学要求，大动物（猴、狗等）试验或在特殊情况下，可适当减少剂量组。一般情况下，试验动物数量大鼠、小鼠不得少于</w:t>
      </w:r>
      <w:r>
        <w:rPr>
          <w:color w:val="auto"/>
        </w:rPr>
        <w:t>10只；猫、犬不得少于4只；兔不得少于6只；豚鼠不得少于8只。</w:t>
      </w:r>
    </w:p>
    <w:p>
      <w:pPr>
        <w:rPr>
          <w:color w:val="auto"/>
        </w:rPr>
      </w:pPr>
      <w:r>
        <w:rPr>
          <w:rFonts w:hint="eastAsia"/>
          <w:color w:val="auto"/>
        </w:rPr>
        <w:t>（四）给药途径</w:t>
      </w:r>
    </w:p>
    <w:p>
      <w:pPr>
        <w:rPr>
          <w:color w:val="auto"/>
        </w:rPr>
      </w:pPr>
      <w:r>
        <w:rPr>
          <w:rFonts w:hint="eastAsia"/>
          <w:color w:val="auto"/>
        </w:rPr>
        <w:t>应选用与临床用药一致的给药途径。如不采用临床途径给药，也可选用其它给药途径进行试验，但应充分说明理由。</w:t>
      </w:r>
    </w:p>
    <w:p>
      <w:pPr>
        <w:rPr>
          <w:color w:val="auto"/>
        </w:rPr>
      </w:pPr>
      <w:r>
        <w:rPr>
          <w:rFonts w:hint="eastAsia"/>
          <w:color w:val="auto"/>
        </w:rPr>
        <w:t>（五）检测指标选择</w:t>
      </w:r>
    </w:p>
    <w:p>
      <w:pPr>
        <w:rPr>
          <w:color w:val="auto"/>
        </w:rPr>
      </w:pPr>
      <w:r>
        <w:rPr>
          <w:rFonts w:hint="eastAsia"/>
          <w:color w:val="auto"/>
        </w:rPr>
        <w:t>检测指标应与其临床适应症相匹配，且所检测的指标应选用特异性强、敏感性高、重现性好、客观、定量或半定量的指标进行观测。</w:t>
      </w:r>
    </w:p>
    <w:p>
      <w:pPr>
        <w:rPr>
          <w:color w:val="auto"/>
        </w:rPr>
      </w:pPr>
      <w:r>
        <w:rPr>
          <w:rFonts w:hint="eastAsia"/>
          <w:color w:val="auto"/>
        </w:rPr>
        <w:t>（六）统计学处理</w:t>
      </w:r>
    </w:p>
    <w:p>
      <w:pPr>
        <w:rPr>
          <w:color w:val="auto"/>
        </w:rPr>
      </w:pPr>
      <w:r>
        <w:rPr>
          <w:rFonts w:hint="eastAsia"/>
          <w:color w:val="auto"/>
        </w:rPr>
        <w:t>根据试验设计方法的特点、资料数据的性质，选择恰当的统计方法。比较受试物组、阳性对照组与阴性对照组间的统计学差异及作用特点，并说明数据处理的统计学方法，若使用计算机统计软件处理数据，应说明所用软件的有关信息。</w:t>
      </w:r>
    </w:p>
    <w:p>
      <w:pPr>
        <w:rPr>
          <w:color w:val="auto"/>
        </w:rPr>
      </w:pPr>
      <w:r>
        <w:rPr>
          <w:rFonts w:hint="eastAsia"/>
          <w:color w:val="auto"/>
        </w:rPr>
        <w:t>（七）结果表述</w:t>
      </w:r>
    </w:p>
    <w:p>
      <w:pPr>
        <w:rPr>
          <w:color w:val="auto"/>
        </w:rPr>
      </w:pPr>
      <w:r>
        <w:rPr>
          <w:rFonts w:hint="eastAsia"/>
          <w:color w:val="auto"/>
        </w:rPr>
        <w:t>应选择合适的图、表进行表示，病理观察应有相应的病理照片佐证。</w:t>
      </w:r>
    </w:p>
    <w:p>
      <w:pPr>
        <w:rPr>
          <w:color w:val="auto"/>
        </w:rPr>
      </w:pPr>
      <w:r>
        <w:rPr>
          <w:rFonts w:hint="eastAsia"/>
          <w:color w:val="auto"/>
        </w:rPr>
        <w:t>（八）讨论</w:t>
      </w:r>
    </w:p>
    <w:p>
      <w:pPr>
        <w:rPr>
          <w:color w:val="auto"/>
        </w:rPr>
      </w:pPr>
      <w:r>
        <w:rPr>
          <w:rFonts w:hint="eastAsia"/>
          <w:color w:val="auto"/>
        </w:rPr>
        <w:t>对结论应有简略的讨论，简要说明检测指标与疾病的关系，初步阐明药物的作用特点。</w:t>
      </w:r>
    </w:p>
    <w:p>
      <w:pPr>
        <w:rPr>
          <w:color w:val="auto"/>
        </w:rPr>
        <w:sectPr>
          <w:pgSz w:w="11906" w:h="16838"/>
          <w:pgMar w:top="1440" w:right="1800" w:bottom="1440" w:left="1800" w:header="851" w:footer="992" w:gutter="0"/>
          <w:cols w:space="425" w:num="1"/>
          <w:docGrid w:type="lines" w:linePitch="312" w:charSpace="0"/>
        </w:sectPr>
      </w:pPr>
    </w:p>
    <w:p>
      <w:pPr>
        <w:pStyle w:val="2"/>
        <w:rPr>
          <w:color w:val="auto"/>
        </w:rPr>
      </w:pPr>
      <w:bookmarkStart w:id="40" w:name="_Toc133164604"/>
      <w:bookmarkStart w:id="41" w:name="_Toc27856"/>
      <w:bookmarkStart w:id="42" w:name="_Toc234"/>
      <w:r>
        <w:rPr>
          <w:rFonts w:hint="eastAsia"/>
          <w:color w:val="auto"/>
        </w:rPr>
        <w:t>临床研究技术指导原则</w:t>
      </w:r>
      <w:bookmarkEnd w:id="40"/>
      <w:bookmarkEnd w:id="41"/>
      <w:bookmarkEnd w:id="42"/>
    </w:p>
    <w:p>
      <w:pPr>
        <w:rPr>
          <w:color w:val="auto"/>
        </w:rPr>
      </w:pPr>
      <w:r>
        <w:rPr>
          <w:rFonts w:hint="eastAsia"/>
          <w:color w:val="auto"/>
        </w:rPr>
        <w:t>根据《医疗机构制剂注册管理办法》（试行）、《药物临床试验质量管理规范》的有关要求，参照国家药品监督管理局发布的中药、天然药物研究技术指导原则，结合中药、民族药制剂的特点，制定本技术指导原则。其目的是指导医疗机构制定临床研究计划和方案，规范临床研究行为，真实客观地获得中药、民族药制剂安全性、有效性的数据及结论；明确免报临床研究资料的条件及范围；为中药、民族药制剂临床评价提供明确统一的研究技术要求。</w:t>
      </w:r>
    </w:p>
    <w:p>
      <w:pPr>
        <w:rPr>
          <w:color w:val="auto"/>
        </w:rPr>
      </w:pPr>
      <w:r>
        <w:rPr>
          <w:rFonts w:hint="eastAsia"/>
          <w:color w:val="auto"/>
        </w:rPr>
        <w:t>一、临床研究的前提</w:t>
      </w:r>
    </w:p>
    <w:p>
      <w:pPr>
        <w:rPr>
          <w:color w:val="auto"/>
        </w:rPr>
      </w:pPr>
      <w:r>
        <w:rPr>
          <w:rFonts w:hint="eastAsia"/>
          <w:color w:val="auto"/>
        </w:rPr>
        <w:t>临床研究用的中药、民族药制剂，应当按照《医疗机构制剂配制质量管理规范》或《药品生产质量管理规范》的要求配制，配制的制剂应当符合云南省食品药品监督管理局审定的质量标准，并经检验合格。</w:t>
      </w:r>
    </w:p>
    <w:p>
      <w:pPr>
        <w:rPr>
          <w:color w:val="auto"/>
        </w:rPr>
      </w:pPr>
      <w:r>
        <w:rPr>
          <w:rFonts w:hint="eastAsia"/>
          <w:color w:val="auto"/>
        </w:rPr>
        <w:t>中药、民族药制剂的临床研究，应当在获得云南省食品药品监督管理局《医疗机构制剂临床研究批件》和本单位医学伦理委员会《临床研究医学伦理审查批件》（未建立伦理委员会的医疗机构可委托其他医疗机构伦理委员会审批）后，按照《药物临床试验质量管理规范》的要求实施。</w:t>
      </w:r>
    </w:p>
    <w:p>
      <w:pPr>
        <w:rPr>
          <w:color w:val="auto"/>
        </w:rPr>
      </w:pPr>
      <w:r>
        <w:rPr>
          <w:rFonts w:hint="eastAsia"/>
          <w:color w:val="auto"/>
        </w:rPr>
        <w:t>二、临床研究的场所</w:t>
      </w:r>
    </w:p>
    <w:p>
      <w:pPr>
        <w:rPr>
          <w:color w:val="auto"/>
        </w:rPr>
      </w:pPr>
      <w:r>
        <w:rPr>
          <w:rFonts w:hint="eastAsia"/>
          <w:color w:val="auto"/>
        </w:rPr>
        <w:t>中药、民族药制剂的临床研究，应当在本医疗机构或具有药物临床试验资格的机构按照临床研究方案进行。</w:t>
      </w:r>
    </w:p>
    <w:p>
      <w:pPr>
        <w:rPr>
          <w:color w:val="auto"/>
        </w:rPr>
      </w:pPr>
      <w:r>
        <w:rPr>
          <w:rFonts w:hint="eastAsia"/>
          <w:color w:val="auto"/>
        </w:rPr>
        <w:t>三、临床研究的期限</w:t>
      </w:r>
    </w:p>
    <w:p>
      <w:pPr>
        <w:rPr>
          <w:color w:val="auto"/>
        </w:rPr>
      </w:pPr>
      <w:r>
        <w:rPr>
          <w:rFonts w:hint="eastAsia"/>
          <w:color w:val="auto"/>
        </w:rPr>
        <w:t>临床试验应当在批准后</w:t>
      </w:r>
      <w:r>
        <w:rPr>
          <w:color w:val="auto"/>
        </w:rPr>
        <w:t>2年内实施；逾期未实施的，原批准文件自行废止；仍需进行临床试验的，应当重新申请。</w:t>
      </w:r>
    </w:p>
    <w:p>
      <w:pPr>
        <w:rPr>
          <w:color w:val="auto"/>
        </w:rPr>
      </w:pPr>
      <w:r>
        <w:rPr>
          <w:rFonts w:hint="eastAsia"/>
          <w:color w:val="auto"/>
        </w:rPr>
        <w:t>自临床研究批准之日起</w:t>
      </w:r>
      <w:r>
        <w:rPr>
          <w:color w:val="auto"/>
        </w:rPr>
        <w:t>3年内应完成临床研究及总结报告，如临床试验已开展但因特殊情况无法如期完成，应提前60日向云南省药品监督管理局提出延期申请。</w:t>
      </w:r>
    </w:p>
    <w:p>
      <w:pPr>
        <w:rPr>
          <w:color w:val="auto"/>
        </w:rPr>
      </w:pPr>
      <w:r>
        <w:rPr>
          <w:rFonts w:hint="eastAsia"/>
          <w:color w:val="auto"/>
        </w:rPr>
        <w:t>四、临床研究方案的制定</w:t>
      </w:r>
    </w:p>
    <w:p>
      <w:pPr>
        <w:rPr>
          <w:color w:val="auto"/>
        </w:rPr>
      </w:pPr>
      <w:r>
        <w:rPr>
          <w:rFonts w:hint="eastAsia"/>
          <w:color w:val="auto"/>
        </w:rPr>
        <w:t>根据《药物临床试验质量管理规范》的有关规定，结合中药、民族药制剂拟定的功能主治，制定合理、可行的临床研究方案，取得《医疗机构制剂临床研究批件》，经伦理委员会（未建立伦理委员会的医疗机构可委托其他医疗机构伦理委员会）审查批准后方可实施。</w:t>
      </w:r>
    </w:p>
    <w:p>
      <w:pPr>
        <w:rPr>
          <w:color w:val="auto"/>
        </w:rPr>
      </w:pPr>
      <w:r>
        <w:rPr>
          <w:rFonts w:hint="eastAsia"/>
          <w:color w:val="auto"/>
        </w:rPr>
        <w:t>临床研究方案将作为审评的依据，研究者应严格按临床研究方案开展临床研究，若研究过程中对研究方案进行修改，需向云南省药品监督管理部门提出沟通交流或补充申请，经认可，并再次取得伦理委员会的审核批准，方可按照新方案开始实施。</w:t>
      </w:r>
    </w:p>
    <w:p>
      <w:pPr>
        <w:rPr>
          <w:color w:val="auto"/>
        </w:rPr>
      </w:pPr>
      <w:r>
        <w:rPr>
          <w:rFonts w:hint="eastAsia"/>
          <w:color w:val="auto"/>
        </w:rPr>
        <w:t>五、临床研究方案设计规范</w:t>
      </w:r>
    </w:p>
    <w:p>
      <w:pPr>
        <w:rPr>
          <w:color w:val="auto"/>
        </w:rPr>
      </w:pPr>
      <w:r>
        <w:rPr>
          <w:rFonts w:hint="eastAsia"/>
          <w:color w:val="auto"/>
        </w:rPr>
        <w:t>（一）试验目的</w:t>
      </w:r>
    </w:p>
    <w:p>
      <w:pPr>
        <w:rPr>
          <w:color w:val="auto"/>
        </w:rPr>
      </w:pPr>
      <w:r>
        <w:rPr>
          <w:color w:val="auto"/>
        </w:rPr>
        <w:t>1.确立试验目的原则</w:t>
      </w:r>
    </w:p>
    <w:p>
      <w:pPr>
        <w:rPr>
          <w:color w:val="auto"/>
        </w:rPr>
      </w:pPr>
      <w:r>
        <w:rPr>
          <w:color w:val="auto"/>
        </w:rPr>
        <w:t>（1）中药、民族药临床试验目的应明确、具体，具有可行性，要突出中医药或民族药的特点。</w:t>
      </w:r>
    </w:p>
    <w:p>
      <w:pPr>
        <w:rPr>
          <w:color w:val="auto"/>
        </w:rPr>
      </w:pPr>
      <w:r>
        <w:rPr>
          <w:color w:val="auto"/>
        </w:rPr>
        <w:t>（2）一个临床试验设计一般确定一个主要试验目的，根据试验需要有时可设计次要试验目的。在进行有效性及安全性研究的同时，鼓励进行临床有效剂量的探索。</w:t>
      </w:r>
    </w:p>
    <w:p>
      <w:pPr>
        <w:rPr>
          <w:color w:val="auto"/>
        </w:rPr>
      </w:pPr>
      <w:r>
        <w:rPr>
          <w:color w:val="auto"/>
        </w:rPr>
        <w:t>2.确定试验目的的依据</w:t>
      </w:r>
    </w:p>
    <w:p>
      <w:pPr>
        <w:rPr>
          <w:color w:val="auto"/>
        </w:rPr>
      </w:pPr>
      <w:r>
        <w:rPr>
          <w:color w:val="auto"/>
        </w:rPr>
        <w:t>（1）参照中药、民族药制剂处方组成、功能特点，以及既往临床应用工作基础。</w:t>
      </w:r>
    </w:p>
    <w:p>
      <w:pPr>
        <w:rPr>
          <w:color w:val="auto"/>
        </w:rPr>
      </w:pPr>
      <w:r>
        <w:rPr>
          <w:color w:val="auto"/>
        </w:rPr>
        <w:t>（2）参照临床前的药效学、毒理学试验结果。临床前的药效学实验已证实的药理作用，是确定试验目的的重要依据之一。一般临床试验目的应与药效学实验结果相适应，而临床前的毒理学试验的支持是确定试验目的的必要前提。</w:t>
      </w:r>
    </w:p>
    <w:p>
      <w:pPr>
        <w:rPr>
          <w:color w:val="auto"/>
        </w:rPr>
      </w:pPr>
      <w:r>
        <w:rPr>
          <w:rFonts w:hint="eastAsia"/>
          <w:color w:val="auto"/>
        </w:rPr>
        <w:t>（二）试验设计</w:t>
      </w:r>
    </w:p>
    <w:p>
      <w:pPr>
        <w:rPr>
          <w:color w:val="auto"/>
        </w:rPr>
      </w:pPr>
      <w:r>
        <w:rPr>
          <w:color w:val="auto"/>
        </w:rPr>
        <w:t>1.临床试验设计的原则</w:t>
      </w:r>
    </w:p>
    <w:p>
      <w:pPr>
        <w:rPr>
          <w:color w:val="auto"/>
        </w:rPr>
      </w:pPr>
      <w:r>
        <w:rPr>
          <w:rFonts w:hint="eastAsia"/>
          <w:color w:val="auto"/>
        </w:rPr>
        <w:t>临床试验必须遵循随机、对照和可重复的原则。</w:t>
      </w:r>
    </w:p>
    <w:p>
      <w:pPr>
        <w:rPr>
          <w:color w:val="auto"/>
        </w:rPr>
      </w:pPr>
      <w:r>
        <w:rPr>
          <w:color w:val="auto"/>
        </w:rPr>
        <w:t>2.临床试验设计的基本方法</w:t>
      </w:r>
    </w:p>
    <w:p>
      <w:pPr>
        <w:rPr>
          <w:color w:val="auto"/>
        </w:rPr>
      </w:pPr>
      <w:r>
        <w:rPr>
          <w:color w:val="auto"/>
        </w:rPr>
        <w:t>（1）随机化</w:t>
      </w:r>
    </w:p>
    <w:p>
      <w:pPr>
        <w:rPr>
          <w:color w:val="auto"/>
        </w:rPr>
      </w:pPr>
      <w:r>
        <w:rPr>
          <w:rFonts w:hint="eastAsia"/>
          <w:color w:val="auto"/>
        </w:rPr>
        <w:t>临床试验的随机化主要包括分组随机和试验顺序随机，常采用分层、分段随机化方法。</w:t>
      </w:r>
    </w:p>
    <w:p>
      <w:pPr>
        <w:rPr>
          <w:color w:val="auto"/>
        </w:rPr>
      </w:pPr>
      <w:r>
        <w:rPr>
          <w:color w:val="auto"/>
        </w:rPr>
        <w:t>（2）盲法</w:t>
      </w:r>
    </w:p>
    <w:p>
      <w:pPr>
        <w:rPr>
          <w:color w:val="auto"/>
        </w:rPr>
      </w:pPr>
      <w:r>
        <w:rPr>
          <w:rFonts w:hint="eastAsia"/>
          <w:color w:val="auto"/>
        </w:rPr>
        <w:t>临床试验根据设盲的程度分为双盲、单盲，不设盲的试验称为开放试验或非盲法试验，盲法的实施应符合有关法规的要求。</w:t>
      </w:r>
    </w:p>
    <w:p>
      <w:pPr>
        <w:rPr>
          <w:color w:val="auto"/>
        </w:rPr>
      </w:pPr>
      <w:r>
        <w:rPr>
          <w:color w:val="auto"/>
        </w:rPr>
        <w:t>（3）对照</w:t>
      </w:r>
    </w:p>
    <w:p>
      <w:pPr>
        <w:rPr>
          <w:color w:val="auto"/>
        </w:rPr>
      </w:pPr>
      <w:r>
        <w:rPr>
          <w:rFonts w:hint="eastAsia"/>
          <w:color w:val="auto"/>
        </w:rPr>
        <w:t>对照方法包括阳性药物对照、空白对照、安慰剂对照。由于制剂临床试验的主要目的是确定对目标适应症的有效性和安全性，且样本量较小，因此，应在符合医学伦理学原则的前提下鼓励采取安慰剂对照，以明确疗效。阳性对照药一般采用已上市的、功能相同或类似且疗效公认、确切、预期可重现的中成药。</w:t>
      </w:r>
    </w:p>
    <w:p>
      <w:pPr>
        <w:rPr>
          <w:color w:val="auto"/>
        </w:rPr>
      </w:pPr>
      <w:r>
        <w:rPr>
          <w:color w:val="auto"/>
        </w:rPr>
        <w:t>（4）样本量</w:t>
      </w:r>
    </w:p>
    <w:p>
      <w:pPr>
        <w:rPr>
          <w:color w:val="auto"/>
        </w:rPr>
      </w:pPr>
      <w:r>
        <w:rPr>
          <w:rFonts w:hint="eastAsia"/>
          <w:color w:val="auto"/>
        </w:rPr>
        <w:t>每个适应症的受试例数不得低于</w:t>
      </w:r>
      <w:r>
        <w:rPr>
          <w:color w:val="auto"/>
        </w:rPr>
        <w:t>60例，且试验样本量要符合统计学要求。</w:t>
      </w:r>
    </w:p>
    <w:p>
      <w:pPr>
        <w:rPr>
          <w:color w:val="auto"/>
        </w:rPr>
      </w:pPr>
      <w:r>
        <w:rPr>
          <w:color w:val="auto"/>
        </w:rPr>
        <w:t>3.受试病例选择</w:t>
      </w:r>
    </w:p>
    <w:p>
      <w:pPr>
        <w:rPr>
          <w:color w:val="auto"/>
        </w:rPr>
      </w:pPr>
      <w:r>
        <w:rPr>
          <w:color w:val="auto"/>
        </w:rPr>
        <w:t>（1）诊断标准</w:t>
      </w:r>
    </w:p>
    <w:p>
      <w:pPr>
        <w:rPr>
          <w:color w:val="auto"/>
        </w:rPr>
      </w:pPr>
      <w:r>
        <w:rPr>
          <w:rFonts w:hint="eastAsia"/>
          <w:color w:val="auto"/>
        </w:rPr>
        <w:t>疾病诊断标准：疾病西医诊断标准应采用最新国际、国内普遍接受的诊断标准，或权威性机构颁布、权威性教科书诊断标准。对疾病有不同分型的要列出分型（或分期、分度、分级）标准。诊断标准原则上要公认、先进、可行，并注明西医诊断标准的名称、来源等。必要时对标准采用的具体情况加以说明。</w:t>
      </w:r>
    </w:p>
    <w:p>
      <w:pPr>
        <w:rPr>
          <w:color w:val="auto"/>
        </w:rPr>
      </w:pPr>
      <w:r>
        <w:rPr>
          <w:rFonts w:hint="eastAsia"/>
          <w:color w:val="auto"/>
        </w:rPr>
        <w:t>证候诊断标准：中医证候诊断标准应参照现行的全国统一标准制定；民族医诊断标准应参照省级主管部门发布的现行标准制定。中医证候、民族医诊断标准原则上应公认、权威、可行，注意说明诊断标准的名称、来源等。</w:t>
      </w:r>
    </w:p>
    <w:p>
      <w:pPr>
        <w:rPr>
          <w:color w:val="auto"/>
        </w:rPr>
      </w:pPr>
      <w:r>
        <w:rPr>
          <w:rFonts w:hint="eastAsia"/>
          <w:color w:val="auto"/>
        </w:rPr>
        <w:t>中医证候、民族医诊断标准的内容一般应包括主症和次症，主症和次症宜分别列出。并特别注意证候的特异性指标或特征性指标。</w:t>
      </w:r>
    </w:p>
    <w:p>
      <w:pPr>
        <w:rPr>
          <w:color w:val="auto"/>
        </w:rPr>
      </w:pPr>
      <w:r>
        <w:rPr>
          <w:rFonts w:hint="eastAsia"/>
          <w:color w:val="auto"/>
        </w:rPr>
        <w:t>症状体征量化标准：为使观察指标客观化，症状体征需分级量化。症状体征的分级量化应根据病症情况决定，分级量化要合理。</w:t>
      </w:r>
    </w:p>
    <w:p>
      <w:pPr>
        <w:rPr>
          <w:color w:val="auto"/>
        </w:rPr>
      </w:pPr>
      <w:r>
        <w:rPr>
          <w:color w:val="auto"/>
        </w:rPr>
        <w:t>（2）病例纳入标准</w:t>
      </w:r>
    </w:p>
    <w:p>
      <w:pPr>
        <w:rPr>
          <w:color w:val="auto"/>
        </w:rPr>
      </w:pPr>
      <w:r>
        <w:rPr>
          <w:rFonts w:hint="eastAsia"/>
          <w:color w:val="auto"/>
        </w:rPr>
        <w:t>入选标准必须与临床试验的目的相符合，包括疾病的诊断标准、证候诊断标准，入选前患者相关的病史、病程和治疗情况要求；其他相关的标准，如年龄、性别等。应特别注意的是，为了保障受试者的合法权益，患者签署知情同意书应作为入选的标准之一。</w:t>
      </w:r>
    </w:p>
    <w:p>
      <w:pPr>
        <w:rPr>
          <w:color w:val="auto"/>
        </w:rPr>
      </w:pPr>
      <w:r>
        <w:rPr>
          <w:color w:val="auto"/>
        </w:rPr>
        <w:t>（3）病例排除标准</w:t>
      </w:r>
    </w:p>
    <w:p>
      <w:pPr>
        <w:rPr>
          <w:color w:val="auto"/>
        </w:rPr>
      </w:pPr>
      <w:r>
        <w:rPr>
          <w:rFonts w:hint="eastAsia"/>
          <w:color w:val="auto"/>
        </w:rPr>
        <w:t>制定排除标准，应根据试验目的，考虑年龄、合并症、妇女特殊生理期、病因、病型、病期、病情程度、病程、既往病史、过敏史、生活史、用药史、家族史、鉴别诊断等方面的因素要求。</w:t>
      </w:r>
    </w:p>
    <w:p>
      <w:pPr>
        <w:rPr>
          <w:color w:val="auto"/>
        </w:rPr>
      </w:pPr>
      <w:r>
        <w:rPr>
          <w:color w:val="auto"/>
        </w:rPr>
        <w:t>4.研究用药物</w:t>
      </w:r>
    </w:p>
    <w:p>
      <w:pPr>
        <w:rPr>
          <w:color w:val="auto"/>
        </w:rPr>
      </w:pPr>
      <w:r>
        <w:rPr>
          <w:rFonts w:hint="eastAsia"/>
          <w:color w:val="auto"/>
        </w:rPr>
        <w:t>包括试验药物的名称、规格、配制单位、批号及标签格式、包装规格等；对照药物的名称、规格、生产单位、批号及药品批准文号等，并阐明对照药物选择的理由及依据。试验用制剂的登记与使用记录、递送、分发方式及储藏条件。</w:t>
      </w:r>
    </w:p>
    <w:p>
      <w:pPr>
        <w:rPr>
          <w:color w:val="auto"/>
        </w:rPr>
      </w:pPr>
      <w:r>
        <w:rPr>
          <w:color w:val="auto"/>
        </w:rPr>
        <w:t>5.治疗方案</w:t>
      </w:r>
    </w:p>
    <w:p>
      <w:pPr>
        <w:rPr>
          <w:color w:val="auto"/>
        </w:rPr>
      </w:pPr>
      <w:r>
        <w:rPr>
          <w:rFonts w:hint="eastAsia"/>
          <w:color w:val="auto"/>
        </w:rPr>
        <w:t>包括基础治疗、分组治疗、疗程、合并用药等。</w:t>
      </w:r>
    </w:p>
    <w:p>
      <w:pPr>
        <w:rPr>
          <w:color w:val="auto"/>
        </w:rPr>
      </w:pPr>
      <w:r>
        <w:rPr>
          <w:color w:val="auto"/>
        </w:rPr>
        <w:t>6.观测指标</w:t>
      </w:r>
    </w:p>
    <w:p>
      <w:pPr>
        <w:rPr>
          <w:color w:val="auto"/>
        </w:rPr>
      </w:pPr>
      <w:r>
        <w:rPr>
          <w:color w:val="auto"/>
        </w:rPr>
        <w:t>（1）人口学资料：包括年龄、性别、种族、身高、体重、健康史、用药史、患病史等。</w:t>
      </w:r>
    </w:p>
    <w:p>
      <w:pPr>
        <w:rPr>
          <w:color w:val="auto"/>
        </w:rPr>
      </w:pPr>
      <w:r>
        <w:rPr>
          <w:color w:val="auto"/>
        </w:rPr>
        <w:t>（2）一般体格检查：如呼吸、心率、血压、一般体格检查等。</w:t>
      </w:r>
    </w:p>
    <w:p>
      <w:pPr>
        <w:rPr>
          <w:color w:val="auto"/>
        </w:rPr>
      </w:pPr>
      <w:r>
        <w:rPr>
          <w:color w:val="auto"/>
        </w:rPr>
        <w:t>（3）安全性指标</w:t>
      </w:r>
    </w:p>
    <w:p>
      <w:pPr>
        <w:rPr>
          <w:color w:val="auto"/>
        </w:rPr>
      </w:pPr>
      <w:r>
        <w:rPr>
          <w:rFonts w:hint="eastAsia"/>
          <w:color w:val="auto"/>
        </w:rPr>
        <w:t>①</w:t>
      </w:r>
      <w:r>
        <w:rPr>
          <w:color w:val="auto"/>
        </w:rPr>
        <w:t>试验过程中出现的不良事件。</w:t>
      </w:r>
    </w:p>
    <w:p>
      <w:pPr>
        <w:rPr>
          <w:color w:val="auto"/>
        </w:rPr>
      </w:pPr>
      <w:r>
        <w:rPr>
          <w:rFonts w:hint="eastAsia"/>
          <w:color w:val="auto"/>
        </w:rPr>
        <w:t>②</w:t>
      </w:r>
      <w:r>
        <w:rPr>
          <w:color w:val="auto"/>
        </w:rPr>
        <w:t>与安全性判别相关的实验室数据和理化检查，如三大常规、肝肾功能、心电图等。注意加强对毒性靶器官不良反应的观察。</w:t>
      </w:r>
    </w:p>
    <w:p>
      <w:pPr>
        <w:rPr>
          <w:color w:val="auto"/>
        </w:rPr>
      </w:pPr>
      <w:r>
        <w:rPr>
          <w:rFonts w:hint="eastAsia"/>
          <w:color w:val="auto"/>
        </w:rPr>
        <w:t>③</w:t>
      </w:r>
      <w:r>
        <w:rPr>
          <w:color w:val="auto"/>
        </w:rPr>
        <w:t>处方中不含毒性药材、疗程3天以内、预期安全性风险小的皮肤外用制剂可不作实验室指标检测。</w:t>
      </w:r>
    </w:p>
    <w:p>
      <w:pPr>
        <w:rPr>
          <w:color w:val="auto"/>
        </w:rPr>
      </w:pPr>
      <w:r>
        <w:rPr>
          <w:rFonts w:hint="eastAsia"/>
          <w:color w:val="auto"/>
        </w:rPr>
        <w:t>④</w:t>
      </w:r>
      <w:r>
        <w:rPr>
          <w:color w:val="auto"/>
        </w:rPr>
        <w:t>与预期不良反应相关的检测指标。</w:t>
      </w:r>
    </w:p>
    <w:p>
      <w:pPr>
        <w:rPr>
          <w:color w:val="auto"/>
        </w:rPr>
      </w:pPr>
      <w:r>
        <w:rPr>
          <w:color w:val="auto"/>
        </w:rPr>
        <w:t>（4）疗效指标</w:t>
      </w:r>
    </w:p>
    <w:p>
      <w:pPr>
        <w:rPr>
          <w:color w:val="auto"/>
        </w:rPr>
      </w:pPr>
      <w:r>
        <w:rPr>
          <w:rFonts w:hint="eastAsia"/>
          <w:color w:val="auto"/>
        </w:rPr>
        <w:t>①</w:t>
      </w:r>
      <w:r>
        <w:rPr>
          <w:color w:val="auto"/>
        </w:rPr>
        <w:t>主要疗效指标：反映制剂主要作用的特征性指标，可以是症状、体征、生化指标、病理指标等，主要疗效指标应该明确，一般为1～2个，不同的适应症根据相关的病症指导原则选取客观的评价量表进行疗效评价。</w:t>
      </w:r>
    </w:p>
    <w:p>
      <w:pPr>
        <w:rPr>
          <w:color w:val="auto"/>
        </w:rPr>
      </w:pPr>
      <w:r>
        <w:rPr>
          <w:rFonts w:hint="eastAsia"/>
          <w:color w:val="auto"/>
        </w:rPr>
        <w:t>②</w:t>
      </w:r>
      <w:r>
        <w:rPr>
          <w:color w:val="auto"/>
        </w:rPr>
        <w:t>次要疗效指标：反映制剂次要作用的疗效指标。</w:t>
      </w:r>
    </w:p>
    <w:p>
      <w:pPr>
        <w:rPr>
          <w:color w:val="auto"/>
        </w:rPr>
      </w:pPr>
      <w:r>
        <w:rPr>
          <w:color w:val="auto"/>
        </w:rPr>
        <w:t>7.疗效评定标准</w:t>
      </w:r>
    </w:p>
    <w:p>
      <w:pPr>
        <w:rPr>
          <w:color w:val="auto"/>
        </w:rPr>
      </w:pPr>
      <w:r>
        <w:rPr>
          <w:rFonts w:hint="eastAsia"/>
          <w:color w:val="auto"/>
        </w:rPr>
        <w:t>应根据试验目的选择最新、公认的疗效评定标准，包括疾病疗效评定标准、证候疗效评定标准及标准来源等。</w:t>
      </w:r>
    </w:p>
    <w:p>
      <w:pPr>
        <w:rPr>
          <w:color w:val="auto"/>
        </w:rPr>
      </w:pPr>
      <w:r>
        <w:rPr>
          <w:color w:val="auto"/>
        </w:rPr>
        <w:t>8.不良事件的观察与记录</w:t>
      </w:r>
    </w:p>
    <w:p>
      <w:pPr>
        <w:rPr>
          <w:color w:val="auto"/>
        </w:rPr>
      </w:pPr>
      <w:r>
        <w:rPr>
          <w:rFonts w:hint="eastAsia"/>
          <w:color w:val="auto"/>
        </w:rPr>
        <w:t>包括预期不良事件、不良事件观察与记录方法、不良事件与试验药物因果关系判断方式、严重不良事件的报告途径等。</w:t>
      </w:r>
    </w:p>
    <w:p>
      <w:pPr>
        <w:rPr>
          <w:color w:val="auto"/>
        </w:rPr>
      </w:pPr>
      <w:r>
        <w:rPr>
          <w:color w:val="auto"/>
        </w:rPr>
        <w:t>9.数据管理与统计分析</w:t>
      </w:r>
    </w:p>
    <w:p>
      <w:pPr>
        <w:rPr>
          <w:color w:val="auto"/>
        </w:rPr>
      </w:pPr>
      <w:r>
        <w:rPr>
          <w:rFonts w:hint="eastAsia"/>
          <w:color w:val="auto"/>
        </w:rPr>
        <w:t>应制定数据管理计划、有数据双份录入、核查、答疑等的规定；统计分析计划，统计分析数据集的规定；所选用的统计分析软件，检验水准的规定，给出统计分析方法、统计量及</w:t>
      </w:r>
      <w:r>
        <w:rPr>
          <w:color w:val="auto"/>
        </w:rPr>
        <w:t>P值等。</w:t>
      </w:r>
    </w:p>
    <w:p>
      <w:pPr>
        <w:rPr>
          <w:color w:val="auto"/>
        </w:rPr>
      </w:pPr>
      <w:r>
        <w:rPr>
          <w:color w:val="auto"/>
        </w:rPr>
        <w:t>10.预期进度</w:t>
      </w:r>
    </w:p>
    <w:p>
      <w:pPr>
        <w:rPr>
          <w:color w:val="auto"/>
        </w:rPr>
      </w:pPr>
      <w:r>
        <w:rPr>
          <w:rFonts w:hint="eastAsia"/>
          <w:color w:val="auto"/>
        </w:rPr>
        <w:t>包括临床试验需要的总时间、病例收集时间、统计及总结时间等。</w:t>
      </w:r>
    </w:p>
    <w:p>
      <w:pPr>
        <w:rPr>
          <w:color w:val="auto"/>
        </w:rPr>
      </w:pPr>
      <w:r>
        <w:rPr>
          <w:color w:val="auto"/>
        </w:rPr>
        <w:t xml:space="preserve">11.临床试验的质量控制与质量保证 </w:t>
      </w:r>
    </w:p>
    <w:p>
      <w:pPr>
        <w:rPr>
          <w:color w:val="auto"/>
        </w:rPr>
      </w:pPr>
      <w:r>
        <w:rPr>
          <w:rFonts w:hint="eastAsia"/>
          <w:color w:val="auto"/>
        </w:rPr>
        <w:t>包括试验相关的伦理学，临床试验预期的进度和完成日期，临床观察、随访和保证受试者依从性的措施，数据可溯源性的规定，试验结束后的随访和医疗措施，参加试验各方承担的职责及其他有关规定等。</w:t>
      </w:r>
    </w:p>
    <w:p>
      <w:pPr>
        <w:rPr>
          <w:color w:val="auto"/>
        </w:rPr>
      </w:pPr>
      <w:r>
        <w:rPr>
          <w:rFonts w:hint="eastAsia"/>
          <w:color w:val="auto"/>
        </w:rPr>
        <w:t>六、临床总结撰写格式</w:t>
      </w:r>
    </w:p>
    <w:p>
      <w:pPr>
        <w:rPr>
          <w:color w:val="auto"/>
        </w:rPr>
      </w:pPr>
      <w:r>
        <w:rPr>
          <w:rFonts w:hint="eastAsia"/>
          <w:color w:val="auto"/>
        </w:rPr>
        <w:t>（一）摘要</w:t>
      </w:r>
      <w:r>
        <w:rPr>
          <w:color w:val="auto"/>
        </w:rPr>
        <w:t xml:space="preserve"> 简要概述试验目的、试验设计、受试对象、治疗方法、疗程、观测指标、疗效评定标准、试验病例情况、有效性评价结果、安全性评价结果、结论等内容。</w:t>
      </w:r>
    </w:p>
    <w:p>
      <w:pPr>
        <w:rPr>
          <w:color w:val="auto"/>
        </w:rPr>
      </w:pPr>
      <w:r>
        <w:rPr>
          <w:rFonts w:hint="eastAsia"/>
          <w:color w:val="auto"/>
        </w:rPr>
        <w:t>（二）前言</w:t>
      </w:r>
      <w:r>
        <w:rPr>
          <w:color w:val="auto"/>
        </w:rPr>
        <w:t xml:space="preserve"> 简要说明试验药物的功能与主治、试验依据、试验单位、试验起止日期等。</w:t>
      </w:r>
    </w:p>
    <w:p>
      <w:pPr>
        <w:rPr>
          <w:color w:val="auto"/>
        </w:rPr>
      </w:pPr>
      <w:r>
        <w:rPr>
          <w:rFonts w:hint="eastAsia"/>
          <w:color w:val="auto"/>
        </w:rPr>
        <w:t>（三）试验目的</w:t>
      </w:r>
      <w:r>
        <w:rPr>
          <w:color w:val="auto"/>
        </w:rPr>
        <w:t xml:space="preserve"> 与试验方案相同。</w:t>
      </w:r>
    </w:p>
    <w:p>
      <w:pPr>
        <w:rPr>
          <w:color w:val="auto"/>
        </w:rPr>
      </w:pPr>
      <w:r>
        <w:rPr>
          <w:rFonts w:hint="eastAsia"/>
          <w:color w:val="auto"/>
        </w:rPr>
        <w:t>（四）试验方法</w:t>
      </w:r>
      <w:r>
        <w:rPr>
          <w:color w:val="auto"/>
        </w:rPr>
        <w:t xml:space="preserve"> 包括试验设计、受试病例选择、试验药物、治疗方案、观测项目、疗效评定标准、不良事件的观察与记录、统计分析方法等，与试验方案相同。</w:t>
      </w:r>
    </w:p>
    <w:p>
      <w:pPr>
        <w:rPr>
          <w:color w:val="auto"/>
        </w:rPr>
      </w:pPr>
      <w:r>
        <w:rPr>
          <w:rFonts w:hint="eastAsia"/>
          <w:color w:val="auto"/>
        </w:rPr>
        <w:t>（五）试验结果</w:t>
      </w:r>
      <w:r>
        <w:rPr>
          <w:color w:val="auto"/>
        </w:rPr>
        <w:t xml:space="preserve"> 包括受试病例情况（病例入组情况、完成情况、统计病例情况、剔除病例情况、脱落病例情况），基线可比性分析（生命体征、性别、年龄、病程、病情程度、症状体征、实验室指标、用药依从性、合并用药情况等），疗效性分析（疾病疗效、证候疗效、症状体征疗效、检测指标疗效等），安全性分析（安全性指标分析、不良事件分析等）等。</w:t>
      </w:r>
    </w:p>
    <w:p>
      <w:pPr>
        <w:rPr>
          <w:color w:val="auto"/>
        </w:rPr>
      </w:pPr>
      <w:r>
        <w:rPr>
          <w:rFonts w:hint="eastAsia"/>
          <w:color w:val="auto"/>
        </w:rPr>
        <w:t>（六）讨论</w:t>
      </w:r>
      <w:r>
        <w:rPr>
          <w:color w:val="auto"/>
        </w:rPr>
        <w:t xml:space="preserve"> 应围绕试验的疗效和安全性结果，对风险和受益之间的关系做出简要分析和讨论，同时应阐明新的或非预期的发现，评论其意义，并讨论所有潜在的问题，例如有关检测之间的不一致性；试验药临床使用应当注意的问题；试验药疗效分析中可能存在的局限性等。</w:t>
      </w:r>
    </w:p>
    <w:p>
      <w:pPr>
        <w:rPr>
          <w:color w:val="auto"/>
        </w:rPr>
      </w:pPr>
      <w:r>
        <w:rPr>
          <w:rFonts w:hint="eastAsia"/>
          <w:color w:val="auto"/>
        </w:rPr>
        <w:t>（七）结论</w:t>
      </w:r>
      <w:r>
        <w:rPr>
          <w:color w:val="auto"/>
        </w:rPr>
        <w:t xml:space="preserve"> 应当根据本次试验结果，对临床试验药物的功能与主治、适应范围、给药方案、疗程、疗效、安全性、不良反应（包括处理方法）、禁忌、注意等做出结论。并根据其临床意义及统计结果，对新制剂的特点做出客观评价，重点对安全性、有效性做出最终的综合评价，明确是否推荐申报注册。</w:t>
      </w:r>
    </w:p>
    <w:p>
      <w:pPr>
        <w:rPr>
          <w:color w:val="auto"/>
        </w:rPr>
      </w:pPr>
      <w:r>
        <w:rPr>
          <w:rFonts w:hint="eastAsia"/>
          <w:color w:val="auto"/>
        </w:rPr>
        <w:t>（八）附件</w:t>
      </w:r>
      <w:r>
        <w:rPr>
          <w:color w:val="auto"/>
        </w:rPr>
        <w:t xml:space="preserve"> 包括小结表、随机化方案、揭盲记录、试验药物发放登记表、统计分析报告等。</w:t>
      </w:r>
    </w:p>
    <w:p>
      <w:pPr>
        <w:rPr>
          <w:color w:val="auto"/>
        </w:rPr>
        <w:sectPr>
          <w:pgSz w:w="11906" w:h="16838"/>
          <w:pgMar w:top="1440" w:right="1800" w:bottom="1440" w:left="1800" w:header="851" w:footer="992" w:gutter="0"/>
          <w:cols w:space="425" w:num="1"/>
          <w:docGrid w:type="lines" w:linePitch="312" w:charSpace="0"/>
        </w:sectPr>
      </w:pPr>
      <w:r>
        <w:rPr>
          <w:rFonts w:hint="eastAsia"/>
          <w:color w:val="auto"/>
        </w:rPr>
        <w:t>（九）附表</w:t>
      </w:r>
      <w:r>
        <w:rPr>
          <w:color w:val="auto"/>
        </w:rPr>
        <w:t xml:space="preserve"> 减免临床研究提供100份病历时需按附表整理临床病历。</w:t>
      </w:r>
    </w:p>
    <w:p>
      <w:pPr>
        <w:shd w:val="clear" w:color="auto" w:fill="FFFFFF"/>
        <w:rPr>
          <w:rFonts w:ascii="Tahoma" w:hAnsi="Tahoma" w:cs="Tahoma"/>
          <w:color w:val="auto"/>
          <w:kern w:val="0"/>
        </w:rPr>
      </w:pPr>
      <w:r>
        <w:rPr>
          <w:rFonts w:ascii="Tahoma" w:hAnsi="Tahoma" w:cs="Tahoma"/>
          <w:color w:val="auto"/>
          <w:kern w:val="0"/>
        </w:rPr>
        <w:t>附表</w:t>
      </w:r>
    </w:p>
    <w:p>
      <w:pPr>
        <w:shd w:val="clear" w:color="auto" w:fill="FFFFFF"/>
        <w:ind w:firstLine="562"/>
        <w:rPr>
          <w:rFonts w:ascii="Tahoma" w:hAnsi="Tahoma" w:cs="Tahoma"/>
          <w:color w:val="auto"/>
          <w:kern w:val="0"/>
        </w:rPr>
      </w:pPr>
      <w:r>
        <w:rPr>
          <w:rFonts w:ascii="Tahoma" w:hAnsi="Tahoma" w:cs="Tahoma"/>
          <w:b/>
          <w:color w:val="auto"/>
          <w:kern w:val="0"/>
        </w:rPr>
        <w:t>观察表</w:t>
      </w:r>
    </w:p>
    <w:p>
      <w:pPr>
        <w:shd w:val="clear" w:color="auto" w:fill="FFFFFF"/>
        <w:ind w:firstLine="2520" w:firstLineChars="900"/>
        <w:rPr>
          <w:rFonts w:ascii="Tahoma" w:hAnsi="Tahoma" w:cs="Tahoma"/>
          <w:color w:val="auto"/>
          <w:kern w:val="0"/>
        </w:rPr>
      </w:pPr>
      <w:r>
        <w:rPr>
          <w:rFonts w:ascii="Tahoma" w:hAnsi="Tahoma" w:cs="Tahoma"/>
          <w:color w:val="auto"/>
          <w:kern w:val="0"/>
          <w:u w:val="single"/>
        </w:rPr>
        <w:t xml:space="preserve">               </w:t>
      </w:r>
      <w:r>
        <w:rPr>
          <w:rFonts w:ascii="Tahoma" w:hAnsi="Tahoma" w:cs="Tahoma"/>
          <w:color w:val="auto"/>
          <w:kern w:val="0"/>
        </w:rPr>
        <w:t>医院</w:t>
      </w:r>
    </w:p>
    <w:p>
      <w:pPr>
        <w:shd w:val="clear" w:color="auto" w:fill="FFFFFF"/>
        <w:ind w:firstLine="840" w:firstLineChars="300"/>
        <w:rPr>
          <w:rFonts w:ascii="Tahoma" w:hAnsi="Tahoma" w:cs="Tahoma"/>
          <w:color w:val="auto"/>
          <w:kern w:val="0"/>
        </w:rPr>
      </w:pPr>
      <w:r>
        <w:rPr>
          <w:rFonts w:ascii="Tahoma" w:hAnsi="Tahoma" w:cs="Tahoma"/>
          <w:color w:val="auto"/>
          <w:kern w:val="0"/>
        </w:rPr>
        <w:t>医疗机构制剂</w:t>
      </w:r>
      <w:r>
        <w:rPr>
          <w:rFonts w:ascii="Tahoma" w:hAnsi="Tahoma" w:cs="Tahoma"/>
          <w:color w:val="auto"/>
          <w:kern w:val="0"/>
          <w:u w:val="single"/>
        </w:rPr>
        <w:t xml:space="preserve">               </w:t>
      </w:r>
      <w:r>
        <w:rPr>
          <w:rFonts w:ascii="Tahoma" w:hAnsi="Tahoma" w:cs="Tahoma"/>
          <w:color w:val="auto"/>
          <w:kern w:val="0"/>
        </w:rPr>
        <w:t>临床研究观察表</w:t>
      </w:r>
    </w:p>
    <w:p>
      <w:pPr>
        <w:shd w:val="clear" w:color="auto" w:fill="FFFFFF"/>
        <w:rPr>
          <w:rFonts w:ascii="Tahoma" w:hAnsi="Tahoma" w:cs="Tahoma"/>
          <w:color w:val="auto"/>
          <w:kern w:val="0"/>
        </w:rPr>
      </w:pPr>
      <w:r>
        <w:rPr>
          <w:rFonts w:ascii="Tahoma" w:hAnsi="Tahoma" w:cs="Tahoma"/>
          <w:color w:val="auto"/>
          <w:kern w:val="0"/>
        </w:rPr>
        <w:t>研究编号：|_|_|_|          患者姓名：</w:t>
      </w:r>
      <w:r>
        <w:rPr>
          <w:rFonts w:ascii="Tahoma" w:hAnsi="Tahoma" w:cs="Tahoma"/>
          <w:color w:val="auto"/>
          <w:kern w:val="0"/>
          <w:u w:val="single"/>
        </w:rPr>
        <w:t xml:space="preserve">       </w:t>
      </w:r>
    </w:p>
    <w:p>
      <w:pPr>
        <w:shd w:val="clear" w:color="auto" w:fill="FFFFFF"/>
        <w:rPr>
          <w:rFonts w:ascii="Tahoma" w:hAnsi="Tahoma" w:cs="Tahoma"/>
          <w:color w:val="auto"/>
          <w:kern w:val="0"/>
        </w:rPr>
      </w:pPr>
      <w:r>
        <w:rPr>
          <w:rFonts w:ascii="Tahoma" w:hAnsi="Tahoma" w:cs="Tahoma"/>
          <w:color w:val="auto"/>
          <w:kern w:val="0"/>
        </w:rPr>
        <w:t>家庭地址：</w:t>
      </w:r>
      <w:r>
        <w:rPr>
          <w:rFonts w:ascii="Tahoma" w:hAnsi="Tahoma" w:cs="Tahoma"/>
          <w:color w:val="auto"/>
          <w:kern w:val="0"/>
          <w:u w:val="single"/>
        </w:rPr>
        <w:t xml:space="preserve">              </w:t>
      </w:r>
      <w:r>
        <w:rPr>
          <w:rFonts w:hint="eastAsia" w:ascii="Tahoma" w:hAnsi="Tahoma" w:cs="Tahoma"/>
          <w:color w:val="auto"/>
          <w:kern w:val="0"/>
        </w:rPr>
        <w:t>联系</w:t>
      </w:r>
      <w:r>
        <w:rPr>
          <w:rFonts w:ascii="Tahoma" w:hAnsi="Tahoma" w:cs="Tahoma"/>
          <w:color w:val="auto"/>
          <w:kern w:val="0"/>
        </w:rPr>
        <w:t>电话：</w:t>
      </w:r>
      <w:r>
        <w:rPr>
          <w:rFonts w:ascii="Tahoma" w:hAnsi="Tahoma" w:cs="Tahoma"/>
          <w:color w:val="auto"/>
          <w:kern w:val="0"/>
          <w:u w:val="single"/>
        </w:rPr>
        <w:t xml:space="preserve">              </w:t>
      </w:r>
    </w:p>
    <w:p>
      <w:pPr>
        <w:shd w:val="clear" w:color="auto" w:fill="FFFFFF"/>
        <w:rPr>
          <w:rFonts w:ascii="Tahoma" w:hAnsi="Tahoma" w:cs="Tahoma"/>
          <w:color w:val="auto"/>
          <w:kern w:val="0"/>
        </w:rPr>
      </w:pPr>
      <w:r>
        <w:rPr>
          <w:rFonts w:ascii="Tahoma" w:hAnsi="Tahoma" w:cs="Tahoma"/>
          <w:color w:val="auto"/>
          <w:kern w:val="0"/>
        </w:rPr>
        <w:t>观察医师：</w:t>
      </w:r>
      <w:r>
        <w:rPr>
          <w:rFonts w:ascii="Tahoma" w:hAnsi="Tahoma" w:cs="Tahoma"/>
          <w:color w:val="auto"/>
          <w:kern w:val="0"/>
          <w:u w:val="single"/>
        </w:rPr>
        <w:t xml:space="preserve">       </w:t>
      </w:r>
      <w:r>
        <w:rPr>
          <w:rFonts w:hint="eastAsia" w:ascii="Tahoma" w:hAnsi="Tahoma" w:cs="Tahoma"/>
          <w:color w:val="auto"/>
          <w:kern w:val="0"/>
          <w:u w:val="single"/>
        </w:rPr>
        <w:t xml:space="preserve">  </w:t>
      </w:r>
      <w:r>
        <w:rPr>
          <w:rFonts w:hint="eastAsia" w:ascii="Tahoma" w:hAnsi="Tahoma" w:cs="Tahoma"/>
          <w:color w:val="auto"/>
          <w:kern w:val="0"/>
        </w:rPr>
        <w:t>联系电话</w:t>
      </w:r>
      <w:r>
        <w:rPr>
          <w:rFonts w:ascii="Tahoma" w:hAnsi="Tahoma" w:cs="Tahoma"/>
          <w:color w:val="auto"/>
          <w:kern w:val="0"/>
        </w:rPr>
        <w:t>：</w:t>
      </w:r>
      <w:r>
        <w:rPr>
          <w:rFonts w:ascii="Tahoma" w:hAnsi="Tahoma" w:cs="Tahoma"/>
          <w:color w:val="auto"/>
          <w:kern w:val="0"/>
          <w:u w:val="single"/>
        </w:rPr>
        <w:t xml:space="preserve">              </w:t>
      </w:r>
    </w:p>
    <w:p>
      <w:pPr>
        <w:shd w:val="clear" w:color="auto" w:fill="FFFFFF"/>
        <w:rPr>
          <w:rFonts w:ascii="Tahoma" w:hAnsi="Tahoma" w:cs="Tahoma"/>
          <w:color w:val="auto"/>
          <w:kern w:val="0"/>
          <w:u w:val="single"/>
        </w:rPr>
      </w:pPr>
      <w:r>
        <w:rPr>
          <w:rFonts w:ascii="Tahoma" w:hAnsi="Tahoma" w:cs="Tahoma"/>
          <w:color w:val="auto"/>
          <w:kern w:val="0"/>
        </w:rPr>
        <w:t>处方提供医师：</w:t>
      </w:r>
      <w:r>
        <w:rPr>
          <w:rFonts w:ascii="Tahoma" w:hAnsi="Tahoma" w:cs="Tahoma"/>
          <w:color w:val="auto"/>
          <w:kern w:val="0"/>
          <w:u w:val="single"/>
        </w:rPr>
        <w:t xml:space="preserve">       </w:t>
      </w:r>
    </w:p>
    <w:p>
      <w:pPr>
        <w:shd w:val="clear" w:color="auto" w:fill="FFFFFF"/>
        <w:ind w:firstLine="562"/>
        <w:rPr>
          <w:rFonts w:ascii="Tahoma" w:hAnsi="Tahoma" w:cs="Tahoma"/>
          <w:color w:val="auto"/>
          <w:kern w:val="0"/>
        </w:rPr>
      </w:pPr>
      <w:r>
        <w:rPr>
          <w:rFonts w:ascii="Tahoma" w:hAnsi="Tahoma" w:cs="Tahoma"/>
          <w:b/>
          <w:bCs/>
          <w:color w:val="auto"/>
          <w:kern w:val="0"/>
        </w:rPr>
        <w:t>一般情况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病例来源</w:t>
            </w:r>
          </w:p>
        </w:tc>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□门诊</w:t>
            </w:r>
            <w:r>
              <w:rPr>
                <w:rFonts w:hint="eastAsia" w:ascii="Tahoma" w:hAnsi="Tahoma" w:cs="Tahoma"/>
                <w:color w:val="auto"/>
                <w:kern w:val="0"/>
                <w:sz w:val="24"/>
                <w:szCs w:val="24"/>
              </w:rPr>
              <w:t xml:space="preserve">  </w:t>
            </w:r>
            <w:r>
              <w:rPr>
                <w:rFonts w:ascii="Tahoma" w:hAnsi="Tahoma" w:cs="Tahoma"/>
                <w:color w:val="auto"/>
                <w:kern w:val="0"/>
                <w:sz w:val="24"/>
                <w:szCs w:val="24"/>
              </w:rPr>
              <w:t>□住院</w:t>
            </w:r>
          </w:p>
        </w:tc>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门诊号/住院号</w:t>
            </w:r>
          </w:p>
        </w:tc>
        <w:tc>
          <w:tcPr>
            <w:tcW w:w="1250" w:type="pct"/>
          </w:tcPr>
          <w:p>
            <w:pPr>
              <w:spacing w:line="240" w:lineRule="auto"/>
              <w:ind w:firstLine="0" w:firstLineChars="0"/>
              <w:rPr>
                <w:rFonts w:ascii="Tahoma" w:hAnsi="Tahoma"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性别</w:t>
            </w:r>
          </w:p>
        </w:tc>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 xml:space="preserve">□男 </w:t>
            </w:r>
            <w:r>
              <w:rPr>
                <w:rFonts w:hint="eastAsia" w:ascii="Tahoma" w:hAnsi="Tahoma" w:cs="Tahoma"/>
                <w:color w:val="auto"/>
                <w:kern w:val="0"/>
                <w:sz w:val="24"/>
                <w:szCs w:val="24"/>
              </w:rPr>
              <w:t xml:space="preserve">  </w:t>
            </w:r>
            <w:r>
              <w:rPr>
                <w:rFonts w:ascii="Tahoma" w:hAnsi="Tahoma" w:cs="Tahoma"/>
                <w:color w:val="auto"/>
                <w:kern w:val="0"/>
                <w:sz w:val="24"/>
                <w:szCs w:val="24"/>
              </w:rPr>
              <w:t>□女</w:t>
            </w:r>
          </w:p>
        </w:tc>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年龄</w:t>
            </w:r>
          </w:p>
        </w:tc>
        <w:tc>
          <w:tcPr>
            <w:tcW w:w="1250" w:type="pct"/>
          </w:tcPr>
          <w:p>
            <w:pPr>
              <w:spacing w:line="240" w:lineRule="auto"/>
              <w:ind w:firstLine="0" w:firstLineChars="0"/>
              <w:rPr>
                <w:rFonts w:ascii="Tahoma" w:hAnsi="Tahoma"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民族</w:t>
            </w:r>
          </w:p>
        </w:tc>
        <w:tc>
          <w:tcPr>
            <w:tcW w:w="1250" w:type="pct"/>
          </w:tcPr>
          <w:p>
            <w:pPr>
              <w:spacing w:line="240" w:lineRule="auto"/>
              <w:ind w:firstLine="0" w:firstLineChars="0"/>
              <w:rPr>
                <w:rFonts w:ascii="Tahoma" w:hAnsi="Tahoma" w:cs="Tahoma"/>
                <w:color w:val="auto"/>
                <w:kern w:val="0"/>
                <w:sz w:val="24"/>
                <w:szCs w:val="24"/>
              </w:rPr>
            </w:pPr>
          </w:p>
        </w:tc>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婚姻状况</w:t>
            </w:r>
          </w:p>
        </w:tc>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 xml:space="preserve">□未婚 </w:t>
            </w:r>
            <w:r>
              <w:rPr>
                <w:rFonts w:hint="eastAsia" w:ascii="Tahoma" w:hAnsi="Tahoma" w:cs="Tahoma"/>
                <w:color w:val="auto"/>
                <w:kern w:val="0"/>
                <w:sz w:val="24"/>
                <w:szCs w:val="24"/>
              </w:rPr>
              <w:t xml:space="preserve"> </w:t>
            </w:r>
            <w:r>
              <w:rPr>
                <w:rFonts w:ascii="Tahoma" w:hAnsi="Tahoma" w:cs="Tahoma"/>
                <w:color w:val="auto"/>
                <w:kern w:val="0"/>
                <w:sz w:val="24"/>
                <w:szCs w:val="24"/>
              </w:rPr>
              <w:t>□已婚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职业</w:t>
            </w:r>
          </w:p>
        </w:tc>
        <w:tc>
          <w:tcPr>
            <w:tcW w:w="1250" w:type="pct"/>
          </w:tcPr>
          <w:p>
            <w:pPr>
              <w:spacing w:line="240" w:lineRule="auto"/>
              <w:ind w:firstLine="0" w:firstLineChars="0"/>
              <w:rPr>
                <w:rFonts w:ascii="Tahoma" w:hAnsi="Tahoma" w:cs="Tahoma"/>
                <w:color w:val="auto"/>
                <w:kern w:val="0"/>
                <w:sz w:val="24"/>
                <w:szCs w:val="24"/>
              </w:rPr>
            </w:pPr>
          </w:p>
        </w:tc>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身高</w:t>
            </w:r>
          </w:p>
        </w:tc>
        <w:tc>
          <w:tcPr>
            <w:tcW w:w="1250" w:type="pct"/>
          </w:tcPr>
          <w:p>
            <w:pPr>
              <w:spacing w:line="240" w:lineRule="auto"/>
              <w:ind w:firstLine="0" w:firstLineChars="0"/>
              <w:rPr>
                <w:rFonts w:cs="Tahoma"/>
                <w:color w:val="auto"/>
                <w:kern w:val="0"/>
                <w:sz w:val="24"/>
                <w:szCs w:val="24"/>
              </w:rPr>
            </w:pPr>
            <w:r>
              <w:rPr>
                <w:rFonts w:ascii="Tahoma" w:hAnsi="Tahoma" w:cs="Tahoma"/>
                <w:color w:val="auto"/>
                <w:kern w:val="0"/>
                <w:sz w:val="24"/>
                <w:szCs w:val="24"/>
              </w:rPr>
              <w:t xml:space="preserve">  </w:t>
            </w:r>
            <w:r>
              <w:rPr>
                <w:rFonts w:hint="eastAsia" w:ascii="Tahoma" w:hAnsi="Tahoma" w:cs="Tahoma"/>
                <w:color w:val="auto"/>
                <w:kern w:val="0"/>
                <w:sz w:val="24"/>
                <w:szCs w:val="24"/>
              </w:rPr>
              <w:t xml:space="preserve">  </w:t>
            </w:r>
            <w:r>
              <w:rPr>
                <w:rFonts w:cs="Tahoma"/>
                <w:color w:val="auto"/>
                <w:kern w:val="0"/>
                <w:sz w:val="24"/>
                <w:szCs w:val="24"/>
              </w:rPr>
              <w: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体重</w:t>
            </w:r>
          </w:p>
        </w:tc>
        <w:tc>
          <w:tcPr>
            <w:tcW w:w="1250" w:type="pct"/>
          </w:tcPr>
          <w:p>
            <w:pPr>
              <w:spacing w:line="240" w:lineRule="auto"/>
              <w:ind w:firstLine="0" w:firstLineChars="0"/>
              <w:rPr>
                <w:rFonts w:cs="Tahoma"/>
                <w:color w:val="auto"/>
                <w:kern w:val="0"/>
                <w:sz w:val="24"/>
                <w:szCs w:val="24"/>
              </w:rPr>
            </w:pPr>
            <w:r>
              <w:rPr>
                <w:rFonts w:ascii="Tahoma" w:hAnsi="Tahoma" w:cs="Tahoma"/>
                <w:color w:val="auto"/>
                <w:kern w:val="0"/>
                <w:sz w:val="24"/>
                <w:szCs w:val="24"/>
              </w:rPr>
              <w:t xml:space="preserve"> </w:t>
            </w:r>
            <w:r>
              <w:rPr>
                <w:rFonts w:hint="eastAsia" w:ascii="Tahoma" w:hAnsi="Tahoma" w:cs="Tahoma"/>
                <w:color w:val="auto"/>
                <w:kern w:val="0"/>
                <w:sz w:val="24"/>
                <w:szCs w:val="24"/>
              </w:rPr>
              <w:t xml:space="preserve">  </w:t>
            </w:r>
            <w:r>
              <w:rPr>
                <w:rFonts w:ascii="Tahoma" w:hAnsi="Tahoma" w:cs="Tahoma"/>
                <w:color w:val="auto"/>
                <w:kern w:val="0"/>
                <w:sz w:val="24"/>
                <w:szCs w:val="24"/>
              </w:rPr>
              <w:t xml:space="preserve"> </w:t>
            </w:r>
            <w:r>
              <w:rPr>
                <w:rFonts w:cs="Tahoma"/>
                <w:color w:val="auto"/>
                <w:kern w:val="0"/>
                <w:sz w:val="24"/>
                <w:szCs w:val="24"/>
              </w:rPr>
              <w:t>Kg</w:t>
            </w:r>
          </w:p>
        </w:tc>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病程</w:t>
            </w:r>
          </w:p>
        </w:tc>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 xml:space="preserve">  </w:t>
            </w:r>
            <w:r>
              <w:rPr>
                <w:rFonts w:hint="eastAsia" w:ascii="Tahoma" w:hAnsi="Tahoma" w:cs="Tahoma"/>
                <w:color w:val="auto"/>
                <w:kern w:val="0"/>
                <w:sz w:val="24"/>
                <w:szCs w:val="24"/>
              </w:rPr>
              <w:t xml:space="preserve">  </w:t>
            </w:r>
            <w:r>
              <w:rPr>
                <w:rFonts w:ascii="Tahoma" w:hAnsi="Tahoma" w:cs="Tahoma"/>
                <w:color w:val="auto"/>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临床诊断</w:t>
            </w:r>
          </w:p>
        </w:tc>
        <w:tc>
          <w:tcPr>
            <w:tcW w:w="1250" w:type="pct"/>
          </w:tcPr>
          <w:p>
            <w:pPr>
              <w:spacing w:line="240" w:lineRule="auto"/>
              <w:ind w:firstLine="0" w:firstLineChars="0"/>
              <w:rPr>
                <w:rFonts w:ascii="Tahoma" w:hAnsi="Tahoma" w:cs="Tahoma"/>
                <w:color w:val="auto"/>
                <w:kern w:val="0"/>
                <w:sz w:val="24"/>
                <w:szCs w:val="24"/>
              </w:rPr>
            </w:pPr>
          </w:p>
        </w:tc>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中医辨证</w:t>
            </w:r>
          </w:p>
        </w:tc>
        <w:tc>
          <w:tcPr>
            <w:tcW w:w="1250" w:type="pct"/>
          </w:tcPr>
          <w:p>
            <w:pPr>
              <w:spacing w:line="240" w:lineRule="auto"/>
              <w:ind w:firstLine="0" w:firstLineChars="0"/>
              <w:rPr>
                <w:rFonts w:ascii="Tahoma" w:hAnsi="Tahoma"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主诉</w:t>
            </w:r>
          </w:p>
        </w:tc>
        <w:tc>
          <w:tcPr>
            <w:tcW w:w="3750" w:type="pct"/>
            <w:gridSpan w:val="3"/>
          </w:tcPr>
          <w:p>
            <w:pPr>
              <w:spacing w:line="240" w:lineRule="auto"/>
              <w:ind w:firstLine="0" w:firstLineChars="0"/>
              <w:rPr>
                <w:rFonts w:ascii="Tahoma" w:hAnsi="Tahoma"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8" w:hRule="atLeast"/>
        </w:trPr>
        <w:tc>
          <w:tcPr>
            <w:tcW w:w="5000" w:type="pct"/>
            <w:gridSpan w:val="4"/>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现病史摘要</w:t>
            </w:r>
            <w:r>
              <w:rPr>
                <w:rFonts w:hint="eastAsia" w:ascii="Tahoma" w:hAnsi="Tahoma" w:cs="Tahoma"/>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过敏史：□无</w:t>
            </w:r>
            <w:r>
              <w:rPr>
                <w:rFonts w:hint="eastAsia" w:ascii="Tahoma" w:hAnsi="Tahoma" w:cs="Tahoma"/>
                <w:color w:val="auto"/>
                <w:kern w:val="0"/>
                <w:sz w:val="24"/>
                <w:szCs w:val="24"/>
              </w:rPr>
              <w:t xml:space="preserve"> </w:t>
            </w:r>
            <w:r>
              <w:rPr>
                <w:rFonts w:ascii="Tahoma" w:hAnsi="Tahoma" w:cs="Tahoma"/>
                <w:color w:val="auto"/>
                <w:kern w:val="0"/>
                <w:sz w:val="24"/>
                <w:szCs w:val="24"/>
              </w:rPr>
              <w:t>□有，若有，请说明：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家族史：□无 □有，若有，请说明：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trPr>
        <w:tc>
          <w:tcPr>
            <w:tcW w:w="5000" w:type="pct"/>
            <w:gridSpan w:val="4"/>
          </w:tcPr>
          <w:p>
            <w:pPr>
              <w:spacing w:line="240" w:lineRule="auto"/>
              <w:ind w:firstLine="0" w:firstLineChars="0"/>
              <w:rPr>
                <w:rFonts w:ascii="Tahoma" w:hAnsi="Tahoma" w:cs="Tahoma"/>
                <w:color w:val="auto"/>
                <w:kern w:val="0"/>
                <w:sz w:val="24"/>
                <w:szCs w:val="24"/>
              </w:rPr>
            </w:pPr>
            <w:r>
              <w:rPr>
                <w:rFonts w:ascii="Tahoma" w:hAnsi="Tahoma" w:cs="Tahoma"/>
                <w:color w:val="auto"/>
                <w:kern w:val="0"/>
                <w:sz w:val="24"/>
                <w:szCs w:val="24"/>
              </w:rPr>
              <w:t>既往曾使用的相关病症的治疗药物或手段及治疗效果：□无 □有，若有，请说明：</w:t>
            </w:r>
          </w:p>
        </w:tc>
      </w:tr>
    </w:tbl>
    <w:p>
      <w:pPr>
        <w:shd w:val="clear" w:color="auto" w:fill="FFFFFF"/>
        <w:ind w:firstLine="562"/>
        <w:rPr>
          <w:rFonts w:cs="Tahoma"/>
          <w:b/>
          <w:bCs/>
          <w:color w:val="auto"/>
          <w:kern w:val="0"/>
        </w:rPr>
      </w:pPr>
      <w:r>
        <w:rPr>
          <w:rFonts w:cs="Tahoma"/>
          <w:b/>
          <w:bCs/>
          <w:color w:val="auto"/>
          <w:kern w:val="0"/>
        </w:rPr>
        <w:t>治疗时间</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2686"/>
        <w:gridCol w:w="1626"/>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pct"/>
          </w:tcPr>
          <w:p>
            <w:pPr>
              <w:ind w:firstLine="0" w:firstLineChars="0"/>
              <w:rPr>
                <w:rFonts w:cs="Tahoma"/>
                <w:b/>
                <w:bCs/>
                <w:color w:val="auto"/>
                <w:kern w:val="0"/>
                <w:sz w:val="24"/>
                <w:szCs w:val="24"/>
              </w:rPr>
            </w:pPr>
            <w:r>
              <w:rPr>
                <w:rFonts w:cs="Tahoma"/>
                <w:color w:val="auto"/>
                <w:kern w:val="0"/>
                <w:sz w:val="24"/>
                <w:szCs w:val="24"/>
              </w:rPr>
              <w:t>开始时间</w:t>
            </w:r>
          </w:p>
        </w:tc>
        <w:tc>
          <w:tcPr>
            <w:tcW w:w="1576" w:type="pct"/>
          </w:tcPr>
          <w:p>
            <w:pPr>
              <w:ind w:firstLine="0" w:firstLineChars="0"/>
              <w:rPr>
                <w:rFonts w:cs="Tahoma"/>
                <w:b/>
                <w:bCs/>
                <w:color w:val="auto"/>
                <w:kern w:val="0"/>
                <w:sz w:val="24"/>
                <w:szCs w:val="24"/>
              </w:rPr>
            </w:pPr>
            <w:r>
              <w:rPr>
                <w:rFonts w:cs="Tahoma"/>
                <w:color w:val="auto"/>
                <w:kern w:val="0"/>
                <w:sz w:val="24"/>
                <w:szCs w:val="24"/>
              </w:rPr>
              <w:t xml:space="preserve">    年  月  日</w:t>
            </w:r>
          </w:p>
        </w:tc>
        <w:tc>
          <w:tcPr>
            <w:tcW w:w="954" w:type="pct"/>
          </w:tcPr>
          <w:p>
            <w:pPr>
              <w:ind w:firstLine="0" w:firstLineChars="0"/>
              <w:rPr>
                <w:rFonts w:cs="Tahoma"/>
                <w:b/>
                <w:bCs/>
                <w:color w:val="auto"/>
                <w:kern w:val="0"/>
                <w:sz w:val="24"/>
                <w:szCs w:val="24"/>
              </w:rPr>
            </w:pPr>
            <w:r>
              <w:rPr>
                <w:rFonts w:cs="Tahoma"/>
                <w:color w:val="auto"/>
                <w:kern w:val="0"/>
                <w:sz w:val="24"/>
                <w:szCs w:val="24"/>
              </w:rPr>
              <w:t>结束时间</w:t>
            </w:r>
          </w:p>
        </w:tc>
        <w:tc>
          <w:tcPr>
            <w:tcW w:w="1547" w:type="pct"/>
          </w:tcPr>
          <w:p>
            <w:pPr>
              <w:ind w:firstLine="0" w:firstLineChars="0"/>
              <w:rPr>
                <w:rFonts w:cs="Tahoma"/>
                <w:b/>
                <w:bCs/>
                <w:color w:val="auto"/>
                <w:kern w:val="0"/>
                <w:sz w:val="24"/>
                <w:szCs w:val="24"/>
              </w:rPr>
            </w:pPr>
            <w:r>
              <w:rPr>
                <w:rFonts w:cs="Tahoma"/>
                <w:color w:val="auto"/>
                <w:kern w:val="0"/>
                <w:sz w:val="24"/>
                <w:szCs w:val="24"/>
              </w:rPr>
              <w:t xml:space="preserve">    年  月  日</w:t>
            </w:r>
          </w:p>
        </w:tc>
      </w:tr>
    </w:tbl>
    <w:p>
      <w:pPr>
        <w:shd w:val="clear" w:color="auto" w:fill="FFFFFF"/>
        <w:ind w:firstLine="562"/>
        <w:rPr>
          <w:rFonts w:cs="Tahoma"/>
          <w:color w:val="auto"/>
          <w:kern w:val="0"/>
        </w:rPr>
      </w:pPr>
      <w:r>
        <w:rPr>
          <w:rFonts w:cs="Tahoma"/>
          <w:b/>
          <w:bCs/>
          <w:color w:val="auto"/>
          <w:kern w:val="0"/>
        </w:rPr>
        <w:t>临床症状和体征</w:t>
      </w:r>
      <w:r>
        <w:rPr>
          <w:rFonts w:cs="Tahoma"/>
          <w:color w:val="auto"/>
          <w:kern w:val="0"/>
        </w:rPr>
        <w:t>（研究前请设计需记录的症状和体征。如无量化，请填写-、+、++、+++表示轻重程度）</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症状\体征</w:t>
            </w:r>
          </w:p>
        </w:tc>
        <w:tc>
          <w:tcPr>
            <w:tcW w:w="1667" w:type="pct"/>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用药前</w:t>
            </w:r>
          </w:p>
        </w:tc>
        <w:tc>
          <w:tcPr>
            <w:tcW w:w="1667" w:type="pct"/>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用药后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bl>
    <w:p>
      <w:pPr>
        <w:shd w:val="clear" w:color="auto" w:fill="FFFFFF"/>
        <w:ind w:firstLine="562"/>
        <w:rPr>
          <w:rFonts w:cs="Tahoma"/>
          <w:b/>
          <w:bCs/>
          <w:color w:val="auto"/>
          <w:kern w:val="0"/>
        </w:rPr>
      </w:pPr>
      <w:r>
        <w:rPr>
          <w:rFonts w:cs="Tahoma"/>
          <w:b/>
          <w:bCs/>
          <w:color w:val="auto"/>
          <w:kern w:val="0"/>
        </w:rPr>
        <w:t>处方</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spacing w:line="240" w:lineRule="auto"/>
              <w:ind w:firstLine="480"/>
              <w:rPr>
                <w:rFonts w:cs="Tahoma"/>
                <w:color w:val="auto"/>
                <w:kern w:val="0"/>
                <w:sz w:val="24"/>
                <w:szCs w:val="24"/>
              </w:rPr>
            </w:pPr>
          </w:p>
          <w:p>
            <w:pPr>
              <w:spacing w:line="240" w:lineRule="auto"/>
              <w:ind w:firstLine="480"/>
              <w:rPr>
                <w:rFonts w:cs="Tahoma"/>
                <w:color w:val="auto"/>
                <w:kern w:val="0"/>
                <w:sz w:val="24"/>
                <w:szCs w:val="24"/>
              </w:rPr>
            </w:pPr>
          </w:p>
          <w:p>
            <w:pPr>
              <w:spacing w:line="240" w:lineRule="auto"/>
              <w:ind w:firstLine="480"/>
              <w:rPr>
                <w:rFonts w:cs="Tahoma"/>
                <w:color w:val="auto"/>
                <w:kern w:val="0"/>
                <w:sz w:val="24"/>
                <w:szCs w:val="24"/>
              </w:rPr>
            </w:pPr>
          </w:p>
          <w:p>
            <w:pPr>
              <w:spacing w:line="240" w:lineRule="auto"/>
              <w:ind w:firstLine="480"/>
              <w:rPr>
                <w:rFonts w:cs="Tahoma"/>
                <w:color w:val="auto"/>
                <w:kern w:val="0"/>
                <w:sz w:val="24"/>
                <w:szCs w:val="24"/>
              </w:rPr>
            </w:pPr>
          </w:p>
          <w:p>
            <w:pPr>
              <w:spacing w:line="240" w:lineRule="auto"/>
              <w:ind w:firstLine="480"/>
              <w:rPr>
                <w:rFonts w:cs="Tahoma"/>
                <w:color w:val="auto"/>
                <w:kern w:val="0"/>
                <w:sz w:val="24"/>
                <w:szCs w:val="24"/>
              </w:rPr>
            </w:pPr>
          </w:p>
        </w:tc>
      </w:tr>
    </w:tbl>
    <w:p>
      <w:pPr>
        <w:shd w:val="clear" w:color="auto" w:fill="FFFFFF"/>
        <w:rPr>
          <w:rFonts w:cs="Tahoma"/>
          <w:color w:val="auto"/>
          <w:kern w:val="0"/>
        </w:rPr>
      </w:pPr>
      <w:r>
        <w:rPr>
          <w:rFonts w:cs="Tahoma"/>
          <w:color w:val="auto"/>
          <w:kern w:val="0"/>
        </w:rPr>
        <w:t>实验室检查（根据病症及处方的情况开展）</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检查项目（单位）</w:t>
            </w:r>
          </w:p>
        </w:tc>
        <w:tc>
          <w:tcPr>
            <w:tcW w:w="1667" w:type="pct"/>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用药前</w:t>
            </w:r>
          </w:p>
        </w:tc>
        <w:tc>
          <w:tcPr>
            <w:tcW w:w="1667" w:type="pct"/>
            <w:vAlign w:val="center"/>
          </w:tcPr>
          <w:p>
            <w:pPr>
              <w:spacing w:line="240" w:lineRule="auto"/>
              <w:ind w:firstLine="0" w:firstLineChars="0"/>
              <w:jc w:val="center"/>
              <w:rPr>
                <w:rFonts w:cs="Tahoma"/>
                <w:color w:val="auto"/>
                <w:kern w:val="0"/>
                <w:sz w:val="24"/>
                <w:szCs w:val="24"/>
              </w:rPr>
            </w:pPr>
            <w:r>
              <w:rPr>
                <w:rFonts w:cs="Tahoma"/>
                <w:color w:val="auto"/>
                <w:kern w:val="0"/>
                <w:sz w:val="24"/>
                <w:szCs w:val="24"/>
              </w:rPr>
              <w:t>用药后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c>
          <w:tcPr>
            <w:tcW w:w="1667" w:type="pct"/>
            <w:vAlign w:val="center"/>
          </w:tcPr>
          <w:p>
            <w:pPr>
              <w:spacing w:line="240" w:lineRule="auto"/>
              <w:ind w:firstLine="0" w:firstLineChars="0"/>
              <w:jc w:val="center"/>
              <w:rPr>
                <w:rFonts w:cs="Tahoma"/>
                <w:color w:val="auto"/>
                <w:kern w:val="0"/>
                <w:sz w:val="24"/>
                <w:szCs w:val="24"/>
              </w:rPr>
            </w:pPr>
          </w:p>
        </w:tc>
      </w:tr>
    </w:tbl>
    <w:p>
      <w:pPr>
        <w:shd w:val="clear" w:color="auto" w:fill="FFFFFF"/>
        <w:ind w:firstLine="562"/>
        <w:rPr>
          <w:rFonts w:cs="Tahoma"/>
          <w:color w:val="auto"/>
          <w:kern w:val="0"/>
        </w:rPr>
      </w:pPr>
      <w:r>
        <w:rPr>
          <w:rFonts w:cs="Tahoma"/>
          <w:b/>
          <w:bCs/>
          <w:color w:val="auto"/>
          <w:kern w:val="0"/>
        </w:rPr>
        <w:t>合并用药</w:t>
      </w:r>
      <w:r>
        <w:rPr>
          <w:rFonts w:cs="Tahoma"/>
          <w:color w:val="auto"/>
          <w:kern w:val="0"/>
        </w:rPr>
        <w:t>（□0=无</w:t>
      </w:r>
      <w:r>
        <w:rPr>
          <w:rFonts w:hint="eastAsia" w:cs="Tahoma"/>
          <w:color w:val="auto"/>
          <w:kern w:val="0"/>
        </w:rPr>
        <w:t xml:space="preserve">  </w:t>
      </w:r>
      <w:r>
        <w:rPr>
          <w:rFonts w:cs="Tahoma"/>
          <w:color w:val="auto"/>
          <w:kern w:val="0"/>
        </w:rPr>
        <w:t>□1=有</w:t>
      </w:r>
      <w:r>
        <w:rPr>
          <w:rFonts w:hint="eastAsia" w:cs="Tahoma"/>
          <w:color w:val="auto"/>
          <w:kern w:val="0"/>
        </w:rPr>
        <w:t xml:space="preserve">   </w:t>
      </w:r>
      <w:r>
        <w:rPr>
          <w:rFonts w:cs="Tahoma"/>
          <w:color w:val="auto"/>
          <w:kern w:val="0"/>
        </w:rPr>
        <w:t>如有，请填写下表）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1088"/>
        <w:gridCol w:w="1362"/>
        <w:gridCol w:w="1713"/>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pct"/>
          </w:tcPr>
          <w:p>
            <w:pPr>
              <w:spacing w:line="240" w:lineRule="auto"/>
              <w:ind w:firstLine="0" w:firstLineChars="0"/>
              <w:rPr>
                <w:rFonts w:cs="Tahoma"/>
                <w:color w:val="auto"/>
                <w:kern w:val="0"/>
                <w:sz w:val="24"/>
                <w:szCs w:val="24"/>
              </w:rPr>
            </w:pPr>
            <w:r>
              <w:rPr>
                <w:rFonts w:cs="Tahoma"/>
                <w:color w:val="auto"/>
                <w:kern w:val="0"/>
                <w:sz w:val="24"/>
                <w:szCs w:val="24"/>
              </w:rPr>
              <w:t>商品名或通用名</w:t>
            </w:r>
          </w:p>
        </w:tc>
        <w:tc>
          <w:tcPr>
            <w:tcW w:w="638" w:type="pct"/>
          </w:tcPr>
          <w:p>
            <w:pPr>
              <w:spacing w:line="240" w:lineRule="auto"/>
              <w:ind w:firstLine="0" w:firstLineChars="0"/>
              <w:rPr>
                <w:rFonts w:cs="Tahoma"/>
                <w:color w:val="auto"/>
                <w:kern w:val="0"/>
                <w:sz w:val="24"/>
                <w:szCs w:val="24"/>
              </w:rPr>
            </w:pPr>
            <w:r>
              <w:rPr>
                <w:rFonts w:cs="Tahoma"/>
                <w:color w:val="auto"/>
                <w:kern w:val="0"/>
                <w:sz w:val="24"/>
                <w:szCs w:val="24"/>
              </w:rPr>
              <w:t>每日总剂量</w:t>
            </w:r>
          </w:p>
        </w:tc>
        <w:tc>
          <w:tcPr>
            <w:tcW w:w="799" w:type="pct"/>
          </w:tcPr>
          <w:p>
            <w:pPr>
              <w:spacing w:line="240" w:lineRule="auto"/>
              <w:ind w:firstLine="0" w:firstLineChars="0"/>
              <w:rPr>
                <w:rFonts w:cs="Tahoma"/>
                <w:color w:val="auto"/>
                <w:kern w:val="0"/>
                <w:sz w:val="24"/>
                <w:szCs w:val="24"/>
              </w:rPr>
            </w:pPr>
            <w:r>
              <w:rPr>
                <w:rFonts w:cs="Tahoma"/>
                <w:color w:val="auto"/>
                <w:kern w:val="0"/>
                <w:sz w:val="24"/>
                <w:szCs w:val="24"/>
              </w:rPr>
              <w:t>使用原因</w:t>
            </w:r>
          </w:p>
        </w:tc>
        <w:tc>
          <w:tcPr>
            <w:tcW w:w="1005" w:type="pct"/>
          </w:tcPr>
          <w:p>
            <w:pPr>
              <w:spacing w:line="240" w:lineRule="auto"/>
              <w:ind w:firstLine="0" w:firstLineChars="0"/>
              <w:rPr>
                <w:rFonts w:cs="Tahoma"/>
                <w:color w:val="auto"/>
                <w:kern w:val="0"/>
                <w:sz w:val="24"/>
                <w:szCs w:val="24"/>
              </w:rPr>
            </w:pPr>
            <w:r>
              <w:rPr>
                <w:rFonts w:cs="Tahoma"/>
                <w:color w:val="auto"/>
                <w:kern w:val="0"/>
                <w:sz w:val="24"/>
                <w:szCs w:val="24"/>
              </w:rPr>
              <w:t>开始日期（年/月/日）</w:t>
            </w:r>
          </w:p>
        </w:tc>
        <w:tc>
          <w:tcPr>
            <w:tcW w:w="1744" w:type="pct"/>
          </w:tcPr>
          <w:p>
            <w:pPr>
              <w:spacing w:line="240" w:lineRule="auto"/>
              <w:ind w:firstLine="0" w:firstLineChars="0"/>
              <w:rPr>
                <w:rFonts w:cs="Tahoma"/>
                <w:color w:val="auto"/>
                <w:kern w:val="0"/>
                <w:sz w:val="24"/>
                <w:szCs w:val="24"/>
              </w:rPr>
            </w:pPr>
            <w:r>
              <w:rPr>
                <w:rFonts w:cs="Tahoma"/>
                <w:color w:val="auto"/>
                <w:kern w:val="0"/>
                <w:sz w:val="24"/>
                <w:szCs w:val="24"/>
              </w:rPr>
              <w:t>结束日期（年/月/日）或就诊时仍在使用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pct"/>
          </w:tcPr>
          <w:p>
            <w:pPr>
              <w:spacing w:line="240" w:lineRule="auto"/>
              <w:ind w:firstLine="0" w:firstLineChars="0"/>
              <w:rPr>
                <w:rFonts w:cs="Tahoma"/>
                <w:color w:val="auto"/>
                <w:kern w:val="0"/>
                <w:sz w:val="24"/>
                <w:szCs w:val="24"/>
              </w:rPr>
            </w:pPr>
          </w:p>
        </w:tc>
        <w:tc>
          <w:tcPr>
            <w:tcW w:w="638" w:type="pct"/>
          </w:tcPr>
          <w:p>
            <w:pPr>
              <w:spacing w:line="240" w:lineRule="auto"/>
              <w:ind w:firstLine="0" w:firstLineChars="0"/>
              <w:rPr>
                <w:rFonts w:cs="Tahoma"/>
                <w:color w:val="auto"/>
                <w:kern w:val="0"/>
                <w:sz w:val="24"/>
                <w:szCs w:val="24"/>
              </w:rPr>
            </w:pPr>
          </w:p>
        </w:tc>
        <w:tc>
          <w:tcPr>
            <w:tcW w:w="799" w:type="pct"/>
          </w:tcPr>
          <w:p>
            <w:pPr>
              <w:spacing w:line="240" w:lineRule="auto"/>
              <w:ind w:firstLine="0" w:firstLineChars="0"/>
              <w:rPr>
                <w:rFonts w:cs="Tahoma"/>
                <w:color w:val="auto"/>
                <w:kern w:val="0"/>
                <w:sz w:val="24"/>
                <w:szCs w:val="24"/>
              </w:rPr>
            </w:pPr>
          </w:p>
        </w:tc>
        <w:tc>
          <w:tcPr>
            <w:tcW w:w="1005" w:type="pct"/>
          </w:tcPr>
          <w:p>
            <w:pPr>
              <w:spacing w:line="240" w:lineRule="auto"/>
              <w:ind w:firstLine="0" w:firstLineChars="0"/>
              <w:rPr>
                <w:rFonts w:cs="Tahoma"/>
                <w:color w:val="auto"/>
                <w:kern w:val="0"/>
                <w:sz w:val="24"/>
                <w:szCs w:val="24"/>
              </w:rPr>
            </w:pPr>
          </w:p>
        </w:tc>
        <w:tc>
          <w:tcPr>
            <w:tcW w:w="1744" w:type="pct"/>
          </w:tcPr>
          <w:p>
            <w:pPr>
              <w:spacing w:line="240" w:lineRule="auto"/>
              <w:ind w:firstLine="0" w:firstLineChars="0"/>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pct"/>
          </w:tcPr>
          <w:p>
            <w:pPr>
              <w:spacing w:line="240" w:lineRule="auto"/>
              <w:ind w:firstLine="0" w:firstLineChars="0"/>
              <w:rPr>
                <w:rFonts w:cs="Tahoma"/>
                <w:color w:val="auto"/>
                <w:kern w:val="0"/>
                <w:sz w:val="24"/>
                <w:szCs w:val="24"/>
              </w:rPr>
            </w:pPr>
          </w:p>
        </w:tc>
        <w:tc>
          <w:tcPr>
            <w:tcW w:w="638" w:type="pct"/>
          </w:tcPr>
          <w:p>
            <w:pPr>
              <w:spacing w:line="240" w:lineRule="auto"/>
              <w:ind w:firstLine="0" w:firstLineChars="0"/>
              <w:rPr>
                <w:rFonts w:cs="Tahoma"/>
                <w:color w:val="auto"/>
                <w:kern w:val="0"/>
                <w:sz w:val="24"/>
                <w:szCs w:val="24"/>
              </w:rPr>
            </w:pPr>
          </w:p>
        </w:tc>
        <w:tc>
          <w:tcPr>
            <w:tcW w:w="799" w:type="pct"/>
          </w:tcPr>
          <w:p>
            <w:pPr>
              <w:spacing w:line="240" w:lineRule="auto"/>
              <w:ind w:firstLine="0" w:firstLineChars="0"/>
              <w:rPr>
                <w:rFonts w:cs="Tahoma"/>
                <w:color w:val="auto"/>
                <w:kern w:val="0"/>
                <w:sz w:val="24"/>
                <w:szCs w:val="24"/>
              </w:rPr>
            </w:pPr>
          </w:p>
        </w:tc>
        <w:tc>
          <w:tcPr>
            <w:tcW w:w="1005" w:type="pct"/>
          </w:tcPr>
          <w:p>
            <w:pPr>
              <w:spacing w:line="240" w:lineRule="auto"/>
              <w:ind w:firstLine="0" w:firstLineChars="0"/>
              <w:rPr>
                <w:rFonts w:cs="Tahoma"/>
                <w:color w:val="auto"/>
                <w:kern w:val="0"/>
                <w:sz w:val="24"/>
                <w:szCs w:val="24"/>
              </w:rPr>
            </w:pPr>
          </w:p>
        </w:tc>
        <w:tc>
          <w:tcPr>
            <w:tcW w:w="1744" w:type="pct"/>
          </w:tcPr>
          <w:p>
            <w:pPr>
              <w:spacing w:line="240" w:lineRule="auto"/>
              <w:ind w:firstLine="0" w:firstLineChars="0"/>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pct"/>
          </w:tcPr>
          <w:p>
            <w:pPr>
              <w:spacing w:line="240" w:lineRule="auto"/>
              <w:ind w:firstLine="0" w:firstLineChars="0"/>
              <w:rPr>
                <w:rFonts w:cs="Tahoma"/>
                <w:color w:val="auto"/>
                <w:kern w:val="0"/>
                <w:sz w:val="24"/>
                <w:szCs w:val="24"/>
              </w:rPr>
            </w:pPr>
          </w:p>
        </w:tc>
        <w:tc>
          <w:tcPr>
            <w:tcW w:w="638" w:type="pct"/>
          </w:tcPr>
          <w:p>
            <w:pPr>
              <w:spacing w:line="240" w:lineRule="auto"/>
              <w:ind w:firstLine="0" w:firstLineChars="0"/>
              <w:rPr>
                <w:rFonts w:cs="Tahoma"/>
                <w:color w:val="auto"/>
                <w:kern w:val="0"/>
                <w:sz w:val="24"/>
                <w:szCs w:val="24"/>
              </w:rPr>
            </w:pPr>
          </w:p>
        </w:tc>
        <w:tc>
          <w:tcPr>
            <w:tcW w:w="799" w:type="pct"/>
          </w:tcPr>
          <w:p>
            <w:pPr>
              <w:spacing w:line="240" w:lineRule="auto"/>
              <w:ind w:firstLine="0" w:firstLineChars="0"/>
              <w:rPr>
                <w:rFonts w:cs="Tahoma"/>
                <w:color w:val="auto"/>
                <w:kern w:val="0"/>
                <w:sz w:val="24"/>
                <w:szCs w:val="24"/>
              </w:rPr>
            </w:pPr>
          </w:p>
        </w:tc>
        <w:tc>
          <w:tcPr>
            <w:tcW w:w="1005" w:type="pct"/>
          </w:tcPr>
          <w:p>
            <w:pPr>
              <w:spacing w:line="240" w:lineRule="auto"/>
              <w:ind w:firstLine="0" w:firstLineChars="0"/>
              <w:rPr>
                <w:rFonts w:cs="Tahoma"/>
                <w:color w:val="auto"/>
                <w:kern w:val="0"/>
                <w:sz w:val="24"/>
                <w:szCs w:val="24"/>
              </w:rPr>
            </w:pPr>
          </w:p>
        </w:tc>
        <w:tc>
          <w:tcPr>
            <w:tcW w:w="1744" w:type="pct"/>
          </w:tcPr>
          <w:p>
            <w:pPr>
              <w:spacing w:line="240" w:lineRule="auto"/>
              <w:ind w:firstLine="0" w:firstLineChars="0"/>
              <w:rPr>
                <w:rFonts w:cs="Tahoma"/>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pct"/>
          </w:tcPr>
          <w:p>
            <w:pPr>
              <w:spacing w:line="240" w:lineRule="auto"/>
              <w:ind w:firstLine="0" w:firstLineChars="0"/>
              <w:rPr>
                <w:rFonts w:cs="Tahoma"/>
                <w:color w:val="auto"/>
                <w:kern w:val="0"/>
                <w:sz w:val="24"/>
                <w:szCs w:val="24"/>
              </w:rPr>
            </w:pPr>
          </w:p>
        </w:tc>
        <w:tc>
          <w:tcPr>
            <w:tcW w:w="638" w:type="pct"/>
          </w:tcPr>
          <w:p>
            <w:pPr>
              <w:spacing w:line="240" w:lineRule="auto"/>
              <w:ind w:firstLine="0" w:firstLineChars="0"/>
              <w:rPr>
                <w:rFonts w:cs="Tahoma"/>
                <w:color w:val="auto"/>
                <w:kern w:val="0"/>
                <w:sz w:val="24"/>
                <w:szCs w:val="24"/>
              </w:rPr>
            </w:pPr>
          </w:p>
        </w:tc>
        <w:tc>
          <w:tcPr>
            <w:tcW w:w="799" w:type="pct"/>
          </w:tcPr>
          <w:p>
            <w:pPr>
              <w:spacing w:line="240" w:lineRule="auto"/>
              <w:ind w:firstLine="0" w:firstLineChars="0"/>
              <w:rPr>
                <w:rFonts w:cs="Tahoma"/>
                <w:color w:val="auto"/>
                <w:kern w:val="0"/>
                <w:sz w:val="24"/>
                <w:szCs w:val="24"/>
              </w:rPr>
            </w:pPr>
          </w:p>
        </w:tc>
        <w:tc>
          <w:tcPr>
            <w:tcW w:w="1005" w:type="pct"/>
          </w:tcPr>
          <w:p>
            <w:pPr>
              <w:spacing w:line="240" w:lineRule="auto"/>
              <w:ind w:firstLine="0" w:firstLineChars="0"/>
              <w:rPr>
                <w:rFonts w:cs="Tahoma"/>
                <w:color w:val="auto"/>
                <w:kern w:val="0"/>
                <w:sz w:val="24"/>
                <w:szCs w:val="24"/>
              </w:rPr>
            </w:pPr>
          </w:p>
        </w:tc>
        <w:tc>
          <w:tcPr>
            <w:tcW w:w="1744" w:type="pct"/>
          </w:tcPr>
          <w:p>
            <w:pPr>
              <w:spacing w:line="240" w:lineRule="auto"/>
              <w:ind w:firstLine="0" w:firstLineChars="0"/>
              <w:rPr>
                <w:rFonts w:cs="Tahoma"/>
                <w:color w:val="auto"/>
                <w:kern w:val="0"/>
                <w:sz w:val="24"/>
                <w:szCs w:val="24"/>
              </w:rPr>
            </w:pPr>
          </w:p>
        </w:tc>
      </w:tr>
    </w:tbl>
    <w:p>
      <w:pPr>
        <w:shd w:val="clear" w:color="auto" w:fill="FFFFFF"/>
        <w:ind w:firstLine="562"/>
        <w:rPr>
          <w:rFonts w:cs="Tahoma"/>
          <w:color w:val="auto"/>
          <w:kern w:val="0"/>
        </w:rPr>
      </w:pPr>
      <w:r>
        <w:rPr>
          <w:rFonts w:cs="Tahoma"/>
          <w:b/>
          <w:bCs/>
          <w:color w:val="auto"/>
          <w:kern w:val="0"/>
        </w:rPr>
        <w:t>药物不良反应</w:t>
      </w:r>
      <w:r>
        <w:rPr>
          <w:rFonts w:cs="Tahoma"/>
          <w:color w:val="auto"/>
          <w:kern w:val="0"/>
        </w:rPr>
        <w:t>（□0=无 □1=有</w:t>
      </w:r>
      <w:r>
        <w:rPr>
          <w:rFonts w:hint="eastAsia" w:cs="Tahoma"/>
          <w:color w:val="auto"/>
          <w:kern w:val="0"/>
        </w:rPr>
        <w:t xml:space="preserve">  </w:t>
      </w:r>
      <w:r>
        <w:rPr>
          <w:rFonts w:cs="Tahoma"/>
          <w:color w:val="auto"/>
          <w:kern w:val="0"/>
        </w:rPr>
        <w:t xml:space="preserve"> 如有，请填写下表）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8"/>
        <w:gridCol w:w="2552"/>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line="240" w:lineRule="auto"/>
              <w:ind w:firstLine="0" w:firstLineChars="0"/>
              <w:rPr>
                <w:rFonts w:cs="仿宋_GB2312"/>
                <w:color w:val="auto"/>
                <w:sz w:val="24"/>
                <w:szCs w:val="24"/>
              </w:rPr>
            </w:pPr>
            <w:r>
              <w:rPr>
                <w:rFonts w:hint="eastAsia" w:cs="仿宋_GB2312"/>
                <w:color w:val="auto"/>
                <w:sz w:val="24"/>
                <w:szCs w:val="24"/>
              </w:rPr>
              <w:t>不良反应/不良事件名称（症状/体征）</w:t>
            </w:r>
          </w:p>
        </w:tc>
        <w:tc>
          <w:tcPr>
            <w:tcW w:w="0" w:type="auto"/>
          </w:tcPr>
          <w:p>
            <w:pPr>
              <w:spacing w:line="240" w:lineRule="auto"/>
              <w:ind w:firstLine="0" w:firstLineChars="0"/>
              <w:rPr>
                <w:rFonts w:cs="仿宋_GB2312"/>
                <w:color w:val="auto"/>
                <w:sz w:val="24"/>
                <w:szCs w:val="24"/>
              </w:rPr>
            </w:pPr>
          </w:p>
        </w:tc>
        <w:tc>
          <w:tcPr>
            <w:tcW w:w="0" w:type="auto"/>
          </w:tcPr>
          <w:p>
            <w:pPr>
              <w:spacing w:line="240" w:lineRule="auto"/>
              <w:ind w:firstLine="0" w:firstLineChars="0"/>
              <w:rPr>
                <w:rFonts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0" w:type="auto"/>
          </w:tcPr>
          <w:p>
            <w:pPr>
              <w:spacing w:line="240" w:lineRule="auto"/>
              <w:ind w:firstLine="0" w:firstLineChars="0"/>
              <w:rPr>
                <w:rFonts w:cs="仿宋_GB2312"/>
                <w:color w:val="auto"/>
                <w:sz w:val="24"/>
                <w:szCs w:val="24"/>
              </w:rPr>
            </w:pPr>
            <w:r>
              <w:rPr>
                <w:rFonts w:hint="eastAsia" w:cs="仿宋_GB2312"/>
                <w:color w:val="auto"/>
                <w:sz w:val="24"/>
                <w:szCs w:val="24"/>
              </w:rPr>
              <w:t>开始发生时间</w:t>
            </w:r>
          </w:p>
        </w:tc>
        <w:tc>
          <w:tcPr>
            <w:tcW w:w="0" w:type="auto"/>
          </w:tcPr>
          <w:p>
            <w:pPr>
              <w:spacing w:line="240" w:lineRule="auto"/>
              <w:ind w:firstLine="0" w:firstLineChars="0"/>
              <w:rPr>
                <w:rFonts w:cs="仿宋_GB2312"/>
                <w:color w:val="auto"/>
                <w:sz w:val="24"/>
                <w:szCs w:val="24"/>
              </w:rPr>
            </w:pPr>
            <w:r>
              <w:rPr>
                <w:rFonts w:hint="eastAsia" w:cs="仿宋_GB2312"/>
                <w:color w:val="auto"/>
                <w:sz w:val="24"/>
                <w:szCs w:val="24"/>
              </w:rPr>
              <w:t xml:space="preserve">    年  月  日  时  分</w:t>
            </w:r>
          </w:p>
        </w:tc>
        <w:tc>
          <w:tcPr>
            <w:tcW w:w="0" w:type="auto"/>
          </w:tcPr>
          <w:p>
            <w:pPr>
              <w:spacing w:line="240" w:lineRule="auto"/>
              <w:ind w:firstLine="0" w:firstLineChars="0"/>
              <w:rPr>
                <w:rFonts w:cs="仿宋_GB2312"/>
                <w:color w:val="auto"/>
                <w:sz w:val="24"/>
                <w:szCs w:val="24"/>
              </w:rPr>
            </w:pPr>
            <w:r>
              <w:rPr>
                <w:rFonts w:hint="eastAsia" w:cs="仿宋_GB2312"/>
                <w:color w:val="auto"/>
                <w:sz w:val="24"/>
                <w:szCs w:val="24"/>
              </w:rPr>
              <w:t xml:space="preserve">    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240" w:lineRule="auto"/>
              <w:ind w:firstLine="0" w:firstLineChars="0"/>
              <w:rPr>
                <w:rFonts w:cs="仿宋_GB2312"/>
                <w:color w:val="auto"/>
                <w:sz w:val="24"/>
                <w:szCs w:val="24"/>
              </w:rPr>
            </w:pPr>
            <w:r>
              <w:rPr>
                <w:rFonts w:hint="eastAsia" w:cs="仿宋_GB2312"/>
                <w:color w:val="auto"/>
                <w:sz w:val="24"/>
                <w:szCs w:val="24"/>
              </w:rPr>
              <w:t>结束时间</w:t>
            </w:r>
          </w:p>
        </w:tc>
        <w:tc>
          <w:tcPr>
            <w:tcW w:w="0" w:type="auto"/>
            <w:vAlign w:val="center"/>
          </w:tcPr>
          <w:p>
            <w:pPr>
              <w:spacing w:line="240" w:lineRule="auto"/>
              <w:ind w:firstLine="0" w:firstLineChars="0"/>
              <w:rPr>
                <w:rFonts w:cs="仿宋_GB2312"/>
                <w:color w:val="auto"/>
                <w:sz w:val="24"/>
                <w:szCs w:val="24"/>
              </w:rPr>
            </w:pPr>
            <w:r>
              <w:rPr>
                <w:rFonts w:hint="eastAsia" w:cs="仿宋_GB2312"/>
                <w:color w:val="auto"/>
                <w:sz w:val="24"/>
                <w:szCs w:val="24"/>
              </w:rPr>
              <w:t xml:space="preserve">    年  月  日  时  分</w:t>
            </w:r>
          </w:p>
        </w:tc>
        <w:tc>
          <w:tcPr>
            <w:tcW w:w="0" w:type="auto"/>
            <w:vAlign w:val="center"/>
          </w:tcPr>
          <w:p>
            <w:pPr>
              <w:spacing w:line="240" w:lineRule="auto"/>
              <w:ind w:firstLine="0" w:firstLineChars="0"/>
              <w:rPr>
                <w:rFonts w:cs="仿宋_GB2312"/>
                <w:color w:val="auto"/>
                <w:sz w:val="24"/>
                <w:szCs w:val="24"/>
              </w:rPr>
            </w:pPr>
            <w:r>
              <w:rPr>
                <w:rFonts w:hint="eastAsia" w:cs="仿宋_GB2312"/>
                <w:color w:val="auto"/>
                <w:sz w:val="24"/>
                <w:szCs w:val="24"/>
              </w:rPr>
              <w:t xml:space="preserve">    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240" w:lineRule="auto"/>
              <w:ind w:firstLine="0" w:firstLineChars="0"/>
              <w:rPr>
                <w:rFonts w:cs="Tahoma"/>
                <w:color w:val="auto"/>
                <w:kern w:val="0"/>
                <w:sz w:val="24"/>
                <w:szCs w:val="24"/>
              </w:rPr>
            </w:pPr>
            <w:r>
              <w:rPr>
                <w:rFonts w:hint="eastAsia" w:cs="仿宋_GB2312"/>
                <w:color w:val="auto"/>
                <w:sz w:val="24"/>
                <w:szCs w:val="24"/>
              </w:rPr>
              <w:t>特点</w:t>
            </w:r>
          </w:p>
        </w:tc>
        <w:tc>
          <w:tcPr>
            <w:tcW w:w="0" w:type="auto"/>
            <w:vAlign w:val="center"/>
          </w:tcPr>
          <w:p>
            <w:pPr>
              <w:tabs>
                <w:tab w:val="left" w:pos="216"/>
              </w:tabs>
              <w:spacing w:line="240" w:lineRule="auto"/>
              <w:ind w:firstLine="0" w:firstLineChars="0"/>
              <w:rPr>
                <w:color w:val="auto"/>
                <w:sz w:val="24"/>
                <w:szCs w:val="24"/>
              </w:rPr>
            </w:pPr>
            <w:r>
              <w:rPr>
                <w:rFonts w:hint="eastAsia" w:cs="仿宋_GB2312"/>
                <w:color w:val="auto"/>
                <w:sz w:val="24"/>
                <w:szCs w:val="24"/>
              </w:rPr>
              <w:t xml:space="preserve">□阵发性 </w:t>
            </w:r>
            <w:r>
              <w:rPr>
                <w:rFonts w:cs="仿宋_GB2312"/>
                <w:color w:val="auto"/>
                <w:sz w:val="24"/>
                <w:szCs w:val="24"/>
              </w:rPr>
              <w:t xml:space="preserve">  </w:t>
            </w:r>
            <w:r>
              <w:rPr>
                <w:rFonts w:hint="eastAsia" w:cs="仿宋_GB2312"/>
                <w:color w:val="auto"/>
                <w:sz w:val="24"/>
                <w:szCs w:val="24"/>
              </w:rPr>
              <w:t>发作次数□□</w:t>
            </w:r>
          </w:p>
          <w:p>
            <w:pPr>
              <w:spacing w:line="240" w:lineRule="auto"/>
              <w:ind w:firstLine="0" w:firstLineChars="0"/>
              <w:rPr>
                <w:rFonts w:cs="Tahoma"/>
                <w:color w:val="auto"/>
                <w:kern w:val="0"/>
                <w:sz w:val="24"/>
                <w:szCs w:val="24"/>
              </w:rPr>
            </w:pPr>
            <w:r>
              <w:rPr>
                <w:rFonts w:hint="eastAsia" w:cs="仿宋_GB2312"/>
                <w:color w:val="auto"/>
                <w:sz w:val="24"/>
                <w:szCs w:val="24"/>
              </w:rPr>
              <w:t>□持续性</w:t>
            </w:r>
          </w:p>
        </w:tc>
        <w:tc>
          <w:tcPr>
            <w:tcW w:w="0" w:type="auto"/>
            <w:vAlign w:val="center"/>
          </w:tcPr>
          <w:p>
            <w:pPr>
              <w:tabs>
                <w:tab w:val="left" w:pos="216"/>
              </w:tabs>
              <w:spacing w:line="240" w:lineRule="auto"/>
              <w:ind w:firstLine="0" w:firstLineChars="0"/>
              <w:rPr>
                <w:color w:val="auto"/>
                <w:sz w:val="24"/>
                <w:szCs w:val="24"/>
              </w:rPr>
            </w:pPr>
            <w:r>
              <w:rPr>
                <w:rFonts w:hint="eastAsia" w:cs="仿宋_GB2312"/>
                <w:color w:val="auto"/>
                <w:sz w:val="24"/>
                <w:szCs w:val="24"/>
              </w:rPr>
              <w:t xml:space="preserve">□阵发性 </w:t>
            </w:r>
            <w:r>
              <w:rPr>
                <w:rFonts w:cs="仿宋_GB2312"/>
                <w:color w:val="auto"/>
                <w:sz w:val="24"/>
                <w:szCs w:val="24"/>
              </w:rPr>
              <w:t xml:space="preserve">  </w:t>
            </w:r>
            <w:r>
              <w:rPr>
                <w:rFonts w:hint="eastAsia" w:cs="仿宋_GB2312"/>
                <w:color w:val="auto"/>
                <w:sz w:val="24"/>
                <w:szCs w:val="24"/>
              </w:rPr>
              <w:t>发作次数□□</w:t>
            </w:r>
          </w:p>
          <w:p>
            <w:pPr>
              <w:spacing w:line="240" w:lineRule="auto"/>
              <w:ind w:firstLine="0" w:firstLineChars="0"/>
              <w:rPr>
                <w:rFonts w:cs="Tahoma"/>
                <w:color w:val="auto"/>
                <w:kern w:val="0"/>
                <w:sz w:val="24"/>
                <w:szCs w:val="24"/>
              </w:rPr>
            </w:pPr>
            <w:r>
              <w:rPr>
                <w:rFonts w:hint="eastAsia" w:cs="仿宋_GB2312"/>
                <w:color w:val="auto"/>
                <w:sz w:val="24"/>
                <w:szCs w:val="24"/>
              </w:rPr>
              <w:t>□持续性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240" w:lineRule="auto"/>
              <w:ind w:firstLine="0" w:firstLineChars="0"/>
              <w:rPr>
                <w:rFonts w:cs="Tahoma"/>
                <w:color w:val="auto"/>
                <w:kern w:val="0"/>
                <w:sz w:val="24"/>
                <w:szCs w:val="24"/>
              </w:rPr>
            </w:pPr>
            <w:r>
              <w:rPr>
                <w:rFonts w:hint="eastAsia" w:cs="仿宋_GB2312"/>
                <w:color w:val="auto"/>
                <w:sz w:val="24"/>
                <w:szCs w:val="24"/>
              </w:rPr>
              <w:t>严重程度</w:t>
            </w:r>
          </w:p>
        </w:tc>
        <w:tc>
          <w:tcPr>
            <w:tcW w:w="0" w:type="auto"/>
            <w:vAlign w:val="center"/>
          </w:tcPr>
          <w:p>
            <w:pPr>
              <w:spacing w:line="240" w:lineRule="auto"/>
              <w:ind w:firstLine="0" w:firstLineChars="0"/>
              <w:rPr>
                <w:rFonts w:cs="Tahoma"/>
                <w:color w:val="auto"/>
                <w:kern w:val="0"/>
                <w:sz w:val="24"/>
                <w:szCs w:val="24"/>
              </w:rPr>
            </w:pPr>
            <w:r>
              <w:rPr>
                <w:rFonts w:hint="eastAsia" w:cs="仿宋_GB2312"/>
                <w:color w:val="auto"/>
                <w:sz w:val="24"/>
                <w:szCs w:val="24"/>
              </w:rPr>
              <w:t>□轻</w:t>
            </w:r>
            <w:r>
              <w:rPr>
                <w:rFonts w:cs="仿宋_GB2312"/>
                <w:color w:val="auto"/>
                <w:sz w:val="24"/>
                <w:szCs w:val="24"/>
              </w:rPr>
              <w:t xml:space="preserve">  </w:t>
            </w:r>
            <w:r>
              <w:rPr>
                <w:rFonts w:hint="eastAsia" w:cs="仿宋_GB2312"/>
                <w:color w:val="auto"/>
                <w:sz w:val="24"/>
                <w:szCs w:val="24"/>
              </w:rPr>
              <w:t>□中</w:t>
            </w:r>
            <w:r>
              <w:rPr>
                <w:rFonts w:cs="仿宋_GB2312"/>
                <w:color w:val="auto"/>
                <w:sz w:val="24"/>
                <w:szCs w:val="24"/>
              </w:rPr>
              <w:t xml:space="preserve">  </w:t>
            </w:r>
            <w:r>
              <w:rPr>
                <w:rFonts w:hint="eastAsia" w:cs="仿宋_GB2312"/>
                <w:color w:val="auto"/>
                <w:sz w:val="24"/>
                <w:szCs w:val="24"/>
              </w:rPr>
              <w:t>□重</w:t>
            </w:r>
          </w:p>
        </w:tc>
        <w:tc>
          <w:tcPr>
            <w:tcW w:w="0" w:type="auto"/>
            <w:vAlign w:val="center"/>
          </w:tcPr>
          <w:p>
            <w:pPr>
              <w:spacing w:line="240" w:lineRule="auto"/>
              <w:ind w:firstLine="0" w:firstLineChars="0"/>
              <w:rPr>
                <w:rFonts w:cs="Tahoma"/>
                <w:color w:val="auto"/>
                <w:kern w:val="0"/>
                <w:sz w:val="24"/>
                <w:szCs w:val="24"/>
              </w:rPr>
            </w:pPr>
            <w:r>
              <w:rPr>
                <w:rFonts w:hint="eastAsia" w:cs="仿宋_GB2312"/>
                <w:color w:val="auto"/>
                <w:sz w:val="24"/>
                <w:szCs w:val="24"/>
              </w:rPr>
              <w:t>□轻</w:t>
            </w:r>
            <w:r>
              <w:rPr>
                <w:rFonts w:cs="仿宋_GB2312"/>
                <w:color w:val="auto"/>
                <w:sz w:val="24"/>
                <w:szCs w:val="24"/>
              </w:rPr>
              <w:t xml:space="preserve">  </w:t>
            </w:r>
            <w:r>
              <w:rPr>
                <w:rFonts w:hint="eastAsia" w:cs="仿宋_GB2312"/>
                <w:color w:val="auto"/>
                <w:sz w:val="24"/>
                <w:szCs w:val="24"/>
              </w:rPr>
              <w:t>□中</w:t>
            </w:r>
            <w:r>
              <w:rPr>
                <w:rFonts w:cs="仿宋_GB2312"/>
                <w:color w:val="auto"/>
                <w:sz w:val="24"/>
                <w:szCs w:val="24"/>
              </w:rPr>
              <w:t xml:space="preserve">  </w:t>
            </w:r>
            <w:r>
              <w:rPr>
                <w:rFonts w:hint="eastAsia" w:cs="仿宋_GB2312"/>
                <w:color w:val="auto"/>
                <w:sz w:val="24"/>
                <w:szCs w:val="24"/>
              </w:rPr>
              <w:t>□重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240" w:lineRule="auto"/>
              <w:ind w:firstLine="0" w:firstLineChars="0"/>
              <w:rPr>
                <w:rFonts w:cs="Tahoma"/>
                <w:color w:val="auto"/>
                <w:kern w:val="0"/>
                <w:sz w:val="24"/>
                <w:szCs w:val="24"/>
              </w:rPr>
            </w:pPr>
            <w:r>
              <w:rPr>
                <w:rFonts w:hint="eastAsia" w:cs="仿宋_GB2312"/>
                <w:color w:val="auto"/>
                <w:sz w:val="24"/>
                <w:szCs w:val="24"/>
              </w:rPr>
              <w:t>与研究药物的关系</w:t>
            </w:r>
          </w:p>
        </w:tc>
        <w:tc>
          <w:tcPr>
            <w:tcW w:w="0" w:type="auto"/>
            <w:vAlign w:val="center"/>
          </w:tcPr>
          <w:p>
            <w:pPr>
              <w:tabs>
                <w:tab w:val="left" w:pos="216"/>
              </w:tabs>
              <w:spacing w:line="240" w:lineRule="auto"/>
              <w:ind w:firstLine="0" w:firstLineChars="0"/>
              <w:rPr>
                <w:color w:val="auto"/>
                <w:sz w:val="24"/>
                <w:szCs w:val="24"/>
              </w:rPr>
            </w:pPr>
            <w:r>
              <w:rPr>
                <w:rFonts w:hint="eastAsia" w:cs="仿宋_GB2312"/>
                <w:color w:val="auto"/>
                <w:sz w:val="24"/>
                <w:szCs w:val="24"/>
              </w:rPr>
              <w:t>□肯定有关</w:t>
            </w:r>
          </w:p>
          <w:p>
            <w:pPr>
              <w:tabs>
                <w:tab w:val="left" w:pos="216"/>
              </w:tabs>
              <w:spacing w:line="240" w:lineRule="auto"/>
              <w:ind w:firstLine="0" w:firstLineChars="0"/>
              <w:rPr>
                <w:color w:val="auto"/>
                <w:sz w:val="24"/>
                <w:szCs w:val="24"/>
              </w:rPr>
            </w:pPr>
            <w:r>
              <w:rPr>
                <w:rFonts w:hint="eastAsia" w:cs="仿宋_GB2312"/>
                <w:color w:val="auto"/>
                <w:sz w:val="24"/>
                <w:szCs w:val="24"/>
              </w:rPr>
              <w:t>□很可能有关</w:t>
            </w:r>
          </w:p>
          <w:p>
            <w:pPr>
              <w:tabs>
                <w:tab w:val="left" w:pos="216"/>
              </w:tabs>
              <w:spacing w:line="240" w:lineRule="auto"/>
              <w:ind w:firstLine="0" w:firstLineChars="0"/>
              <w:rPr>
                <w:color w:val="auto"/>
                <w:sz w:val="24"/>
                <w:szCs w:val="24"/>
              </w:rPr>
            </w:pPr>
            <w:r>
              <w:rPr>
                <w:rFonts w:hint="eastAsia" w:cs="仿宋_GB2312"/>
                <w:color w:val="auto"/>
                <w:sz w:val="24"/>
                <w:szCs w:val="24"/>
              </w:rPr>
              <w:t>□可能有关</w:t>
            </w:r>
          </w:p>
          <w:p>
            <w:pPr>
              <w:tabs>
                <w:tab w:val="left" w:pos="216"/>
              </w:tabs>
              <w:spacing w:line="240" w:lineRule="auto"/>
              <w:ind w:firstLine="0" w:firstLineChars="0"/>
              <w:rPr>
                <w:color w:val="auto"/>
                <w:sz w:val="24"/>
                <w:szCs w:val="24"/>
              </w:rPr>
            </w:pPr>
            <w:r>
              <w:rPr>
                <w:rFonts w:hint="eastAsia" w:cs="仿宋_GB2312"/>
                <w:color w:val="auto"/>
                <w:sz w:val="24"/>
                <w:szCs w:val="24"/>
              </w:rPr>
              <w:t>□可能无关</w:t>
            </w:r>
          </w:p>
          <w:p>
            <w:pPr>
              <w:spacing w:line="240" w:lineRule="auto"/>
              <w:ind w:firstLine="0" w:firstLineChars="0"/>
              <w:rPr>
                <w:rFonts w:cs="Tahoma"/>
                <w:color w:val="auto"/>
                <w:kern w:val="0"/>
                <w:sz w:val="24"/>
                <w:szCs w:val="24"/>
              </w:rPr>
            </w:pPr>
            <w:r>
              <w:rPr>
                <w:rFonts w:hint="eastAsia" w:cs="仿宋_GB2312"/>
                <w:color w:val="auto"/>
                <w:sz w:val="24"/>
                <w:szCs w:val="24"/>
              </w:rPr>
              <w:t>□无关</w:t>
            </w:r>
          </w:p>
        </w:tc>
        <w:tc>
          <w:tcPr>
            <w:tcW w:w="0" w:type="auto"/>
            <w:vAlign w:val="center"/>
          </w:tcPr>
          <w:p>
            <w:pPr>
              <w:tabs>
                <w:tab w:val="left" w:pos="216"/>
              </w:tabs>
              <w:spacing w:line="240" w:lineRule="auto"/>
              <w:ind w:firstLine="0" w:firstLineChars="0"/>
              <w:rPr>
                <w:color w:val="auto"/>
                <w:sz w:val="24"/>
                <w:szCs w:val="24"/>
              </w:rPr>
            </w:pPr>
            <w:r>
              <w:rPr>
                <w:rFonts w:hint="eastAsia" w:cs="仿宋_GB2312"/>
                <w:color w:val="auto"/>
                <w:sz w:val="24"/>
                <w:szCs w:val="24"/>
              </w:rPr>
              <w:t>□肯定有关</w:t>
            </w:r>
          </w:p>
          <w:p>
            <w:pPr>
              <w:tabs>
                <w:tab w:val="left" w:pos="216"/>
              </w:tabs>
              <w:spacing w:line="240" w:lineRule="auto"/>
              <w:ind w:firstLine="0" w:firstLineChars="0"/>
              <w:rPr>
                <w:color w:val="auto"/>
                <w:sz w:val="24"/>
                <w:szCs w:val="24"/>
              </w:rPr>
            </w:pPr>
            <w:r>
              <w:rPr>
                <w:rFonts w:hint="eastAsia" w:cs="仿宋_GB2312"/>
                <w:color w:val="auto"/>
                <w:sz w:val="24"/>
                <w:szCs w:val="24"/>
              </w:rPr>
              <w:t>□很可能有关</w:t>
            </w:r>
          </w:p>
          <w:p>
            <w:pPr>
              <w:tabs>
                <w:tab w:val="left" w:pos="216"/>
              </w:tabs>
              <w:spacing w:line="240" w:lineRule="auto"/>
              <w:ind w:firstLine="0" w:firstLineChars="0"/>
              <w:rPr>
                <w:color w:val="auto"/>
                <w:sz w:val="24"/>
                <w:szCs w:val="24"/>
              </w:rPr>
            </w:pPr>
            <w:r>
              <w:rPr>
                <w:rFonts w:hint="eastAsia" w:cs="仿宋_GB2312"/>
                <w:color w:val="auto"/>
                <w:sz w:val="24"/>
                <w:szCs w:val="24"/>
              </w:rPr>
              <w:t>□可能有关</w:t>
            </w:r>
          </w:p>
          <w:p>
            <w:pPr>
              <w:tabs>
                <w:tab w:val="left" w:pos="216"/>
              </w:tabs>
              <w:spacing w:line="240" w:lineRule="auto"/>
              <w:ind w:firstLine="0" w:firstLineChars="0"/>
              <w:rPr>
                <w:color w:val="auto"/>
                <w:sz w:val="24"/>
                <w:szCs w:val="24"/>
              </w:rPr>
            </w:pPr>
            <w:r>
              <w:rPr>
                <w:rFonts w:hint="eastAsia" w:cs="仿宋_GB2312"/>
                <w:color w:val="auto"/>
                <w:sz w:val="24"/>
                <w:szCs w:val="24"/>
              </w:rPr>
              <w:t>□可能无关</w:t>
            </w:r>
          </w:p>
          <w:p>
            <w:pPr>
              <w:spacing w:line="240" w:lineRule="auto"/>
              <w:ind w:firstLine="0" w:firstLineChars="0"/>
              <w:rPr>
                <w:rFonts w:cs="Tahoma"/>
                <w:color w:val="auto"/>
                <w:kern w:val="0"/>
                <w:sz w:val="24"/>
                <w:szCs w:val="24"/>
              </w:rPr>
            </w:pPr>
            <w:r>
              <w:rPr>
                <w:rFonts w:hint="eastAsia" w:cs="仿宋_GB2312"/>
                <w:color w:val="auto"/>
                <w:sz w:val="24"/>
                <w:szCs w:val="24"/>
              </w:rPr>
              <w:t>□无关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240" w:lineRule="auto"/>
              <w:ind w:firstLine="0" w:firstLineChars="0"/>
              <w:rPr>
                <w:rFonts w:cs="Tahoma"/>
                <w:color w:val="auto"/>
                <w:kern w:val="0"/>
                <w:sz w:val="24"/>
                <w:szCs w:val="24"/>
              </w:rPr>
            </w:pPr>
            <w:r>
              <w:rPr>
                <w:rFonts w:hint="eastAsia" w:cs="仿宋_GB2312"/>
                <w:color w:val="auto"/>
                <w:sz w:val="24"/>
                <w:szCs w:val="24"/>
              </w:rPr>
              <w:t>转归</w:t>
            </w:r>
          </w:p>
        </w:tc>
        <w:tc>
          <w:tcPr>
            <w:tcW w:w="0" w:type="auto"/>
            <w:vAlign w:val="center"/>
          </w:tcPr>
          <w:p>
            <w:pPr>
              <w:spacing w:line="240" w:lineRule="auto"/>
              <w:ind w:firstLine="0" w:firstLineChars="0"/>
              <w:rPr>
                <w:color w:val="auto"/>
                <w:sz w:val="24"/>
                <w:szCs w:val="24"/>
              </w:rPr>
            </w:pPr>
            <w:r>
              <w:rPr>
                <w:rFonts w:hint="eastAsia" w:cs="仿宋_GB2312"/>
                <w:color w:val="auto"/>
                <w:sz w:val="24"/>
                <w:szCs w:val="24"/>
              </w:rPr>
              <w:t xml:space="preserve">□消失 </w:t>
            </w:r>
            <w:r>
              <w:rPr>
                <w:rFonts w:cs="仿宋_GB2312"/>
                <w:color w:val="auto"/>
                <w:sz w:val="24"/>
                <w:szCs w:val="24"/>
              </w:rPr>
              <w:t xml:space="preserve"> </w:t>
            </w:r>
            <w:r>
              <w:rPr>
                <w:rFonts w:hint="eastAsia" w:cs="仿宋_GB2312"/>
                <w:color w:val="auto"/>
                <w:sz w:val="24"/>
                <w:szCs w:val="24"/>
              </w:rPr>
              <w:t>后遗症</w:t>
            </w:r>
            <w:r>
              <w:rPr>
                <w:rFonts w:cs="仿宋_GB2312"/>
                <w:color w:val="auto"/>
                <w:sz w:val="24"/>
                <w:szCs w:val="24"/>
              </w:rPr>
              <w:t xml:space="preserve">   </w:t>
            </w:r>
            <w:r>
              <w:rPr>
                <w:rFonts w:hint="eastAsia" w:cs="仿宋_GB2312"/>
                <w:color w:val="auto"/>
                <w:sz w:val="24"/>
                <w:szCs w:val="24"/>
              </w:rPr>
              <w:t>有□无□</w:t>
            </w:r>
          </w:p>
          <w:p>
            <w:pPr>
              <w:spacing w:line="240" w:lineRule="auto"/>
              <w:ind w:firstLine="0" w:firstLineChars="0"/>
              <w:rPr>
                <w:rFonts w:cs="Tahoma"/>
                <w:color w:val="auto"/>
                <w:kern w:val="0"/>
                <w:sz w:val="24"/>
                <w:szCs w:val="24"/>
              </w:rPr>
            </w:pPr>
            <w:r>
              <w:rPr>
                <w:rFonts w:hint="eastAsia" w:cs="仿宋_GB2312"/>
                <w:color w:val="auto"/>
                <w:sz w:val="24"/>
                <w:szCs w:val="24"/>
              </w:rPr>
              <w:t>□继续</w:t>
            </w:r>
          </w:p>
        </w:tc>
        <w:tc>
          <w:tcPr>
            <w:tcW w:w="0" w:type="auto"/>
            <w:vAlign w:val="center"/>
          </w:tcPr>
          <w:p>
            <w:pPr>
              <w:spacing w:line="240" w:lineRule="auto"/>
              <w:ind w:firstLine="0" w:firstLineChars="0"/>
              <w:rPr>
                <w:color w:val="auto"/>
                <w:sz w:val="24"/>
                <w:szCs w:val="24"/>
              </w:rPr>
            </w:pPr>
            <w:r>
              <w:rPr>
                <w:rFonts w:hint="eastAsia" w:cs="仿宋_GB2312"/>
                <w:color w:val="auto"/>
                <w:sz w:val="24"/>
                <w:szCs w:val="24"/>
              </w:rPr>
              <w:t xml:space="preserve">□消失 </w:t>
            </w:r>
            <w:r>
              <w:rPr>
                <w:rFonts w:cs="仿宋_GB2312"/>
                <w:color w:val="auto"/>
                <w:sz w:val="24"/>
                <w:szCs w:val="24"/>
              </w:rPr>
              <w:t xml:space="preserve"> </w:t>
            </w:r>
            <w:r>
              <w:rPr>
                <w:rFonts w:hint="eastAsia" w:cs="仿宋_GB2312"/>
                <w:color w:val="auto"/>
                <w:sz w:val="24"/>
                <w:szCs w:val="24"/>
              </w:rPr>
              <w:t>后遗症</w:t>
            </w:r>
            <w:r>
              <w:rPr>
                <w:rFonts w:cs="仿宋_GB2312"/>
                <w:color w:val="auto"/>
                <w:sz w:val="24"/>
                <w:szCs w:val="24"/>
              </w:rPr>
              <w:t xml:space="preserve">     </w:t>
            </w:r>
            <w:r>
              <w:rPr>
                <w:rFonts w:hint="eastAsia" w:cs="仿宋_GB2312"/>
                <w:color w:val="auto"/>
                <w:sz w:val="24"/>
                <w:szCs w:val="24"/>
              </w:rPr>
              <w:t>有□无□</w:t>
            </w:r>
          </w:p>
          <w:p>
            <w:pPr>
              <w:spacing w:line="240" w:lineRule="auto"/>
              <w:ind w:firstLine="0" w:firstLineChars="0"/>
              <w:rPr>
                <w:rFonts w:cs="Tahoma"/>
                <w:color w:val="auto"/>
                <w:kern w:val="0"/>
                <w:sz w:val="24"/>
                <w:szCs w:val="24"/>
              </w:rPr>
            </w:pPr>
            <w:r>
              <w:rPr>
                <w:rFonts w:hint="eastAsia" w:cs="仿宋_GB2312"/>
                <w:color w:val="auto"/>
                <w:sz w:val="24"/>
                <w:szCs w:val="24"/>
              </w:rPr>
              <w:t>□继续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240" w:lineRule="auto"/>
              <w:ind w:firstLine="0" w:firstLineChars="0"/>
              <w:rPr>
                <w:rFonts w:cs="Tahoma"/>
                <w:color w:val="auto"/>
                <w:kern w:val="0"/>
                <w:sz w:val="24"/>
                <w:szCs w:val="24"/>
              </w:rPr>
            </w:pPr>
            <w:r>
              <w:rPr>
                <w:rFonts w:hint="eastAsia" w:cs="仿宋_GB2312"/>
                <w:color w:val="auto"/>
                <w:sz w:val="24"/>
                <w:szCs w:val="24"/>
              </w:rPr>
              <w:t>纠正治疗</w:t>
            </w:r>
          </w:p>
        </w:tc>
        <w:tc>
          <w:tcPr>
            <w:tcW w:w="0" w:type="auto"/>
            <w:vAlign w:val="center"/>
          </w:tcPr>
          <w:p>
            <w:pPr>
              <w:spacing w:line="240" w:lineRule="auto"/>
              <w:ind w:firstLine="0" w:firstLineChars="0"/>
              <w:rPr>
                <w:rFonts w:cs="Tahoma"/>
                <w:color w:val="auto"/>
                <w:kern w:val="0"/>
                <w:sz w:val="24"/>
                <w:szCs w:val="24"/>
              </w:rPr>
            </w:pPr>
            <w:r>
              <w:rPr>
                <w:rFonts w:hint="eastAsia" w:cs="仿宋_GB2312"/>
                <w:color w:val="auto"/>
                <w:sz w:val="24"/>
                <w:szCs w:val="24"/>
              </w:rPr>
              <w:t>□是</w:t>
            </w:r>
            <w:r>
              <w:rPr>
                <w:rFonts w:cs="仿宋_GB2312"/>
                <w:color w:val="auto"/>
                <w:sz w:val="24"/>
                <w:szCs w:val="24"/>
              </w:rPr>
              <w:t xml:space="preserve">    </w:t>
            </w:r>
            <w:r>
              <w:rPr>
                <w:rFonts w:hint="eastAsia" w:cs="仿宋_GB2312"/>
                <w:color w:val="auto"/>
                <w:sz w:val="24"/>
                <w:szCs w:val="24"/>
              </w:rPr>
              <w:t>□否</w:t>
            </w:r>
          </w:p>
        </w:tc>
        <w:tc>
          <w:tcPr>
            <w:tcW w:w="0" w:type="auto"/>
            <w:vAlign w:val="center"/>
          </w:tcPr>
          <w:p>
            <w:pPr>
              <w:spacing w:line="240" w:lineRule="auto"/>
              <w:ind w:firstLine="0" w:firstLineChars="0"/>
              <w:rPr>
                <w:rFonts w:cs="Tahoma"/>
                <w:color w:val="auto"/>
                <w:kern w:val="0"/>
                <w:sz w:val="24"/>
                <w:szCs w:val="24"/>
              </w:rPr>
            </w:pPr>
            <w:r>
              <w:rPr>
                <w:rFonts w:hint="eastAsia" w:cs="仿宋_GB2312"/>
                <w:color w:val="auto"/>
                <w:sz w:val="24"/>
                <w:szCs w:val="24"/>
              </w:rPr>
              <w:t>□是</w:t>
            </w:r>
            <w:r>
              <w:rPr>
                <w:rFonts w:cs="仿宋_GB2312"/>
                <w:color w:val="auto"/>
                <w:sz w:val="24"/>
                <w:szCs w:val="24"/>
              </w:rPr>
              <w:t xml:space="preserve">    </w:t>
            </w:r>
            <w:r>
              <w:rPr>
                <w:rFonts w:hint="eastAsia" w:cs="仿宋_GB2312"/>
                <w:color w:val="auto"/>
                <w:sz w:val="24"/>
                <w:szCs w:val="24"/>
              </w:rPr>
              <w:t>□否</w:t>
            </w:r>
          </w:p>
        </w:tc>
      </w:tr>
    </w:tbl>
    <w:p>
      <w:pPr>
        <w:shd w:val="clear" w:color="auto" w:fill="FFFFFF"/>
        <w:ind w:firstLine="562"/>
        <w:rPr>
          <w:rFonts w:cs="Tahoma"/>
          <w:b/>
          <w:bCs/>
          <w:color w:val="auto"/>
          <w:kern w:val="0"/>
        </w:rPr>
      </w:pPr>
      <w:r>
        <w:rPr>
          <w:rFonts w:cs="Tahoma"/>
          <w:b/>
          <w:bCs/>
          <w:color w:val="auto"/>
          <w:kern w:val="0"/>
        </w:rPr>
        <w:t>疗效判定结果</w:t>
      </w:r>
    </w:p>
    <w:tbl>
      <w:tblPr>
        <w:tblStyle w:val="13"/>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0" w:hRule="atLeast"/>
        </w:trPr>
        <w:tc>
          <w:tcPr>
            <w:tcW w:w="5000" w:type="pct"/>
            <w:tcBorders>
              <w:top w:val="single" w:color="auto" w:sz="4" w:space="0"/>
              <w:bottom w:val="single" w:color="auto" w:sz="4" w:space="0"/>
            </w:tcBorders>
          </w:tcPr>
          <w:p>
            <w:pPr>
              <w:spacing w:line="240" w:lineRule="auto"/>
              <w:ind w:firstLine="480"/>
              <w:rPr>
                <w:color w:val="auto"/>
                <w:sz w:val="24"/>
                <w:szCs w:val="24"/>
              </w:rPr>
            </w:pPr>
            <w:r>
              <w:rPr>
                <w:rFonts w:hint="eastAsia" w:cs="仿宋_GB2312"/>
                <w:color w:val="auto"/>
                <w:sz w:val="24"/>
                <w:szCs w:val="24"/>
              </w:rPr>
              <w:t>疾病疗效评价结果：</w:t>
            </w:r>
            <w:r>
              <w:rPr>
                <w:rFonts w:hint="eastAsia" w:cs="仿宋_GB2312"/>
                <w:color w:val="auto"/>
                <w:kern w:val="0"/>
                <w:sz w:val="24"/>
                <w:szCs w:val="24"/>
              </w:rPr>
              <w:t>□</w:t>
            </w:r>
            <w:r>
              <w:rPr>
                <w:rFonts w:hint="eastAsia" w:cs="仿宋_GB2312"/>
                <w:color w:val="auto"/>
                <w:sz w:val="24"/>
                <w:szCs w:val="24"/>
              </w:rPr>
              <w:t>临床治愈</w:t>
            </w:r>
            <w:r>
              <w:rPr>
                <w:color w:val="auto"/>
                <w:sz w:val="24"/>
                <w:szCs w:val="24"/>
              </w:rPr>
              <w:t xml:space="preserve">  </w:t>
            </w:r>
            <w:r>
              <w:rPr>
                <w:rFonts w:hint="eastAsia" w:cs="仿宋_GB2312"/>
                <w:color w:val="auto"/>
                <w:kern w:val="0"/>
                <w:sz w:val="24"/>
                <w:szCs w:val="24"/>
              </w:rPr>
              <w:t>□</w:t>
            </w:r>
            <w:r>
              <w:rPr>
                <w:rFonts w:hint="eastAsia" w:cs="仿宋_GB2312"/>
                <w:color w:val="auto"/>
                <w:sz w:val="24"/>
                <w:szCs w:val="24"/>
              </w:rPr>
              <w:t>显效</w:t>
            </w:r>
            <w:r>
              <w:rPr>
                <w:color w:val="auto"/>
                <w:sz w:val="24"/>
                <w:szCs w:val="24"/>
              </w:rPr>
              <w:t xml:space="preserve">  </w:t>
            </w:r>
            <w:r>
              <w:rPr>
                <w:rFonts w:hint="eastAsia" w:cs="仿宋_GB2312"/>
                <w:color w:val="auto"/>
                <w:kern w:val="0"/>
                <w:sz w:val="24"/>
                <w:szCs w:val="24"/>
              </w:rPr>
              <w:t>□</w:t>
            </w:r>
            <w:r>
              <w:rPr>
                <w:rFonts w:hint="eastAsia" w:cs="仿宋_GB2312"/>
                <w:color w:val="auto"/>
                <w:sz w:val="24"/>
                <w:szCs w:val="24"/>
              </w:rPr>
              <w:t>有效</w:t>
            </w:r>
            <w:r>
              <w:rPr>
                <w:color w:val="auto"/>
                <w:sz w:val="24"/>
                <w:szCs w:val="24"/>
              </w:rPr>
              <w:t xml:space="preserve">  </w:t>
            </w:r>
            <w:r>
              <w:rPr>
                <w:rFonts w:hint="eastAsia" w:cs="仿宋_GB2312"/>
                <w:color w:val="auto"/>
                <w:kern w:val="0"/>
                <w:sz w:val="24"/>
                <w:szCs w:val="24"/>
              </w:rPr>
              <w:t>□</w:t>
            </w:r>
            <w:r>
              <w:rPr>
                <w:rFonts w:hint="eastAsia" w:cs="仿宋_GB2312"/>
                <w:color w:val="auto"/>
                <w:sz w:val="24"/>
                <w:szCs w:val="24"/>
              </w:rPr>
              <w:t>无效</w:t>
            </w:r>
          </w:p>
          <w:p>
            <w:pPr>
              <w:spacing w:line="240" w:lineRule="auto"/>
              <w:ind w:firstLine="480"/>
              <w:rPr>
                <w:color w:val="auto"/>
                <w:sz w:val="24"/>
                <w:szCs w:val="24"/>
              </w:rPr>
            </w:pPr>
            <w:r>
              <w:rPr>
                <w:rFonts w:hint="eastAsia" w:cs="仿宋_GB2312"/>
                <w:color w:val="auto"/>
                <w:sz w:val="24"/>
                <w:szCs w:val="24"/>
              </w:rPr>
              <w:t>中医疗效评价结果：</w:t>
            </w:r>
            <w:r>
              <w:rPr>
                <w:rFonts w:hint="eastAsia" w:cs="仿宋_GB2312"/>
                <w:color w:val="auto"/>
                <w:kern w:val="0"/>
                <w:sz w:val="24"/>
                <w:szCs w:val="24"/>
              </w:rPr>
              <w:t>□</w:t>
            </w:r>
            <w:r>
              <w:rPr>
                <w:rFonts w:hint="eastAsia" w:cs="仿宋_GB2312"/>
                <w:color w:val="auto"/>
                <w:sz w:val="24"/>
                <w:szCs w:val="24"/>
              </w:rPr>
              <w:t>临床治愈</w:t>
            </w:r>
            <w:r>
              <w:rPr>
                <w:color w:val="auto"/>
                <w:sz w:val="24"/>
                <w:szCs w:val="24"/>
              </w:rPr>
              <w:t xml:space="preserve">  </w:t>
            </w:r>
            <w:r>
              <w:rPr>
                <w:rFonts w:hint="eastAsia" w:cs="仿宋_GB2312"/>
                <w:color w:val="auto"/>
                <w:kern w:val="0"/>
                <w:sz w:val="24"/>
                <w:szCs w:val="24"/>
              </w:rPr>
              <w:t>□</w:t>
            </w:r>
            <w:r>
              <w:rPr>
                <w:rFonts w:hint="eastAsia" w:cs="仿宋_GB2312"/>
                <w:color w:val="auto"/>
                <w:sz w:val="24"/>
                <w:szCs w:val="24"/>
              </w:rPr>
              <w:t>显效</w:t>
            </w:r>
            <w:r>
              <w:rPr>
                <w:color w:val="auto"/>
                <w:sz w:val="24"/>
                <w:szCs w:val="24"/>
              </w:rPr>
              <w:t xml:space="preserve">  </w:t>
            </w:r>
            <w:r>
              <w:rPr>
                <w:rFonts w:hint="eastAsia" w:cs="仿宋_GB2312"/>
                <w:color w:val="auto"/>
                <w:kern w:val="0"/>
                <w:sz w:val="24"/>
                <w:szCs w:val="24"/>
              </w:rPr>
              <w:t>□</w:t>
            </w:r>
            <w:r>
              <w:rPr>
                <w:rFonts w:hint="eastAsia" w:cs="仿宋_GB2312"/>
                <w:color w:val="auto"/>
                <w:sz w:val="24"/>
                <w:szCs w:val="24"/>
              </w:rPr>
              <w:t>有效</w:t>
            </w:r>
            <w:r>
              <w:rPr>
                <w:color w:val="auto"/>
                <w:sz w:val="24"/>
                <w:szCs w:val="24"/>
              </w:rPr>
              <w:t xml:space="preserve">  </w:t>
            </w:r>
            <w:r>
              <w:rPr>
                <w:rFonts w:hint="eastAsia" w:cs="仿宋_GB2312"/>
                <w:color w:val="auto"/>
                <w:kern w:val="0"/>
                <w:sz w:val="24"/>
                <w:szCs w:val="24"/>
              </w:rPr>
              <w:t>□</w:t>
            </w:r>
            <w:r>
              <w:rPr>
                <w:rFonts w:hint="eastAsia" w:cs="仿宋_GB2312"/>
                <w:color w:val="auto"/>
                <w:sz w:val="24"/>
                <w:szCs w:val="24"/>
              </w:rPr>
              <w:t>无效</w:t>
            </w:r>
          </w:p>
        </w:tc>
      </w:tr>
    </w:tbl>
    <w:p>
      <w:pPr>
        <w:rPr>
          <w:color w:val="auto"/>
        </w:rPr>
      </w:pPr>
    </w:p>
    <w:p>
      <w:pPr>
        <w:rPr>
          <w:color w:val="auto"/>
        </w:rPr>
        <w:sectPr>
          <w:pgSz w:w="11906" w:h="16838"/>
          <w:pgMar w:top="1440" w:right="1800" w:bottom="1440" w:left="1800" w:header="851" w:footer="992" w:gutter="0"/>
          <w:cols w:space="425" w:num="1"/>
          <w:docGrid w:type="lines" w:linePitch="312" w:charSpace="0"/>
        </w:sectPr>
      </w:pPr>
    </w:p>
    <w:p>
      <w:pPr>
        <w:rPr>
          <w:color w:val="auto"/>
        </w:rPr>
      </w:pPr>
      <w:r>
        <w:rPr>
          <w:rFonts w:hint="eastAsia"/>
          <w:color w:val="auto"/>
        </w:rPr>
        <w:t>附件1：资料封面格</w:t>
      </w:r>
    </w:p>
    <w:p>
      <w:pPr>
        <w:jc w:val="right"/>
        <w:rPr>
          <w:rFonts w:ascii="方正小标宋_GBK" w:hAnsi="方正小标宋_GBK" w:eastAsia="方正小标宋_GBK" w:cs="方正小标宋_GBK"/>
          <w:color w:val="auto"/>
        </w:rPr>
      </w:pPr>
      <w:r>
        <w:rPr>
          <w:rFonts w:hint="eastAsia" w:ascii="方正小标宋_GBK" w:hAnsi="方正小标宋_GBK" w:eastAsia="方正小标宋_GBK" w:cs="方正小标宋_GBK"/>
          <w:color w:val="auto"/>
        </w:rPr>
        <w:t>资料项目编号 </w:t>
      </w:r>
    </w:p>
    <w:p>
      <w:pPr>
        <w:rPr>
          <w:rFonts w:ascii="方正小标宋_GBK" w:hAnsi="方正小标宋_GBK" w:eastAsia="方正小标宋_GBK" w:cs="方正小标宋_GBK"/>
          <w:color w:val="auto"/>
        </w:rPr>
      </w:pPr>
    </w:p>
    <w:p>
      <w:pPr>
        <w:rPr>
          <w:rFonts w:ascii="方正小标宋_GBK" w:hAnsi="方正小标宋_GBK" w:eastAsia="方正小标宋_GBK" w:cs="方正小标宋_GBK"/>
          <w:color w:val="auto"/>
        </w:rPr>
      </w:pPr>
    </w:p>
    <w:p>
      <w:pPr>
        <w:ind w:firstLine="0" w:firstLineChars="0"/>
        <w:rPr>
          <w:rFonts w:ascii="方正小标宋_GBK" w:hAnsi="方正小标宋_GBK" w:eastAsia="方正小标宋_GBK" w:cs="方正小标宋_GBK"/>
          <w:color w:val="auto"/>
        </w:rPr>
      </w:pPr>
    </w:p>
    <w:p>
      <w:pPr>
        <w:ind w:firstLine="64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制剂名称： </w:t>
      </w:r>
    </w:p>
    <w:p>
      <w:pPr>
        <w:ind w:firstLine="64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资料项目名称： </w:t>
      </w:r>
    </w:p>
    <w:p>
      <w:pPr>
        <w:ind w:firstLine="64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试验单位（加盖公章）： </w:t>
      </w:r>
    </w:p>
    <w:p>
      <w:pPr>
        <w:ind w:firstLine="64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地址： </w:t>
      </w:r>
    </w:p>
    <w:p>
      <w:pPr>
        <w:ind w:firstLine="64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电话： </w:t>
      </w:r>
    </w:p>
    <w:p>
      <w:pPr>
        <w:ind w:firstLine="64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试验负责人（签字）： </w:t>
      </w:r>
    </w:p>
    <w:p>
      <w:pPr>
        <w:ind w:firstLine="64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试验人员： </w:t>
      </w:r>
    </w:p>
    <w:p>
      <w:pPr>
        <w:ind w:firstLine="64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试验起止日期： </w:t>
      </w:r>
    </w:p>
    <w:p>
      <w:pPr>
        <w:ind w:firstLine="64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原始资料保存地点： </w:t>
      </w:r>
    </w:p>
    <w:p>
      <w:pPr>
        <w:ind w:firstLine="64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联系人： </w:t>
      </w:r>
    </w:p>
    <w:p>
      <w:pPr>
        <w:ind w:firstLine="64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联系电话： </w:t>
      </w:r>
    </w:p>
    <w:p>
      <w:pPr>
        <w:rPr>
          <w:rFonts w:ascii="方正小标宋_GBK" w:hAnsi="方正小标宋_GBK" w:eastAsia="方正小标宋_GBK" w:cs="方正小标宋_GBK"/>
          <w:color w:val="auto"/>
        </w:rPr>
      </w:pPr>
    </w:p>
    <w:p>
      <w:pPr>
        <w:rPr>
          <w:rFonts w:ascii="方正小标宋_GBK" w:hAnsi="方正小标宋_GBK" w:eastAsia="方正小标宋_GBK" w:cs="方正小标宋_GBK"/>
          <w:color w:val="auto"/>
        </w:rPr>
      </w:pPr>
    </w:p>
    <w:p>
      <w:pPr>
        <w:rPr>
          <w:rFonts w:ascii="方正小标宋_GBK" w:hAnsi="方正小标宋_GBK" w:eastAsia="方正小标宋_GBK" w:cs="方正小标宋_GBK"/>
          <w:color w:val="auto"/>
        </w:rPr>
      </w:pPr>
    </w:p>
    <w:p>
      <w:pPr>
        <w:ind w:firstLine="640"/>
        <w:jc w:val="center"/>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注册申请人（盖章）：</w:t>
      </w:r>
    </w:p>
    <w:p>
      <w:pPr>
        <w:rPr>
          <w:color w:val="auto"/>
        </w:rPr>
      </w:pPr>
    </w:p>
    <w:p>
      <w:pPr>
        <w:rPr>
          <w:color w:val="auto"/>
        </w:rPr>
      </w:pPr>
    </w:p>
    <w:p>
      <w:pPr>
        <w:ind w:firstLine="0" w:firstLineChars="0"/>
        <w:rPr>
          <w:color w:val="auto"/>
        </w:rPr>
      </w:pPr>
      <w:r>
        <w:rPr>
          <w:rFonts w:hint="eastAsia"/>
          <w:color w:val="auto"/>
        </w:rPr>
        <w:t>附件2：</w:t>
      </w:r>
      <w:r>
        <w:rPr>
          <w:color w:val="auto"/>
        </w:rPr>
        <w:t>资料封袋格式</w:t>
      </w:r>
    </w:p>
    <w:p>
      <w:pPr>
        <w:ind w:firstLine="0" w:firstLineChars="0"/>
        <w:rPr>
          <w:color w:val="auto"/>
        </w:rPr>
      </w:pPr>
    </w:p>
    <w:p>
      <w:pPr>
        <w:ind w:firstLine="0" w:firstLineChars="0"/>
        <w:rPr>
          <w:color w:val="auto"/>
        </w:rPr>
      </w:pPr>
    </w:p>
    <w:p>
      <w:pPr>
        <w:ind w:firstLine="0" w:firstLineChars="0"/>
        <w:rPr>
          <w:color w:val="auto"/>
        </w:rPr>
      </w:pPr>
    </w:p>
    <w:p>
      <w:pPr>
        <w:ind w:firstLine="0" w:firstLineChars="0"/>
        <w:jc w:val="center"/>
        <w:rPr>
          <w:rFonts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医疗机构制剂注册申报资料</w:t>
      </w:r>
    </w:p>
    <w:p>
      <w:pPr>
        <w:ind w:firstLine="0" w:firstLineChars="0"/>
        <w:rPr>
          <w:rFonts w:ascii="方正小标宋_GBK" w:hAnsi="方正小标宋_GBK" w:eastAsia="方正小标宋_GBK" w:cs="方正小标宋_GBK"/>
          <w:color w:val="auto"/>
        </w:rPr>
      </w:pPr>
    </w:p>
    <w:p>
      <w:pPr>
        <w:ind w:firstLine="0" w:firstLineChars="0"/>
        <w:rPr>
          <w:rFonts w:ascii="方正小标宋_GBK" w:hAnsi="方正小标宋_GBK" w:eastAsia="方正小标宋_GBK" w:cs="方正小标宋_GBK"/>
          <w:color w:val="auto"/>
        </w:rPr>
      </w:pPr>
    </w:p>
    <w:p>
      <w:pPr>
        <w:ind w:firstLine="0" w:firstLineChars="0"/>
        <w:rPr>
          <w:rFonts w:ascii="方正小标宋_GBK" w:hAnsi="方正小标宋_GBK" w:eastAsia="方正小标宋_GBK" w:cs="方正小标宋_GBK"/>
          <w:color w:val="auto"/>
        </w:rPr>
      </w:pPr>
    </w:p>
    <w:p>
      <w:pPr>
        <w:ind w:firstLine="0" w:firstLineChars="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制剂名称： </w:t>
      </w:r>
    </w:p>
    <w:p>
      <w:pPr>
        <w:ind w:firstLine="0" w:firstLineChars="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申报阶段：□临床研究   </w:t>
      </w:r>
      <w:r>
        <w:rPr>
          <w:rFonts w:ascii="方正小标宋_GBK" w:hAnsi="方正小标宋_GBK" w:eastAsia="方正小标宋_GBK" w:cs="方正小标宋_GBK"/>
          <w:color w:val="auto"/>
          <w:sz w:val="32"/>
          <w:szCs w:val="32"/>
        </w:rPr>
        <w:t xml:space="preserve"> </w:t>
      </w:r>
      <w:r>
        <w:rPr>
          <w:rFonts w:hint="eastAsia" w:ascii="方正小标宋_GBK" w:hAnsi="方正小标宋_GBK" w:eastAsia="方正小标宋_GBK" w:cs="方正小标宋_GBK"/>
          <w:color w:val="auto"/>
          <w:sz w:val="32"/>
          <w:szCs w:val="32"/>
        </w:rPr>
        <w:t>□配制 </w:t>
      </w:r>
    </w:p>
    <w:p>
      <w:pPr>
        <w:ind w:firstLine="0" w:firstLineChars="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注册申请人： </w:t>
      </w:r>
    </w:p>
    <w:p>
      <w:pPr>
        <w:ind w:firstLine="0" w:firstLineChars="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联系人： </w:t>
      </w:r>
    </w:p>
    <w:p>
      <w:pPr>
        <w:ind w:firstLine="0" w:firstLineChars="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联系电话： </w:t>
      </w:r>
    </w:p>
    <w:p>
      <w:pPr>
        <w:ind w:firstLine="0" w:firstLineChars="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地址： </w:t>
      </w:r>
    </w:p>
    <w:p>
      <w:pPr>
        <w:ind w:firstLine="0" w:firstLineChars="0"/>
        <w:rPr>
          <w:rFonts w:ascii="方正小标宋_GBK" w:hAnsi="方正小标宋_GBK" w:eastAsia="方正小标宋_GBK" w:cs="方正小标宋_GBK"/>
          <w:color w:val="auto"/>
          <w:sz w:val="32"/>
          <w:szCs w:val="32"/>
        </w:rPr>
      </w:pPr>
      <w:r>
        <w:rPr>
          <w:rFonts w:hint="eastAsia" w:ascii="方正小标宋_GBK" w:hAnsi="方正小标宋_GBK" w:eastAsia="方正小标宋_GBK" w:cs="方正小标宋_GBK"/>
          <w:color w:val="auto"/>
          <w:sz w:val="32"/>
          <w:szCs w:val="32"/>
        </w:rPr>
        <w:t>邮政编码： </w:t>
      </w:r>
    </w:p>
    <w:p>
      <w:pPr>
        <w:ind w:firstLine="0" w:firstLineChars="0"/>
        <w:rPr>
          <w:rFonts w:ascii="方正小标宋_GBK" w:hAnsi="方正小标宋_GBK" w:eastAsia="方正小标宋_GBK" w:cs="方正小标宋_GBK"/>
          <w:color w:val="auto"/>
        </w:rPr>
      </w:pPr>
    </w:p>
    <w:p>
      <w:pPr>
        <w:ind w:firstLine="0" w:firstLineChars="0"/>
        <w:rPr>
          <w:rFonts w:ascii="方正小标宋_GBK" w:hAnsi="方正小标宋_GBK" w:eastAsia="方正小标宋_GBK" w:cs="方正小标宋_GBK"/>
          <w:color w:val="auto"/>
        </w:rPr>
      </w:pPr>
    </w:p>
    <w:p>
      <w:pPr>
        <w:ind w:firstLine="0" w:firstLineChars="0"/>
        <w:jc w:val="center"/>
        <w:rPr>
          <w:rFonts w:ascii="方正小标宋_GBK" w:hAnsi="方正小标宋_GBK" w:eastAsia="方正小标宋_GBK" w:cs="方正小标宋_GBK"/>
          <w:color w:val="auto"/>
          <w:sz w:val="32"/>
          <w:szCs w:val="32"/>
        </w:rPr>
        <w:sectPr>
          <w:pgSz w:w="11906" w:h="16838"/>
          <w:pgMar w:top="1440" w:right="1800" w:bottom="1440" w:left="1800" w:header="851" w:footer="992" w:gutter="0"/>
          <w:cols w:space="425" w:num="1"/>
          <w:docGrid w:type="lines" w:linePitch="312" w:charSpace="0"/>
        </w:sectPr>
      </w:pPr>
      <w:r>
        <w:rPr>
          <w:rFonts w:hint="eastAsia" w:ascii="方正小标宋_GBK" w:hAnsi="方正小标宋_GBK" w:eastAsia="方正小标宋_GBK" w:cs="方正小标宋_GBK"/>
          <w:color w:val="auto"/>
          <w:sz w:val="32"/>
          <w:szCs w:val="32"/>
        </w:rPr>
        <w:t>本袋为  </w:t>
      </w:r>
      <w:r>
        <w:rPr>
          <w:rFonts w:ascii="方正小标宋_GBK" w:hAnsi="方正小标宋_GBK" w:eastAsia="方正小标宋_GBK" w:cs="方正小标宋_GBK"/>
          <w:color w:val="auto"/>
          <w:sz w:val="32"/>
          <w:szCs w:val="32"/>
        </w:rPr>
        <w:t xml:space="preserve"> □原件    </w:t>
      </w:r>
      <w:r>
        <w:rPr>
          <w:rFonts w:ascii="方正小标宋_GBK" w:hAnsi="方正小标宋_GBK" w:eastAsia="方正小标宋_GBK" w:cs="方正小标宋_GBK"/>
          <w:color w:val="auto"/>
          <w:sz w:val="32"/>
          <w:szCs w:val="32"/>
        </w:rPr>
        <w:sym w:font="Wingdings 2" w:char="00A3"/>
      </w:r>
      <w:r>
        <w:rPr>
          <w:rFonts w:hint="eastAsia" w:ascii="方正小标宋_GBK" w:hAnsi="方正小标宋_GBK" w:eastAsia="方正小标宋_GBK" w:cs="方正小标宋_GBK"/>
          <w:color w:val="auto"/>
          <w:sz w:val="32"/>
          <w:szCs w:val="32"/>
        </w:rPr>
        <w:t>复印</w:t>
      </w:r>
    </w:p>
    <w:p>
      <w:pPr>
        <w:ind w:firstLine="0" w:firstLineChars="0"/>
        <w:rPr>
          <w:color w:val="auto"/>
        </w:rPr>
      </w:pPr>
      <w:r>
        <w:rPr>
          <w:rFonts w:hint="eastAsia"/>
          <w:color w:val="auto"/>
        </w:rPr>
        <w:t>附件3：说明书样稿</w:t>
      </w:r>
    </w:p>
    <w:p>
      <w:pPr>
        <w:ind w:firstLine="0" w:firstLineChars="0"/>
        <w:rPr>
          <w:color w:val="auto"/>
          <w:sz w:val="21"/>
          <w:szCs w:val="21"/>
        </w:rPr>
      </w:pPr>
      <w:r>
        <w:rPr>
          <w:rFonts w:hint="eastAsia"/>
          <w:color w:val="auto"/>
          <w:sz w:val="21"/>
          <w:szCs w:val="21"/>
        </w:rPr>
        <w:t>核准日期：    </w:t>
      </w:r>
      <w:r>
        <w:rPr>
          <w:color w:val="auto"/>
          <w:sz w:val="21"/>
          <w:szCs w:val="21"/>
        </w:rPr>
        <w:t xml:space="preserve"> </w:t>
      </w:r>
      <w:r>
        <w:rPr>
          <w:rFonts w:hint="eastAsia"/>
          <w:color w:val="auto"/>
          <w:sz w:val="21"/>
          <w:szCs w:val="21"/>
        </w:rPr>
        <w:t>年 </w:t>
      </w:r>
      <w:r>
        <w:rPr>
          <w:color w:val="auto"/>
          <w:sz w:val="21"/>
          <w:szCs w:val="21"/>
        </w:rPr>
        <w:t xml:space="preserve"> </w:t>
      </w:r>
      <w:r>
        <w:rPr>
          <w:rFonts w:hint="eastAsia"/>
          <w:color w:val="auto"/>
          <w:sz w:val="21"/>
          <w:szCs w:val="21"/>
        </w:rPr>
        <w:t>月  </w:t>
      </w:r>
      <w:r>
        <w:rPr>
          <w:color w:val="auto"/>
          <w:sz w:val="21"/>
          <w:szCs w:val="21"/>
        </w:rPr>
        <w:t xml:space="preserve"> </w:t>
      </w:r>
      <w:r>
        <w:rPr>
          <w:rFonts w:hint="eastAsia"/>
          <w:color w:val="auto"/>
          <w:sz w:val="21"/>
          <w:szCs w:val="21"/>
        </w:rPr>
        <w:t>日</w:t>
      </w:r>
    </w:p>
    <w:p>
      <w:pPr>
        <w:ind w:firstLine="0" w:firstLineChars="0"/>
        <w:rPr>
          <w:color w:val="auto"/>
          <w:sz w:val="21"/>
          <w:szCs w:val="21"/>
        </w:rPr>
      </w:pPr>
      <w:r>
        <w:rPr>
          <w:rFonts w:hint="eastAsia"/>
          <w:color w:val="auto"/>
          <w:sz w:val="21"/>
          <w:szCs w:val="21"/>
        </w:rPr>
        <w:t>修订日期：    </w:t>
      </w:r>
      <w:r>
        <w:rPr>
          <w:color w:val="auto"/>
          <w:sz w:val="21"/>
          <w:szCs w:val="21"/>
        </w:rPr>
        <w:t xml:space="preserve"> </w:t>
      </w:r>
      <w:r>
        <w:rPr>
          <w:rFonts w:hint="eastAsia"/>
          <w:color w:val="auto"/>
          <w:sz w:val="21"/>
          <w:szCs w:val="21"/>
        </w:rPr>
        <w:t>年 </w:t>
      </w:r>
      <w:r>
        <w:rPr>
          <w:color w:val="auto"/>
          <w:sz w:val="21"/>
          <w:szCs w:val="21"/>
        </w:rPr>
        <w:t xml:space="preserve"> </w:t>
      </w:r>
      <w:r>
        <w:rPr>
          <w:rFonts w:hint="eastAsia"/>
          <w:color w:val="auto"/>
          <w:sz w:val="21"/>
          <w:szCs w:val="21"/>
        </w:rPr>
        <w:t>月  </w:t>
      </w:r>
      <w:r>
        <w:rPr>
          <w:color w:val="auto"/>
          <w:sz w:val="21"/>
          <w:szCs w:val="21"/>
        </w:rPr>
        <w:t xml:space="preserve"> </w:t>
      </w:r>
      <w:r>
        <w:rPr>
          <w:rFonts w:hint="eastAsia"/>
          <w:color w:val="auto"/>
          <w:sz w:val="21"/>
          <w:szCs w:val="21"/>
        </w:rPr>
        <w:t>日</w:t>
      </w:r>
    </w:p>
    <w:p>
      <w:pPr>
        <w:ind w:firstLine="0" w:firstLineChars="0"/>
        <w:jc w:val="right"/>
        <w:rPr>
          <w:color w:val="auto"/>
          <w:sz w:val="21"/>
          <w:szCs w:val="21"/>
        </w:rPr>
      </w:pPr>
      <w:r>
        <w:rPr>
          <w:rFonts w:hint="eastAsia"/>
          <w:color w:val="auto"/>
          <w:sz w:val="21"/>
          <w:szCs w:val="21"/>
        </w:rPr>
        <w:drawing>
          <wp:anchor distT="0" distB="0" distL="114300" distR="114300" simplePos="0" relativeHeight="251659264" behindDoc="0" locked="0" layoutInCell="1" allowOverlap="1">
            <wp:simplePos x="0" y="0"/>
            <wp:positionH relativeFrom="column">
              <wp:posOffset>5055235</wp:posOffset>
            </wp:positionH>
            <wp:positionV relativeFrom="paragraph">
              <wp:posOffset>26670</wp:posOffset>
            </wp:positionV>
            <wp:extent cx="238125" cy="239395"/>
            <wp:effectExtent l="0" t="0" r="9525" b="8255"/>
            <wp:wrapSquare wrapText="bothSides"/>
            <wp:docPr id="4" name="图片 4" descr="企业微信截图_1685501954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企业微信截图_1685501954860"/>
                    <pic:cNvPicPr>
                      <a:picLocks noChangeAspect="1"/>
                    </pic:cNvPicPr>
                  </pic:nvPicPr>
                  <pic:blipFill>
                    <a:blip r:embed="rId13"/>
                    <a:stretch>
                      <a:fillRect/>
                    </a:stretch>
                  </pic:blipFill>
                  <pic:spPr>
                    <a:xfrm>
                      <a:off x="0" y="0"/>
                      <a:ext cx="238125" cy="239395"/>
                    </a:xfrm>
                    <a:prstGeom prst="rect">
                      <a:avLst/>
                    </a:prstGeom>
                  </pic:spPr>
                </pic:pic>
              </a:graphicData>
            </a:graphic>
          </wp:anchor>
        </w:drawing>
      </w:r>
      <w:r>
        <w:rPr>
          <w:rFonts w:hint="eastAsia"/>
          <w:color w:val="auto"/>
          <w:sz w:val="21"/>
          <w:szCs w:val="21"/>
        </w:rPr>
        <w:t xml:space="preserve">                                                             </w:t>
      </w:r>
    </w:p>
    <w:p>
      <w:pPr>
        <w:ind w:firstLine="0" w:firstLineChars="0"/>
        <w:jc w:val="center"/>
        <w:rPr>
          <w:color w:val="auto"/>
        </w:rPr>
      </w:pPr>
      <w:r>
        <w:rPr>
          <w:rFonts w:hint="eastAsia"/>
          <w:b/>
          <w:bCs/>
          <w:color w:val="auto"/>
        </w:rPr>
        <w:t>XXXX说明书</w:t>
      </w:r>
    </w:p>
    <w:p>
      <w:pPr>
        <w:ind w:firstLine="0" w:firstLineChars="0"/>
        <w:jc w:val="center"/>
        <w:rPr>
          <w:color w:val="auto"/>
        </w:rPr>
      </w:pPr>
      <w:r>
        <w:rPr>
          <w:rFonts w:hint="eastAsia" w:ascii="黑体" w:hAnsi="黑体" w:eastAsia="黑体" w:cs="黑体"/>
          <w:b/>
          <w:bCs/>
          <w:color w:val="auto"/>
          <w:sz w:val="21"/>
          <w:szCs w:val="21"/>
        </w:rPr>
        <w:t>请仔细阅读说明书并在医师指导下使用</w:t>
      </w:r>
    </w:p>
    <w:p>
      <w:pPr>
        <w:ind w:firstLine="0" w:firstLineChars="0"/>
        <w:rPr>
          <w:color w:val="auto"/>
          <w:sz w:val="21"/>
          <w:szCs w:val="21"/>
        </w:rPr>
      </w:pPr>
      <w:r>
        <w:rPr>
          <w:rFonts w:hint="eastAsia"/>
          <w:b/>
          <w:bCs/>
          <w:color w:val="auto"/>
          <w:sz w:val="21"/>
          <w:szCs w:val="21"/>
        </w:rPr>
        <w:t>【制剂名称】</w:t>
      </w:r>
      <w:r>
        <w:rPr>
          <w:rFonts w:hint="eastAsia"/>
          <w:color w:val="auto"/>
          <w:sz w:val="21"/>
          <w:szCs w:val="21"/>
        </w:rPr>
        <w:t> </w:t>
      </w:r>
    </w:p>
    <w:p>
      <w:pPr>
        <w:ind w:firstLine="0" w:firstLineChars="0"/>
        <w:rPr>
          <w:color w:val="auto"/>
          <w:sz w:val="21"/>
          <w:szCs w:val="21"/>
        </w:rPr>
      </w:pPr>
      <w:r>
        <w:rPr>
          <w:rFonts w:hint="eastAsia"/>
          <w:color w:val="auto"/>
          <w:sz w:val="21"/>
          <w:szCs w:val="21"/>
        </w:rPr>
        <w:t>通用名称：</w:t>
      </w:r>
      <w:r>
        <w:rPr>
          <w:color w:val="auto"/>
          <w:sz w:val="21"/>
          <w:szCs w:val="21"/>
        </w:rPr>
        <w:t>XXXX </w:t>
      </w:r>
    </w:p>
    <w:p>
      <w:pPr>
        <w:ind w:firstLine="0" w:firstLineChars="0"/>
        <w:rPr>
          <w:color w:val="auto"/>
          <w:sz w:val="21"/>
          <w:szCs w:val="21"/>
        </w:rPr>
      </w:pPr>
      <w:r>
        <w:rPr>
          <w:rFonts w:hint="eastAsia"/>
          <w:color w:val="auto"/>
          <w:sz w:val="21"/>
          <w:szCs w:val="21"/>
        </w:rPr>
        <w:t>汉语拼音：</w:t>
      </w:r>
      <w:r>
        <w:rPr>
          <w:color w:val="auto"/>
          <w:sz w:val="21"/>
          <w:szCs w:val="21"/>
        </w:rPr>
        <w:t>XXXX </w:t>
      </w:r>
    </w:p>
    <w:p>
      <w:pPr>
        <w:ind w:firstLine="0" w:firstLineChars="0"/>
        <w:rPr>
          <w:color w:val="auto"/>
          <w:sz w:val="21"/>
          <w:szCs w:val="21"/>
        </w:rPr>
      </w:pPr>
      <w:r>
        <w:rPr>
          <w:rFonts w:hint="eastAsia"/>
          <w:b/>
          <w:bCs/>
          <w:color w:val="auto"/>
          <w:sz w:val="21"/>
          <w:szCs w:val="21"/>
        </w:rPr>
        <w:t>【成份】</w:t>
      </w:r>
      <w:r>
        <w:rPr>
          <w:color w:val="auto"/>
          <w:sz w:val="21"/>
          <w:szCs w:val="21"/>
        </w:rPr>
        <w:t>XXXX、XXXX、XXXX、XXXX、XXXX、XXXX。辅料为XXXX。 </w:t>
      </w:r>
    </w:p>
    <w:p>
      <w:pPr>
        <w:ind w:firstLine="0" w:firstLineChars="0"/>
        <w:rPr>
          <w:color w:val="auto"/>
          <w:sz w:val="21"/>
          <w:szCs w:val="21"/>
        </w:rPr>
      </w:pPr>
      <w:r>
        <w:rPr>
          <w:rFonts w:hint="eastAsia"/>
          <w:b/>
          <w:bCs/>
          <w:color w:val="auto"/>
          <w:sz w:val="21"/>
          <w:szCs w:val="21"/>
        </w:rPr>
        <w:t>【性状】</w:t>
      </w:r>
      <w:r>
        <w:rPr>
          <w:rFonts w:hint="eastAsia"/>
          <w:color w:val="auto"/>
          <w:sz w:val="21"/>
          <w:szCs w:val="21"/>
        </w:rPr>
        <w:t>本品为</w:t>
      </w:r>
      <w:r>
        <w:rPr>
          <w:color w:val="auto"/>
          <w:sz w:val="21"/>
          <w:szCs w:val="21"/>
        </w:rPr>
        <w:t>XXXX。 </w:t>
      </w:r>
    </w:p>
    <w:p>
      <w:pPr>
        <w:ind w:firstLine="0" w:firstLineChars="0"/>
        <w:rPr>
          <w:color w:val="auto"/>
          <w:sz w:val="21"/>
          <w:szCs w:val="21"/>
        </w:rPr>
      </w:pPr>
      <w:r>
        <w:rPr>
          <w:rFonts w:hint="eastAsia"/>
          <w:b/>
          <w:bCs/>
          <w:color w:val="auto"/>
          <w:sz w:val="21"/>
          <w:szCs w:val="21"/>
        </w:rPr>
        <w:t>【功能主治】</w:t>
      </w:r>
      <w:r>
        <w:rPr>
          <w:color w:val="auto"/>
          <w:sz w:val="21"/>
          <w:szCs w:val="21"/>
        </w:rPr>
        <w:t>XXXX XXXX XXXX XXXX。 </w:t>
      </w:r>
    </w:p>
    <w:p>
      <w:pPr>
        <w:ind w:firstLine="0" w:firstLineChars="0"/>
        <w:rPr>
          <w:color w:val="auto"/>
          <w:sz w:val="21"/>
          <w:szCs w:val="21"/>
        </w:rPr>
      </w:pPr>
      <w:r>
        <w:rPr>
          <w:rFonts w:hint="eastAsia"/>
          <w:b/>
          <w:bCs/>
          <w:color w:val="auto"/>
          <w:sz w:val="21"/>
          <w:szCs w:val="21"/>
        </w:rPr>
        <w:t>【规格】</w:t>
      </w:r>
      <w:r>
        <w:rPr>
          <w:color w:val="auto"/>
          <w:sz w:val="21"/>
          <w:szCs w:val="21"/>
        </w:rPr>
        <w:t>XXXX XXXX。 </w:t>
      </w:r>
    </w:p>
    <w:p>
      <w:pPr>
        <w:ind w:firstLine="0" w:firstLineChars="0"/>
        <w:rPr>
          <w:color w:val="auto"/>
          <w:sz w:val="21"/>
          <w:szCs w:val="21"/>
        </w:rPr>
      </w:pPr>
      <w:r>
        <w:rPr>
          <w:rFonts w:hint="eastAsia"/>
          <w:b/>
          <w:bCs/>
          <w:color w:val="auto"/>
          <w:sz w:val="21"/>
          <w:szCs w:val="21"/>
        </w:rPr>
        <w:t>【用法用量】</w:t>
      </w:r>
      <w:r>
        <w:rPr>
          <w:color w:val="auto"/>
          <w:sz w:val="21"/>
          <w:szCs w:val="21"/>
        </w:rPr>
        <w:t>XXXX XXXX。 </w:t>
      </w:r>
    </w:p>
    <w:p>
      <w:pPr>
        <w:ind w:firstLine="0" w:firstLineChars="0"/>
        <w:rPr>
          <w:color w:val="auto"/>
          <w:sz w:val="21"/>
          <w:szCs w:val="21"/>
        </w:rPr>
      </w:pPr>
      <w:r>
        <w:rPr>
          <w:rFonts w:hint="eastAsia"/>
          <w:b/>
          <w:bCs/>
          <w:color w:val="auto"/>
          <w:sz w:val="21"/>
          <w:szCs w:val="21"/>
        </w:rPr>
        <w:t>【不良反应】</w:t>
      </w:r>
      <w:r>
        <w:rPr>
          <w:color w:val="auto"/>
          <w:sz w:val="21"/>
          <w:szCs w:val="21"/>
        </w:rPr>
        <w:t>XXXX XXXX。 </w:t>
      </w:r>
    </w:p>
    <w:p>
      <w:pPr>
        <w:ind w:firstLine="0" w:firstLineChars="0"/>
        <w:rPr>
          <w:color w:val="auto"/>
          <w:sz w:val="21"/>
          <w:szCs w:val="21"/>
        </w:rPr>
      </w:pPr>
      <w:r>
        <w:rPr>
          <w:rFonts w:hint="eastAsia"/>
          <w:b/>
          <w:bCs/>
          <w:color w:val="auto"/>
          <w:sz w:val="21"/>
          <w:szCs w:val="21"/>
        </w:rPr>
        <w:t>【禁忌】</w:t>
      </w:r>
      <w:r>
        <w:rPr>
          <w:color w:val="auto"/>
          <w:sz w:val="21"/>
          <w:szCs w:val="21"/>
        </w:rPr>
        <w:t>XXXX患者禁用。 </w:t>
      </w:r>
    </w:p>
    <w:p>
      <w:pPr>
        <w:ind w:firstLine="0" w:firstLineChars="0"/>
        <w:rPr>
          <w:color w:val="auto"/>
          <w:sz w:val="21"/>
          <w:szCs w:val="21"/>
        </w:rPr>
      </w:pPr>
      <w:r>
        <w:rPr>
          <w:rFonts w:hint="eastAsia"/>
          <w:b/>
          <w:bCs/>
          <w:color w:val="auto"/>
          <w:sz w:val="21"/>
          <w:szCs w:val="21"/>
        </w:rPr>
        <w:t>【注意事项】</w:t>
      </w:r>
      <w:r>
        <w:rPr>
          <w:rFonts w:hint="eastAsia"/>
          <w:color w:val="auto"/>
          <w:sz w:val="21"/>
          <w:szCs w:val="21"/>
        </w:rPr>
        <w:t>服药期间注意</w:t>
      </w:r>
      <w:r>
        <w:rPr>
          <w:color w:val="auto"/>
          <w:sz w:val="21"/>
          <w:szCs w:val="21"/>
        </w:rPr>
        <w:t>XXXX XXXX。 </w:t>
      </w:r>
    </w:p>
    <w:p>
      <w:pPr>
        <w:ind w:firstLine="0" w:firstLineChars="0"/>
        <w:rPr>
          <w:color w:val="auto"/>
          <w:sz w:val="21"/>
          <w:szCs w:val="21"/>
        </w:rPr>
      </w:pPr>
      <w:r>
        <w:rPr>
          <w:rFonts w:hint="eastAsia"/>
          <w:b/>
          <w:bCs/>
          <w:color w:val="auto"/>
          <w:sz w:val="21"/>
          <w:szCs w:val="21"/>
        </w:rPr>
        <w:t>【贮藏】</w:t>
      </w:r>
      <w:r>
        <w:rPr>
          <w:color w:val="auto"/>
          <w:sz w:val="21"/>
          <w:szCs w:val="21"/>
        </w:rPr>
        <w:t>XXXX。 </w:t>
      </w:r>
    </w:p>
    <w:p>
      <w:pPr>
        <w:ind w:firstLine="0" w:firstLineChars="0"/>
        <w:rPr>
          <w:color w:val="auto"/>
          <w:sz w:val="21"/>
          <w:szCs w:val="21"/>
        </w:rPr>
      </w:pPr>
      <w:r>
        <w:rPr>
          <w:rFonts w:hint="eastAsia"/>
          <w:b/>
          <w:bCs/>
          <w:color w:val="auto"/>
          <w:sz w:val="21"/>
          <w:szCs w:val="21"/>
        </w:rPr>
        <w:t>【包装】</w:t>
      </w:r>
      <w:r>
        <w:rPr>
          <w:color w:val="auto"/>
          <w:sz w:val="21"/>
          <w:szCs w:val="21"/>
        </w:rPr>
        <w:t>XXXX XXXX。 </w:t>
      </w:r>
    </w:p>
    <w:p>
      <w:pPr>
        <w:ind w:firstLine="0" w:firstLineChars="0"/>
        <w:rPr>
          <w:color w:val="auto"/>
          <w:sz w:val="21"/>
          <w:szCs w:val="21"/>
        </w:rPr>
      </w:pPr>
      <w:r>
        <w:rPr>
          <w:rFonts w:hint="eastAsia"/>
          <w:b/>
          <w:bCs/>
          <w:color w:val="auto"/>
          <w:sz w:val="21"/>
          <w:szCs w:val="21"/>
        </w:rPr>
        <w:t>【生产日期】</w:t>
      </w:r>
      <w:r>
        <w:rPr>
          <w:color w:val="auto"/>
          <w:sz w:val="21"/>
          <w:szCs w:val="21"/>
        </w:rPr>
        <w:t>XX年XX月XX日。 </w:t>
      </w:r>
    </w:p>
    <w:p>
      <w:pPr>
        <w:ind w:firstLine="0" w:firstLineChars="0"/>
        <w:rPr>
          <w:color w:val="auto"/>
          <w:sz w:val="21"/>
          <w:szCs w:val="21"/>
        </w:rPr>
      </w:pPr>
      <w:r>
        <w:rPr>
          <w:rFonts w:hint="eastAsia"/>
          <w:b/>
          <w:bCs/>
          <w:color w:val="auto"/>
          <w:sz w:val="21"/>
          <w:szCs w:val="21"/>
        </w:rPr>
        <w:t>【有效期】</w:t>
      </w:r>
      <w:r>
        <w:rPr>
          <w:color w:val="auto"/>
          <w:sz w:val="21"/>
          <w:szCs w:val="21"/>
        </w:rPr>
        <w:t>XXXX个月。 </w:t>
      </w:r>
    </w:p>
    <w:p>
      <w:pPr>
        <w:ind w:firstLine="0" w:firstLineChars="0"/>
        <w:rPr>
          <w:b/>
          <w:bCs/>
          <w:color w:val="auto"/>
          <w:sz w:val="21"/>
          <w:szCs w:val="21"/>
        </w:rPr>
      </w:pPr>
      <w:r>
        <w:rPr>
          <w:rFonts w:hint="eastAsia"/>
          <w:b/>
          <w:bCs/>
          <w:color w:val="auto"/>
          <w:sz w:val="21"/>
          <w:szCs w:val="21"/>
        </w:rPr>
        <w:t>【执行标准】 </w:t>
      </w:r>
    </w:p>
    <w:p>
      <w:pPr>
        <w:ind w:firstLine="0" w:firstLineChars="0"/>
        <w:rPr>
          <w:b/>
          <w:bCs/>
          <w:color w:val="auto"/>
          <w:sz w:val="21"/>
          <w:szCs w:val="21"/>
        </w:rPr>
      </w:pPr>
      <w:r>
        <w:rPr>
          <w:rFonts w:hint="eastAsia"/>
          <w:b/>
          <w:bCs/>
          <w:color w:val="auto"/>
          <w:sz w:val="21"/>
          <w:szCs w:val="21"/>
        </w:rPr>
        <w:t>【批准文号】 </w:t>
      </w:r>
    </w:p>
    <w:p>
      <w:pPr>
        <w:ind w:firstLine="0" w:firstLineChars="0"/>
        <w:rPr>
          <w:color w:val="auto"/>
          <w:sz w:val="21"/>
          <w:szCs w:val="21"/>
        </w:rPr>
      </w:pPr>
      <w:r>
        <w:rPr>
          <w:rFonts w:hint="eastAsia"/>
          <w:b/>
          <w:bCs/>
          <w:color w:val="auto"/>
          <w:sz w:val="21"/>
          <w:szCs w:val="21"/>
        </w:rPr>
        <w:t>【配制单位】</w:t>
      </w:r>
      <w:r>
        <w:rPr>
          <w:rFonts w:hint="eastAsia"/>
          <w:color w:val="auto"/>
          <w:sz w:val="21"/>
          <w:szCs w:val="21"/>
        </w:rPr>
        <w:t> </w:t>
      </w:r>
    </w:p>
    <w:p>
      <w:pPr>
        <w:ind w:firstLine="0" w:firstLineChars="0"/>
        <w:rPr>
          <w:color w:val="auto"/>
          <w:sz w:val="21"/>
          <w:szCs w:val="21"/>
        </w:rPr>
      </w:pPr>
      <w:r>
        <w:rPr>
          <w:rFonts w:hint="eastAsia"/>
          <w:color w:val="auto"/>
          <w:sz w:val="21"/>
          <w:szCs w:val="21"/>
        </w:rPr>
        <w:t>单位名称： </w:t>
      </w:r>
    </w:p>
    <w:p>
      <w:pPr>
        <w:ind w:firstLine="0" w:firstLineChars="0"/>
        <w:rPr>
          <w:color w:val="auto"/>
          <w:sz w:val="21"/>
          <w:szCs w:val="21"/>
        </w:rPr>
      </w:pPr>
      <w:r>
        <w:rPr>
          <w:rFonts w:hint="eastAsia"/>
          <w:color w:val="auto"/>
          <w:sz w:val="21"/>
          <w:szCs w:val="21"/>
        </w:rPr>
        <w:t>配制地址： </w:t>
      </w:r>
    </w:p>
    <w:p>
      <w:pPr>
        <w:ind w:firstLine="0" w:firstLineChars="0"/>
        <w:rPr>
          <w:color w:val="auto"/>
          <w:sz w:val="21"/>
          <w:szCs w:val="21"/>
        </w:rPr>
      </w:pPr>
      <w:r>
        <w:rPr>
          <w:rFonts w:hint="eastAsia"/>
          <w:color w:val="auto"/>
          <w:sz w:val="21"/>
          <w:szCs w:val="21"/>
        </w:rPr>
        <w:t>邮政编码： </w:t>
      </w:r>
    </w:p>
    <w:p>
      <w:pPr>
        <w:ind w:firstLine="0" w:firstLineChars="0"/>
        <w:rPr>
          <w:color w:val="auto"/>
          <w:sz w:val="21"/>
          <w:szCs w:val="21"/>
        </w:rPr>
      </w:pPr>
      <w:r>
        <w:rPr>
          <w:rFonts w:hint="eastAsia"/>
          <w:color w:val="auto"/>
          <w:sz w:val="21"/>
          <w:szCs w:val="21"/>
        </w:rPr>
        <w:t>电话号码： </w:t>
      </w:r>
    </w:p>
    <w:p>
      <w:pPr>
        <w:ind w:firstLine="0" w:firstLineChars="0"/>
        <w:rPr>
          <w:color w:val="auto"/>
          <w:sz w:val="21"/>
          <w:szCs w:val="21"/>
        </w:rPr>
      </w:pPr>
      <w:r>
        <w:rPr>
          <w:rFonts w:hint="eastAsia"/>
          <w:color w:val="auto"/>
          <w:sz w:val="21"/>
          <w:szCs w:val="21"/>
        </w:rPr>
        <w:t>传真号码： </w:t>
      </w:r>
    </w:p>
    <w:p>
      <w:pPr>
        <w:ind w:firstLine="0" w:firstLineChars="0"/>
        <w:rPr>
          <w:color w:val="auto"/>
          <w:sz w:val="21"/>
          <w:szCs w:val="21"/>
        </w:rPr>
      </w:pPr>
      <w:r>
        <w:rPr>
          <w:rFonts w:hint="eastAsia"/>
          <w:color w:val="auto"/>
          <w:sz w:val="21"/>
          <w:szCs w:val="21"/>
        </w:rPr>
        <w:t>注册地址： </w:t>
      </w:r>
    </w:p>
    <w:p>
      <w:pPr>
        <w:ind w:firstLine="0" w:firstLineChars="0"/>
        <w:rPr>
          <w:color w:val="auto"/>
          <w:sz w:val="21"/>
          <w:szCs w:val="21"/>
        </w:rPr>
      </w:pPr>
      <w:r>
        <w:rPr>
          <w:rFonts w:hint="eastAsia"/>
          <w:color w:val="auto"/>
          <w:sz w:val="21"/>
          <w:szCs w:val="21"/>
        </w:rPr>
        <w:t>网   </w:t>
      </w:r>
      <w:r>
        <w:rPr>
          <w:color w:val="auto"/>
          <w:sz w:val="21"/>
          <w:szCs w:val="21"/>
        </w:rPr>
        <w:t xml:space="preserve"> </w:t>
      </w:r>
      <w:r>
        <w:rPr>
          <w:rFonts w:hint="eastAsia"/>
          <w:color w:val="auto"/>
          <w:sz w:val="21"/>
          <w:szCs w:val="21"/>
        </w:rPr>
        <w:t>址： </w:t>
      </w:r>
    </w:p>
    <w:p>
      <w:pPr>
        <w:ind w:firstLine="0" w:firstLineChars="0"/>
        <w:jc w:val="center"/>
        <w:rPr>
          <w:rFonts w:ascii="黑体" w:hAnsi="黑体" w:eastAsia="黑体" w:cs="黑体"/>
          <w:b/>
          <w:bCs/>
          <w:color w:val="auto"/>
          <w:sz w:val="21"/>
          <w:szCs w:val="21"/>
        </w:rPr>
      </w:pPr>
      <w:r>
        <w:rPr>
          <w:rFonts w:hint="eastAsia" w:ascii="黑体" w:hAnsi="黑体" w:eastAsia="黑体" w:cs="黑体"/>
          <w:b/>
          <w:bCs/>
          <w:color w:val="auto"/>
          <w:sz w:val="21"/>
          <w:szCs w:val="21"/>
        </w:rPr>
        <w:t>本制剂仅限本医疗机构使用</w:t>
      </w:r>
    </w:p>
    <w:p>
      <w:pPr>
        <w:ind w:firstLine="0" w:firstLineChars="0"/>
        <w:rPr>
          <w:rFonts w:ascii="黑体" w:hAnsi="黑体" w:eastAsia="黑体" w:cs="黑体"/>
          <w:b/>
          <w:bCs/>
          <w:color w:val="auto"/>
          <w:sz w:val="21"/>
          <w:szCs w:val="21"/>
        </w:rPr>
      </w:pPr>
      <w:r>
        <w:rPr>
          <w:rFonts w:hint="eastAsia" w:ascii="黑体" w:hAnsi="黑体" w:eastAsia="黑体" w:cs="黑体"/>
          <w:b/>
          <w:bCs/>
          <w:color w:val="auto"/>
          <w:sz w:val="21"/>
          <w:szCs w:val="21"/>
        </w:rPr>
        <w:br w:type="page"/>
      </w:r>
    </w:p>
    <w:p>
      <w:pPr>
        <w:ind w:firstLine="0" w:firstLineChars="0"/>
        <w:jc w:val="left"/>
        <w:rPr>
          <w:rFonts w:cs="宋体"/>
          <w:color w:val="auto"/>
        </w:rPr>
      </w:pPr>
      <w:r>
        <w:rPr>
          <w:rFonts w:hint="eastAsia" w:cs="宋体"/>
          <w:color w:val="auto"/>
        </w:rPr>
        <w:t>附件</w:t>
      </w:r>
      <w:r>
        <w:rPr>
          <w:rFonts w:cs="宋体"/>
          <w:color w:val="auto"/>
        </w:rPr>
        <w:t>4</w:t>
      </w:r>
      <w:r>
        <w:rPr>
          <w:rFonts w:hint="eastAsia" w:cs="宋体"/>
          <w:color w:val="auto"/>
        </w:rPr>
        <w:t>：质量标准草案样稿：</w:t>
      </w:r>
    </w:p>
    <w:p>
      <w:pPr>
        <w:ind w:firstLine="0" w:firstLineChars="0"/>
        <w:jc w:val="left"/>
        <w:rPr>
          <w:rFonts w:cs="宋体"/>
          <w:color w:val="auto"/>
        </w:rPr>
      </w:pPr>
    </w:p>
    <w:p>
      <w:pPr>
        <w:ind w:firstLine="0" w:firstLineChars="0"/>
        <w:jc w:val="center"/>
        <w:rPr>
          <w:rFonts w:cs="宋体"/>
          <w:color w:val="auto"/>
        </w:rPr>
      </w:pPr>
      <w:r>
        <w:rPr>
          <w:rFonts w:hint="eastAsia" w:cs="宋体"/>
          <w:color w:val="auto"/>
        </w:rPr>
        <w:t>XXXX片</w:t>
      </w:r>
    </w:p>
    <w:p>
      <w:pPr>
        <w:ind w:firstLine="0" w:firstLineChars="0"/>
        <w:jc w:val="center"/>
        <w:rPr>
          <w:rFonts w:cs="宋体"/>
          <w:color w:val="auto"/>
        </w:rPr>
      </w:pPr>
      <w:r>
        <w:rPr>
          <w:rFonts w:hint="eastAsia" w:cs="宋体"/>
          <w:color w:val="auto"/>
        </w:rPr>
        <w:t>XXXX Pian</w:t>
      </w:r>
    </w:p>
    <w:p>
      <w:pPr>
        <w:ind w:firstLine="0" w:firstLineChars="0"/>
        <w:rPr>
          <w:rFonts w:cs="宋体"/>
          <w:color w:val="auto"/>
          <w:sz w:val="21"/>
          <w:szCs w:val="21"/>
        </w:rPr>
      </w:pPr>
      <w:r>
        <w:rPr>
          <w:rFonts w:hint="eastAsia" w:cs="宋体"/>
          <w:color w:val="auto"/>
          <w:sz w:val="21"/>
          <w:szCs w:val="21"/>
        </w:rPr>
        <w:t>【处方】君药1**g     君药（麸炒）2**g       臣药（醋）**g      臣药2**g</w:t>
      </w:r>
    </w:p>
    <w:p>
      <w:pPr>
        <w:ind w:firstLine="0" w:firstLineChars="0"/>
        <w:rPr>
          <w:rFonts w:cs="宋体"/>
          <w:color w:val="auto"/>
          <w:sz w:val="21"/>
          <w:szCs w:val="21"/>
        </w:rPr>
      </w:pPr>
      <w:r>
        <w:rPr>
          <w:rFonts w:hint="eastAsia" w:cs="宋体"/>
          <w:color w:val="auto"/>
          <w:sz w:val="21"/>
          <w:szCs w:val="21"/>
        </w:rPr>
        <w:t xml:space="preserve">        臣药3**g     佐药**g        使药**g</w:t>
      </w:r>
    </w:p>
    <w:p>
      <w:pPr>
        <w:ind w:firstLine="0" w:firstLineChars="0"/>
        <w:rPr>
          <w:rFonts w:cs="宋体"/>
          <w:color w:val="auto"/>
          <w:sz w:val="21"/>
          <w:szCs w:val="21"/>
        </w:rPr>
      </w:pPr>
      <w:r>
        <w:rPr>
          <w:rFonts w:hint="eastAsia" w:cs="宋体"/>
          <w:color w:val="auto"/>
          <w:sz w:val="21"/>
          <w:szCs w:val="21"/>
        </w:rPr>
        <w:t>【制法】 明确规定工艺中的主要步骤（如：提取、分离、浓缩、干燥、制剂等）和必要技术参数（如：提取温度、溶媒种类、提取时间、次数；醇沉的乙醇浓度及醇沉前浸膏的相对密度、固液分离方式；浓缩（干燥）的方式和温度；粉碎工艺应注明粉碎方法和粉末的细度；成型工艺标明采用的制备方法；辅料应注明名称和用量），制成1000片。 </w:t>
      </w:r>
    </w:p>
    <w:p>
      <w:pPr>
        <w:ind w:firstLine="0" w:firstLineChars="0"/>
        <w:rPr>
          <w:rFonts w:cs="宋体"/>
          <w:color w:val="auto"/>
          <w:sz w:val="21"/>
          <w:szCs w:val="21"/>
        </w:rPr>
      </w:pPr>
      <w:r>
        <w:rPr>
          <w:rFonts w:hint="eastAsia" w:cs="宋体"/>
          <w:color w:val="auto"/>
          <w:sz w:val="21"/>
          <w:szCs w:val="21"/>
        </w:rPr>
        <w:t>【性状】 制剂除去包装的直观情况，按外观、颜色、臭、味依次描述。</w:t>
      </w:r>
    </w:p>
    <w:p>
      <w:pPr>
        <w:ind w:firstLine="0" w:firstLineChars="0"/>
        <w:rPr>
          <w:rFonts w:cs="宋体"/>
          <w:color w:val="auto"/>
          <w:sz w:val="21"/>
          <w:szCs w:val="21"/>
        </w:rPr>
      </w:pPr>
      <w:r>
        <w:rPr>
          <w:rFonts w:hint="eastAsia" w:cs="宋体"/>
          <w:color w:val="auto"/>
          <w:sz w:val="21"/>
          <w:szCs w:val="21"/>
        </w:rPr>
        <w:t>【鉴别】 （1）含药材粉末入药的品种应设立显微鉴别项。</w:t>
      </w:r>
    </w:p>
    <w:p>
      <w:pPr>
        <w:ind w:firstLine="0" w:firstLineChars="0"/>
        <w:rPr>
          <w:rFonts w:cs="宋体"/>
          <w:color w:val="auto"/>
          <w:sz w:val="21"/>
          <w:szCs w:val="21"/>
        </w:rPr>
      </w:pPr>
      <w:r>
        <w:rPr>
          <w:rFonts w:hint="eastAsia" w:cs="宋体"/>
          <w:color w:val="auto"/>
          <w:sz w:val="21"/>
          <w:szCs w:val="21"/>
        </w:rPr>
        <w:t xml:space="preserve">         （2）应满足专属、灵敏、快捷、简便的基本要求，应首先对君药、臣药、贵重药、毒剧药进行鉴别研究。</w:t>
      </w:r>
    </w:p>
    <w:p>
      <w:pPr>
        <w:ind w:firstLine="0" w:firstLineChars="0"/>
        <w:rPr>
          <w:rFonts w:cs="宋体"/>
          <w:color w:val="auto"/>
          <w:sz w:val="21"/>
          <w:szCs w:val="21"/>
        </w:rPr>
      </w:pPr>
      <w:r>
        <w:rPr>
          <w:rFonts w:hint="eastAsia" w:cs="宋体"/>
          <w:color w:val="auto"/>
          <w:sz w:val="21"/>
          <w:szCs w:val="21"/>
        </w:rPr>
        <w:t>【检查】</w:t>
      </w:r>
    </w:p>
    <w:p>
      <w:pPr>
        <w:ind w:firstLine="0" w:firstLineChars="0"/>
        <w:rPr>
          <w:rFonts w:cs="宋体"/>
          <w:color w:val="auto"/>
          <w:sz w:val="21"/>
          <w:szCs w:val="21"/>
        </w:rPr>
      </w:pPr>
      <w:r>
        <w:rPr>
          <w:rFonts w:hint="eastAsia" w:cs="宋体"/>
          <w:color w:val="auto"/>
          <w:sz w:val="21"/>
          <w:szCs w:val="21"/>
        </w:rPr>
        <w:t>特殊规定单独列出。</w:t>
      </w:r>
    </w:p>
    <w:p>
      <w:pPr>
        <w:ind w:firstLine="0" w:firstLineChars="0"/>
        <w:rPr>
          <w:rFonts w:cs="宋体"/>
          <w:color w:val="auto"/>
          <w:sz w:val="21"/>
          <w:szCs w:val="21"/>
        </w:rPr>
      </w:pPr>
      <w:r>
        <w:rPr>
          <w:rFonts w:hint="eastAsia" w:cs="宋体"/>
          <w:color w:val="auto"/>
          <w:sz w:val="21"/>
          <w:szCs w:val="21"/>
        </w:rPr>
        <w:t>其他  应符合《中国药典》片剂向下有关的各项规定。</w:t>
      </w:r>
    </w:p>
    <w:p>
      <w:pPr>
        <w:ind w:firstLine="0" w:firstLineChars="0"/>
        <w:rPr>
          <w:rFonts w:cs="宋体"/>
          <w:color w:val="auto"/>
          <w:sz w:val="21"/>
          <w:szCs w:val="21"/>
        </w:rPr>
      </w:pPr>
      <w:r>
        <w:rPr>
          <w:rFonts w:hint="eastAsia" w:cs="宋体"/>
          <w:color w:val="auto"/>
          <w:sz w:val="21"/>
          <w:szCs w:val="21"/>
        </w:rPr>
        <w:t>【浸出物】一般采用最小制剂单位的含量作限值规定，如“每片（或每粒、每袋、每丸等）含浸出物不少于</w:t>
      </w:r>
      <w:r>
        <w:rPr>
          <w:rFonts w:cs="宋体"/>
          <w:color w:val="auto"/>
          <w:sz w:val="21"/>
          <w:szCs w:val="21"/>
        </w:rPr>
        <w:t xml:space="preserve"> </w:t>
      </w:r>
      <w:r>
        <w:rPr>
          <w:rFonts w:hint="eastAsia" w:cs="宋体"/>
          <w:color w:val="auto"/>
          <w:sz w:val="21"/>
          <w:szCs w:val="21"/>
        </w:rPr>
        <w:t>××</w:t>
      </w:r>
      <w:r>
        <w:rPr>
          <w:rFonts w:cs="宋体"/>
          <w:color w:val="auto"/>
          <w:sz w:val="21"/>
          <w:szCs w:val="21"/>
        </w:rPr>
        <w:t xml:space="preserve">mg </w:t>
      </w:r>
      <w:r>
        <w:rPr>
          <w:rFonts w:hint="eastAsia" w:cs="宋体"/>
          <w:color w:val="auto"/>
          <w:sz w:val="21"/>
          <w:szCs w:val="21"/>
        </w:rPr>
        <w:t>”。 </w:t>
      </w:r>
    </w:p>
    <w:p>
      <w:pPr>
        <w:ind w:firstLine="0" w:firstLineChars="0"/>
        <w:rPr>
          <w:rFonts w:cs="宋体"/>
          <w:color w:val="auto"/>
          <w:sz w:val="21"/>
          <w:szCs w:val="21"/>
        </w:rPr>
      </w:pPr>
      <w:r>
        <w:rPr>
          <w:rFonts w:hint="eastAsia" w:cs="宋体"/>
          <w:color w:val="auto"/>
          <w:sz w:val="21"/>
          <w:szCs w:val="21"/>
        </w:rPr>
        <w:t>【含量测定】 应满足准确、专属、灵敏、重现性好的基本要求。中药制剂应首选处方中的君药及所含贵重药、毒性药建立含量测定项，如基础研究薄弱或测定中干扰成分多，可依次选定臣药等其它药味进行含量测定。含量测定方法可参考有关质量标准或有关文献，也可自行研究后建立。应根据测定数据确定质量控制限度：原则上按多批次工艺验证产品测定平均值的</w:t>
      </w:r>
      <w:r>
        <w:rPr>
          <w:rFonts w:cs="宋体"/>
          <w:color w:val="auto"/>
          <w:sz w:val="21"/>
          <w:szCs w:val="21"/>
        </w:rPr>
        <w:t>70%确定最低含量限度。</w:t>
      </w:r>
    </w:p>
    <w:p>
      <w:pPr>
        <w:ind w:firstLine="0" w:firstLineChars="0"/>
        <w:rPr>
          <w:rFonts w:cs="宋体"/>
          <w:color w:val="auto"/>
          <w:sz w:val="21"/>
          <w:szCs w:val="21"/>
        </w:rPr>
      </w:pPr>
      <w:r>
        <w:rPr>
          <w:rFonts w:hint="eastAsia" w:cs="宋体"/>
          <w:color w:val="auto"/>
          <w:sz w:val="21"/>
          <w:szCs w:val="21"/>
        </w:rPr>
        <w:t>【功能与主治】一般包括制剂的功能与主治两部分，之间以句号分开，先写功能，后写主治。</w:t>
      </w:r>
    </w:p>
    <w:p>
      <w:pPr>
        <w:ind w:firstLine="0" w:firstLineChars="0"/>
        <w:rPr>
          <w:rFonts w:cs="宋体"/>
          <w:color w:val="auto"/>
          <w:sz w:val="21"/>
          <w:szCs w:val="21"/>
        </w:rPr>
      </w:pPr>
      <w:r>
        <w:rPr>
          <w:rFonts w:hint="eastAsia" w:cs="宋体"/>
          <w:color w:val="auto"/>
          <w:sz w:val="21"/>
          <w:szCs w:val="21"/>
        </w:rPr>
        <w:t>【用法与用量】一般为用法和用量两部分，之间以句号分开。详述药品的服用或使用方法、每次用药剂量、每日用药次数及疗程、患者用药时间等。</w:t>
      </w:r>
    </w:p>
    <w:p>
      <w:pPr>
        <w:ind w:firstLine="0" w:firstLineChars="0"/>
        <w:rPr>
          <w:rFonts w:cs="宋体"/>
          <w:color w:val="auto"/>
          <w:sz w:val="21"/>
          <w:szCs w:val="21"/>
        </w:rPr>
      </w:pPr>
      <w:r>
        <w:rPr>
          <w:rFonts w:hint="eastAsia" w:cs="宋体"/>
          <w:color w:val="auto"/>
          <w:sz w:val="21"/>
          <w:szCs w:val="21"/>
        </w:rPr>
        <w:t>【注意】</w:t>
      </w:r>
    </w:p>
    <w:p>
      <w:pPr>
        <w:ind w:firstLine="0" w:firstLineChars="0"/>
        <w:rPr>
          <w:rFonts w:cs="宋体"/>
          <w:color w:val="auto"/>
          <w:sz w:val="21"/>
          <w:szCs w:val="21"/>
        </w:rPr>
      </w:pPr>
      <w:r>
        <w:rPr>
          <w:rFonts w:hint="eastAsia" w:cs="宋体"/>
          <w:color w:val="auto"/>
          <w:sz w:val="21"/>
          <w:szCs w:val="21"/>
        </w:rPr>
        <w:t>【规格】每片重**g（相当于饮片**g）</w:t>
      </w:r>
    </w:p>
    <w:p>
      <w:pPr>
        <w:ind w:firstLine="0" w:firstLineChars="0"/>
        <w:rPr>
          <w:rFonts w:cs="宋体"/>
          <w:color w:val="auto"/>
          <w:sz w:val="21"/>
          <w:szCs w:val="21"/>
        </w:rPr>
      </w:pPr>
      <w:r>
        <w:rPr>
          <w:rFonts w:hint="eastAsia" w:cs="宋体"/>
          <w:color w:val="auto"/>
          <w:sz w:val="21"/>
          <w:szCs w:val="21"/>
        </w:rPr>
        <w:t>【贮藏】药品贮藏与保管条件的基本要求，例如：密封。</w:t>
      </w:r>
    </w:p>
    <w:p>
      <w:pPr>
        <w:ind w:firstLine="0" w:firstLineChars="0"/>
        <w:rPr>
          <w:rFonts w:cs="宋体"/>
          <w:color w:val="auto"/>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_GB2312">
    <w:altName w:val="黑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panose1 w:val="03000509000000000000"/>
    <w:charset w:val="86"/>
    <w:family w:val="script"/>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7"/>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D1EA0D"/>
    <w:multiLevelType w:val="singleLevel"/>
    <w:tmpl w:val="93D1EA0D"/>
    <w:lvl w:ilvl="0" w:tentative="0">
      <w:start w:val="1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2MzUxODQ3NDUzM2U0ZWNjOGM0Yjc0ODNjYTg3MTgifQ=="/>
  </w:docVars>
  <w:rsids>
    <w:rsidRoot w:val="00C1661B"/>
    <w:rsid w:val="000252F6"/>
    <w:rsid w:val="00031B49"/>
    <w:rsid w:val="00033020"/>
    <w:rsid w:val="0004403E"/>
    <w:rsid w:val="000505C7"/>
    <w:rsid w:val="000724F8"/>
    <w:rsid w:val="000B27B5"/>
    <w:rsid w:val="000B2DFC"/>
    <w:rsid w:val="000C6EB8"/>
    <w:rsid w:val="000D5625"/>
    <w:rsid w:val="000F2BD8"/>
    <w:rsid w:val="00131CFF"/>
    <w:rsid w:val="00132D6E"/>
    <w:rsid w:val="00146CD0"/>
    <w:rsid w:val="00150728"/>
    <w:rsid w:val="00155FF2"/>
    <w:rsid w:val="0016689E"/>
    <w:rsid w:val="0017039F"/>
    <w:rsid w:val="00174588"/>
    <w:rsid w:val="00186FD9"/>
    <w:rsid w:val="001B3054"/>
    <w:rsid w:val="001E4D73"/>
    <w:rsid w:val="001E5C36"/>
    <w:rsid w:val="001F3BDA"/>
    <w:rsid w:val="00201EE2"/>
    <w:rsid w:val="002131C3"/>
    <w:rsid w:val="00235C9F"/>
    <w:rsid w:val="002A36F1"/>
    <w:rsid w:val="002A760E"/>
    <w:rsid w:val="002B0562"/>
    <w:rsid w:val="002B4DED"/>
    <w:rsid w:val="002D2F3D"/>
    <w:rsid w:val="002F4C95"/>
    <w:rsid w:val="00303024"/>
    <w:rsid w:val="00317E77"/>
    <w:rsid w:val="00357C19"/>
    <w:rsid w:val="00381F4A"/>
    <w:rsid w:val="0039721A"/>
    <w:rsid w:val="003A1F83"/>
    <w:rsid w:val="003C4594"/>
    <w:rsid w:val="004160E0"/>
    <w:rsid w:val="00425667"/>
    <w:rsid w:val="00435B59"/>
    <w:rsid w:val="00440F66"/>
    <w:rsid w:val="004434B2"/>
    <w:rsid w:val="004615D4"/>
    <w:rsid w:val="00481065"/>
    <w:rsid w:val="00482BCA"/>
    <w:rsid w:val="004B1C96"/>
    <w:rsid w:val="004B4DB6"/>
    <w:rsid w:val="004B79D7"/>
    <w:rsid w:val="004F5671"/>
    <w:rsid w:val="00505F56"/>
    <w:rsid w:val="0051116C"/>
    <w:rsid w:val="0051261E"/>
    <w:rsid w:val="005168B9"/>
    <w:rsid w:val="00526712"/>
    <w:rsid w:val="00526ECD"/>
    <w:rsid w:val="005317C2"/>
    <w:rsid w:val="00537A71"/>
    <w:rsid w:val="00545DB4"/>
    <w:rsid w:val="00576BC3"/>
    <w:rsid w:val="005A56AA"/>
    <w:rsid w:val="005B63C0"/>
    <w:rsid w:val="005B754E"/>
    <w:rsid w:val="006028DB"/>
    <w:rsid w:val="00625473"/>
    <w:rsid w:val="00641EB8"/>
    <w:rsid w:val="00653592"/>
    <w:rsid w:val="00657F22"/>
    <w:rsid w:val="00692257"/>
    <w:rsid w:val="006A2740"/>
    <w:rsid w:val="006B5DB2"/>
    <w:rsid w:val="006D144C"/>
    <w:rsid w:val="00702208"/>
    <w:rsid w:val="007033BA"/>
    <w:rsid w:val="007040AB"/>
    <w:rsid w:val="0071037A"/>
    <w:rsid w:val="00710AE4"/>
    <w:rsid w:val="007368A0"/>
    <w:rsid w:val="00737757"/>
    <w:rsid w:val="00761372"/>
    <w:rsid w:val="007630AA"/>
    <w:rsid w:val="00766149"/>
    <w:rsid w:val="0078175C"/>
    <w:rsid w:val="00792ADB"/>
    <w:rsid w:val="007A32A0"/>
    <w:rsid w:val="007A57F6"/>
    <w:rsid w:val="007B4E75"/>
    <w:rsid w:val="007C0853"/>
    <w:rsid w:val="007C0CF6"/>
    <w:rsid w:val="007C1B73"/>
    <w:rsid w:val="007D4DEC"/>
    <w:rsid w:val="008410F4"/>
    <w:rsid w:val="008534DC"/>
    <w:rsid w:val="008761F2"/>
    <w:rsid w:val="00877CBD"/>
    <w:rsid w:val="00893D05"/>
    <w:rsid w:val="008B7A2D"/>
    <w:rsid w:val="008C2CFC"/>
    <w:rsid w:val="008C3564"/>
    <w:rsid w:val="008E0DFF"/>
    <w:rsid w:val="008F3C04"/>
    <w:rsid w:val="0091018F"/>
    <w:rsid w:val="00970401"/>
    <w:rsid w:val="00986434"/>
    <w:rsid w:val="009C1B0A"/>
    <w:rsid w:val="009C5148"/>
    <w:rsid w:val="009C5F79"/>
    <w:rsid w:val="009D75C7"/>
    <w:rsid w:val="009F2928"/>
    <w:rsid w:val="009F2B20"/>
    <w:rsid w:val="00A47CFB"/>
    <w:rsid w:val="00A652AD"/>
    <w:rsid w:val="00A811E6"/>
    <w:rsid w:val="00AA1163"/>
    <w:rsid w:val="00AA1A2A"/>
    <w:rsid w:val="00AA41DF"/>
    <w:rsid w:val="00AC157E"/>
    <w:rsid w:val="00AC18C9"/>
    <w:rsid w:val="00AD4B10"/>
    <w:rsid w:val="00AD774F"/>
    <w:rsid w:val="00AE4885"/>
    <w:rsid w:val="00B020AE"/>
    <w:rsid w:val="00B209E5"/>
    <w:rsid w:val="00B60A0F"/>
    <w:rsid w:val="00B817D2"/>
    <w:rsid w:val="00B93447"/>
    <w:rsid w:val="00BA64D8"/>
    <w:rsid w:val="00BE0162"/>
    <w:rsid w:val="00BF75A3"/>
    <w:rsid w:val="00C15ABD"/>
    <w:rsid w:val="00C1661B"/>
    <w:rsid w:val="00C27ACC"/>
    <w:rsid w:val="00C30AA3"/>
    <w:rsid w:val="00C44587"/>
    <w:rsid w:val="00C54A76"/>
    <w:rsid w:val="00C566A9"/>
    <w:rsid w:val="00C62944"/>
    <w:rsid w:val="00C75DA7"/>
    <w:rsid w:val="00C97005"/>
    <w:rsid w:val="00CA1CDB"/>
    <w:rsid w:val="00CD0061"/>
    <w:rsid w:val="00D22699"/>
    <w:rsid w:val="00D37E6B"/>
    <w:rsid w:val="00D44578"/>
    <w:rsid w:val="00D73AD6"/>
    <w:rsid w:val="00DB098F"/>
    <w:rsid w:val="00DC2AC9"/>
    <w:rsid w:val="00DD67D7"/>
    <w:rsid w:val="00DF1D3D"/>
    <w:rsid w:val="00DF3EC0"/>
    <w:rsid w:val="00E52224"/>
    <w:rsid w:val="00E604EC"/>
    <w:rsid w:val="00E65688"/>
    <w:rsid w:val="00E86C5A"/>
    <w:rsid w:val="00EC1CBE"/>
    <w:rsid w:val="00EC405E"/>
    <w:rsid w:val="00EF0379"/>
    <w:rsid w:val="00EF2452"/>
    <w:rsid w:val="00F25B21"/>
    <w:rsid w:val="00F3424E"/>
    <w:rsid w:val="00F37067"/>
    <w:rsid w:val="00F37667"/>
    <w:rsid w:val="00F4196E"/>
    <w:rsid w:val="00F67104"/>
    <w:rsid w:val="00F82FB7"/>
    <w:rsid w:val="00F8566A"/>
    <w:rsid w:val="00FA0F9C"/>
    <w:rsid w:val="00FA576A"/>
    <w:rsid w:val="00FE3D80"/>
    <w:rsid w:val="00FF1C61"/>
    <w:rsid w:val="00FF791E"/>
    <w:rsid w:val="042038B0"/>
    <w:rsid w:val="058348BF"/>
    <w:rsid w:val="05A03A43"/>
    <w:rsid w:val="06BC10DF"/>
    <w:rsid w:val="0706014B"/>
    <w:rsid w:val="089473D0"/>
    <w:rsid w:val="0E097B87"/>
    <w:rsid w:val="0FB96688"/>
    <w:rsid w:val="14FA7689"/>
    <w:rsid w:val="154B4FA1"/>
    <w:rsid w:val="1A495DF6"/>
    <w:rsid w:val="1AD23F51"/>
    <w:rsid w:val="24197EA5"/>
    <w:rsid w:val="26F251F5"/>
    <w:rsid w:val="27641778"/>
    <w:rsid w:val="29984C27"/>
    <w:rsid w:val="2CFA4E04"/>
    <w:rsid w:val="30A825C6"/>
    <w:rsid w:val="324D455E"/>
    <w:rsid w:val="32A10E03"/>
    <w:rsid w:val="34231C86"/>
    <w:rsid w:val="352C7998"/>
    <w:rsid w:val="3D165673"/>
    <w:rsid w:val="40480BA1"/>
    <w:rsid w:val="45911C91"/>
    <w:rsid w:val="4D5C558F"/>
    <w:rsid w:val="4EBF79E3"/>
    <w:rsid w:val="4F3F0EA0"/>
    <w:rsid w:val="4F8840E0"/>
    <w:rsid w:val="548E4515"/>
    <w:rsid w:val="569113A9"/>
    <w:rsid w:val="569E667C"/>
    <w:rsid w:val="5BF82550"/>
    <w:rsid w:val="5CF82A21"/>
    <w:rsid w:val="5E4569CF"/>
    <w:rsid w:val="64067ACA"/>
    <w:rsid w:val="69ED7337"/>
    <w:rsid w:val="6B1976A5"/>
    <w:rsid w:val="70A66575"/>
    <w:rsid w:val="751678CE"/>
    <w:rsid w:val="756C3DFF"/>
    <w:rsid w:val="794C15E9"/>
    <w:rsid w:val="7A9E7A00"/>
    <w:rsid w:val="7B136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560" w:firstLineChars="200"/>
      <w:jc w:val="both"/>
    </w:pPr>
    <w:rPr>
      <w:rFonts w:ascii="宋体" w:hAnsi="宋体" w:eastAsia="宋体" w:cstheme="minorBidi"/>
      <w:kern w:val="2"/>
      <w:sz w:val="28"/>
      <w:szCs w:val="28"/>
      <w:lang w:val="en-US" w:eastAsia="zh-CN" w:bidi="ar-SA"/>
    </w:rPr>
  </w:style>
  <w:style w:type="paragraph" w:styleId="2">
    <w:name w:val="heading 1"/>
    <w:basedOn w:val="1"/>
    <w:next w:val="1"/>
    <w:link w:val="21"/>
    <w:qFormat/>
    <w:uiPriority w:val="9"/>
    <w:pPr>
      <w:keepNext/>
      <w:keepLines/>
      <w:spacing w:before="340" w:after="330"/>
      <w:ind w:firstLine="0" w:firstLineChars="0"/>
      <w:jc w:val="center"/>
      <w:outlineLvl w:val="0"/>
    </w:pPr>
    <w:rPr>
      <w:rFonts w:ascii="黑体" w:hAnsi="黑体" w:eastAsia="黑体"/>
      <w:kern w:val="44"/>
      <w:sz w:val="32"/>
      <w:szCs w:val="32"/>
    </w:rPr>
  </w:style>
  <w:style w:type="paragraph" w:styleId="3">
    <w:name w:val="heading 2"/>
    <w:basedOn w:val="1"/>
    <w:next w:val="1"/>
    <w:link w:val="22"/>
    <w:unhideWhenUsed/>
    <w:qFormat/>
    <w:uiPriority w:val="9"/>
    <w:pPr>
      <w:keepNext/>
      <w:keepLines/>
      <w:spacing w:before="260" w:after="260" w:line="240" w:lineRule="auto"/>
      <w:ind w:firstLine="0" w:firstLineChars="0"/>
      <w:jc w:val="center"/>
      <w:outlineLvl w:val="1"/>
    </w:pPr>
    <w:rPr>
      <w:rFonts w:ascii="黑体" w:hAnsi="黑体" w:eastAsia="黑体" w:cstheme="majorBidi"/>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6"/>
    <w:unhideWhenUsed/>
    <w:qFormat/>
    <w:uiPriority w:val="99"/>
    <w:pPr>
      <w:jc w:val="left"/>
    </w:pPr>
  </w:style>
  <w:style w:type="paragraph" w:styleId="6">
    <w:name w:val="toc 3"/>
    <w:basedOn w:val="1"/>
    <w:next w:val="1"/>
    <w:unhideWhenUsed/>
    <w:qFormat/>
    <w:uiPriority w:val="39"/>
    <w:pPr>
      <w:widowControl/>
      <w:spacing w:after="100" w:line="259" w:lineRule="auto"/>
      <w:ind w:left="440" w:firstLine="0" w:firstLineChars="0"/>
      <w:jc w:val="left"/>
    </w:pPr>
    <w:rPr>
      <w:rFonts w:cs="Times New Roman" w:asciiTheme="minorHAnsi" w:hAnsiTheme="minorHAnsi" w:eastAsiaTheme="minorEastAsia"/>
      <w:kern w:val="0"/>
      <w:sz w:val="22"/>
      <w:szCs w:val="22"/>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tabs>
        <w:tab w:val="right" w:leader="dot" w:pos="8302"/>
      </w:tabs>
      <w:jc w:val="center"/>
      <w:pPrChange w:id="0" w:author="李 志鹏" w:date="2023-04-24T16:46:00Z">
        <w:pPr>
          <w:widowControl w:val="0"/>
          <w:spacing w:line="360" w:lineRule="auto"/>
          <w:ind w:firstLine="560" w:firstLineChars="200"/>
          <w:jc w:val="center"/>
        </w:pPr>
      </w:pPrChange>
    </w:pPr>
    <w:rPr>
      <w:rPrChange w:id="1" w:author="李 志鹏" w:date="2023-04-24T16:46:00Z">
        <w:rPr>
          <w:rFonts w:ascii="宋体" w:hAnsi="宋体" w:eastAsia="宋体" w:cstheme="minorBidi"/>
          <w:kern w:val="2"/>
          <w:sz w:val="28"/>
          <w:szCs w:val="28"/>
          <w:lang w:val="en-US" w:eastAsia="zh-CN" w:bidi="ar-SA"/>
        </w:rPr>
      </w:rPrChange>
    </w:rPr>
  </w:style>
  <w:style w:type="paragraph" w:styleId="10">
    <w:name w:val="toc 2"/>
    <w:basedOn w:val="1"/>
    <w:next w:val="1"/>
    <w:unhideWhenUsed/>
    <w:qFormat/>
    <w:uiPriority w:val="39"/>
    <w:pPr>
      <w:widowControl/>
      <w:spacing w:after="100" w:line="259" w:lineRule="auto"/>
      <w:ind w:left="216" w:firstLine="0" w:firstLineChars="0"/>
      <w:jc w:val="left"/>
    </w:pPr>
    <w:rPr>
      <w:rFonts w:cs="Times New Roman" w:asciiTheme="minorHAnsi" w:hAnsiTheme="minorHAnsi" w:eastAsiaTheme="minorEastAsia"/>
      <w:kern w:val="0"/>
      <w:sz w:val="22"/>
      <w:szCs w:val="22"/>
    </w:rPr>
  </w:style>
  <w:style w:type="paragraph" w:styleId="11">
    <w:name w:val="Title"/>
    <w:basedOn w:val="1"/>
    <w:next w:val="1"/>
    <w:link w:val="20"/>
    <w:qFormat/>
    <w:uiPriority w:val="10"/>
    <w:pPr>
      <w:spacing w:before="240" w:after="60"/>
      <w:ind w:firstLine="0" w:firstLineChars="0"/>
      <w:jc w:val="center"/>
      <w:outlineLvl w:val="0"/>
    </w:pPr>
    <w:rPr>
      <w:rFonts w:ascii="黑体" w:hAnsi="黑体" w:eastAsia="黑体" w:cstheme="majorBidi"/>
      <w:sz w:val="44"/>
      <w:szCs w:val="44"/>
    </w:rPr>
  </w:style>
  <w:style w:type="paragraph" w:styleId="12">
    <w:name w:val="annotation subject"/>
    <w:basedOn w:val="5"/>
    <w:next w:val="5"/>
    <w:link w:val="27"/>
    <w:semiHidden/>
    <w:unhideWhenUsed/>
    <w:qFormat/>
    <w:uiPriority w:val="99"/>
    <w:rPr>
      <w:b/>
      <w:bCs/>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styleId="17">
    <w:name w:val="annotation reference"/>
    <w:basedOn w:val="15"/>
    <w:semiHidden/>
    <w:unhideWhenUsed/>
    <w:qFormat/>
    <w:uiPriority w:val="99"/>
    <w:rPr>
      <w:sz w:val="21"/>
      <w:szCs w:val="21"/>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character" w:customStyle="1" w:styleId="20">
    <w:name w:val="标题 字符"/>
    <w:basedOn w:val="15"/>
    <w:link w:val="11"/>
    <w:qFormat/>
    <w:uiPriority w:val="10"/>
    <w:rPr>
      <w:rFonts w:ascii="黑体" w:hAnsi="黑体" w:eastAsia="黑体" w:cstheme="majorBidi"/>
      <w:sz w:val="44"/>
      <w:szCs w:val="44"/>
    </w:rPr>
  </w:style>
  <w:style w:type="character" w:customStyle="1" w:styleId="21">
    <w:name w:val="标题 1 字符"/>
    <w:basedOn w:val="15"/>
    <w:link w:val="2"/>
    <w:qFormat/>
    <w:uiPriority w:val="9"/>
    <w:rPr>
      <w:rFonts w:ascii="黑体" w:hAnsi="黑体" w:eastAsia="黑体"/>
      <w:kern w:val="44"/>
      <w:sz w:val="32"/>
      <w:szCs w:val="32"/>
    </w:rPr>
  </w:style>
  <w:style w:type="character" w:customStyle="1" w:styleId="22">
    <w:name w:val="标题 2 字符"/>
    <w:basedOn w:val="15"/>
    <w:link w:val="3"/>
    <w:qFormat/>
    <w:uiPriority w:val="9"/>
    <w:rPr>
      <w:rFonts w:ascii="黑体" w:hAnsi="黑体" w:eastAsia="黑体" w:cstheme="majorBidi"/>
      <w:sz w:val="32"/>
      <w:szCs w:val="32"/>
    </w:rPr>
  </w:style>
  <w:style w:type="paragraph" w:customStyle="1" w:styleId="2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4">
    <w:name w:val="标题 3 字符"/>
    <w:basedOn w:val="15"/>
    <w:link w:val="4"/>
    <w:qFormat/>
    <w:uiPriority w:val="9"/>
    <w:rPr>
      <w:b/>
      <w:bCs/>
      <w:sz w:val="32"/>
      <w:szCs w:val="32"/>
    </w:rPr>
  </w:style>
  <w:style w:type="paragraph" w:customStyle="1" w:styleId="2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color w:val="2F5597" w:themeColor="accent1" w:themeShade="BF"/>
      <w:kern w:val="0"/>
    </w:rPr>
  </w:style>
  <w:style w:type="character" w:customStyle="1" w:styleId="26">
    <w:name w:val="批注文字 字符"/>
    <w:basedOn w:val="15"/>
    <w:link w:val="5"/>
    <w:qFormat/>
    <w:uiPriority w:val="99"/>
    <w:rPr>
      <w:rFonts w:ascii="宋体" w:hAnsi="宋体" w:eastAsia="宋体"/>
      <w:sz w:val="28"/>
      <w:szCs w:val="28"/>
    </w:rPr>
  </w:style>
  <w:style w:type="character" w:customStyle="1" w:styleId="27">
    <w:name w:val="批注主题 字符"/>
    <w:basedOn w:val="26"/>
    <w:link w:val="12"/>
    <w:semiHidden/>
    <w:qFormat/>
    <w:uiPriority w:val="99"/>
    <w:rPr>
      <w:rFonts w:ascii="宋体" w:hAnsi="宋体" w:eastAsia="宋体"/>
      <w:b/>
      <w:bCs/>
      <w:sz w:val="28"/>
      <w:szCs w:val="28"/>
    </w:rPr>
  </w:style>
  <w:style w:type="paragraph" w:customStyle="1" w:styleId="28">
    <w:name w:val="修订2"/>
    <w:hidden/>
    <w:semiHidden/>
    <w:qFormat/>
    <w:uiPriority w:val="99"/>
    <w:rPr>
      <w:rFonts w:ascii="宋体" w:hAnsi="宋体" w:eastAsia="宋体" w:cstheme="minorBidi"/>
      <w:kern w:val="2"/>
      <w:sz w:val="28"/>
      <w:szCs w:val="28"/>
      <w:lang w:val="en-US" w:eastAsia="zh-CN" w:bidi="ar-SA"/>
    </w:rPr>
  </w:style>
  <w:style w:type="paragraph" w:customStyle="1" w:styleId="29">
    <w:name w:val="Revision"/>
    <w:hidden/>
    <w:unhideWhenUsed/>
    <w:uiPriority w:val="99"/>
    <w:rPr>
      <w:rFonts w:ascii="宋体" w:hAnsi="宋体" w:eastAsia="宋体" w:cstheme="minorBidi"/>
      <w:kern w:val="2"/>
      <w:sz w:val="28"/>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39667-BAB1-414A-ACA2-7E762F6BA994}">
  <ds:schemaRefs/>
</ds:datastoreItem>
</file>

<file path=docProps/app.xml><?xml version="1.0" encoding="utf-8"?>
<Properties xmlns="http://schemas.openxmlformats.org/officeDocument/2006/extended-properties" xmlns:vt="http://schemas.openxmlformats.org/officeDocument/2006/docPropsVTypes">
  <Template>Normal.dotm</Template>
  <Pages>190</Pages>
  <Words>13581</Words>
  <Characters>77418</Characters>
  <Lines>645</Lines>
  <Paragraphs>181</Paragraphs>
  <TotalTime>1017</TotalTime>
  <ScaleCrop>false</ScaleCrop>
  <LinksUpToDate>false</LinksUpToDate>
  <CharactersWithSpaces>90818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2023-04-10T09:20:00Z</dcterms:created>
  <dc:creator>李 志鹏</dc:creator>
  <cp:lastModifiedBy>杨瑞【药品审评二科】</cp:lastModifiedBy>
  <cp:lastPrinted>2023-05-29T09:06:00Z</cp:lastPrinted>
  <dcterms:modified xsi:type="dcterms:W3CDTF">2023-09-18T03:14:10Z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1C139A940E024D7CB9CA4CD6236A888B_12</vt:lpwstr>
  </property>
</Properties>
</file>