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_GBK" w:hAnsi="方正小标宋_GBK" w:eastAsia="方正小标宋_GBK" w:cs="方正小标宋_GBK"/>
          <w:b w:val="0"/>
          <w:bCs w:val="0"/>
          <w:i w:val="0"/>
          <w:iCs w:val="0"/>
          <w:color w:val="auto"/>
          <w:kern w:val="0"/>
          <w:sz w:val="44"/>
          <w:szCs w:val="44"/>
          <w:lang w:val="en-US" w:eastAsia="zh-CN" w:bidi="ar-SA"/>
        </w:rPr>
      </w:pPr>
      <w:bookmarkStart w:id="0" w:name="_GoBack"/>
      <w:r>
        <w:rPr>
          <w:rStyle w:val="5"/>
          <w:rFonts w:hint="eastAsia" w:ascii="方正小标宋_GBK" w:hAnsi="方正小标宋_GBK" w:eastAsia="方正小标宋_GBK" w:cs="方正小标宋_GBK"/>
          <w:b w:val="0"/>
          <w:bCs w:val="0"/>
          <w:i w:val="0"/>
          <w:iCs w:val="0"/>
          <w:color w:val="auto"/>
          <w:kern w:val="0"/>
          <w:sz w:val="44"/>
          <w:szCs w:val="44"/>
          <w:lang w:val="en-US" w:eastAsia="zh-CN" w:bidi="ar-SA"/>
        </w:rPr>
        <w:t>海南省医保基金监管领域信用管理办法</w:t>
      </w:r>
    </w:p>
    <w:p>
      <w:pPr>
        <w:spacing w:line="560" w:lineRule="exact"/>
        <w:jc w:val="center"/>
        <w:rPr>
          <w:rStyle w:val="5"/>
          <w:rFonts w:hint="eastAsia" w:ascii="仿宋_GB2312" w:hAnsi="仿宋_GB2312" w:eastAsia="仿宋_GB2312" w:cs="仿宋_GB2312"/>
          <w:b w:val="0"/>
          <w:bCs w:val="0"/>
          <w:i w:val="0"/>
          <w:iCs w:val="0"/>
          <w:color w:val="auto"/>
          <w:kern w:val="0"/>
          <w:sz w:val="32"/>
          <w:szCs w:val="32"/>
          <w:lang w:val="en-US" w:eastAsia="zh-CN" w:bidi="ar-SA"/>
        </w:rPr>
      </w:pPr>
      <w:r>
        <w:rPr>
          <w:rStyle w:val="5"/>
          <w:rFonts w:hint="eastAsia" w:ascii="仿宋_GB2312" w:hAnsi="仿宋_GB2312" w:eastAsia="仿宋_GB2312" w:cs="仿宋_GB2312"/>
          <w:b w:val="0"/>
          <w:bCs w:val="0"/>
          <w:i w:val="0"/>
          <w:iCs w:val="0"/>
          <w:color w:val="auto"/>
          <w:kern w:val="0"/>
          <w:sz w:val="32"/>
          <w:szCs w:val="32"/>
          <w:lang w:val="en-US" w:eastAsia="zh-CN" w:bidi="ar-SA"/>
        </w:rPr>
        <w:t>（征求意见稿）</w:t>
      </w:r>
      <w:bookmarkEnd w:id="0"/>
    </w:p>
    <w:p>
      <w:pPr>
        <w:spacing w:line="560" w:lineRule="exact"/>
        <w:jc w:val="center"/>
        <w:rPr>
          <w:rFonts w:hint="eastAsia" w:ascii="仿宋" w:hAnsi="仿宋" w:eastAsia="仿宋" w:cs="仿宋"/>
          <w:color w:val="auto"/>
          <w:sz w:val="32"/>
          <w:szCs w:val="32"/>
          <w:lang w:val="en-US" w:eastAsia="zh-CN"/>
        </w:rPr>
      </w:pPr>
    </w:p>
    <w:p>
      <w:pPr>
        <w:pStyle w:val="2"/>
        <w:shd w:val="clear" w:color="auto" w:fill="FFFFFF"/>
        <w:spacing w:before="0" w:beforeAutospacing="0" w:after="0" w:afterAutospacing="0" w:line="560" w:lineRule="exact"/>
        <w:jc w:val="center"/>
        <w:textAlignment w:val="baseline"/>
        <w:rPr>
          <w:rStyle w:val="5"/>
          <w:rFonts w:hint="default" w:ascii="黑体" w:hAnsi="黑体" w:eastAsia="黑体" w:cs="Times New Roman"/>
          <w:b w:val="0"/>
          <w:bCs w:val="0"/>
          <w:color w:val="auto"/>
          <w:sz w:val="32"/>
          <w:szCs w:val="32"/>
          <w:lang w:val="en-US" w:eastAsia="zh-CN"/>
        </w:rPr>
      </w:pPr>
      <w:r>
        <w:rPr>
          <w:rStyle w:val="5"/>
          <w:rFonts w:hint="eastAsia" w:ascii="黑体" w:hAnsi="黑体" w:eastAsia="黑体" w:cs="Times New Roman"/>
          <w:b w:val="0"/>
          <w:bCs w:val="0"/>
          <w:color w:val="auto"/>
          <w:kern w:val="2"/>
          <w:sz w:val="32"/>
          <w:szCs w:val="32"/>
          <w:lang w:val="en-US" w:eastAsia="zh-CN" w:bidi="ar-SA"/>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Times New Roman"/>
          <w:color w:val="auto"/>
          <w:sz w:val="32"/>
          <w:szCs w:val="32"/>
        </w:rPr>
        <w:t>第一条【</w:t>
      </w:r>
      <w:r>
        <w:rPr>
          <w:rFonts w:hint="eastAsia" w:ascii="黑体" w:hAnsi="黑体" w:eastAsia="黑体" w:cs="Times New Roman"/>
          <w:color w:val="auto"/>
          <w:sz w:val="32"/>
          <w:szCs w:val="32"/>
          <w:lang w:val="en-US" w:eastAsia="zh-CN"/>
        </w:rPr>
        <w:t>制定</w:t>
      </w:r>
      <w:r>
        <w:rPr>
          <w:rFonts w:hint="eastAsia" w:ascii="黑体" w:hAnsi="黑体" w:eastAsia="黑体" w:cs="Times New Roman"/>
          <w:color w:val="auto"/>
          <w:sz w:val="32"/>
          <w:szCs w:val="32"/>
        </w:rPr>
        <w:t>目的】</w:t>
      </w:r>
      <w:r>
        <w:rPr>
          <w:rFonts w:hint="eastAsia" w:ascii="仿宋" w:hAnsi="仿宋" w:eastAsia="仿宋" w:cs="仿宋"/>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为加强医保基金信用管理，提升医保基金监管效能，根据《医疗保障基金使用监督管理条例》《国务院办公厅关于进一步完善失信约束制度构建诚信建设长效机制的指导意见》《海南自由贸易港社会信用条例》等有关规定，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Times New Roman"/>
          <w:color w:val="auto"/>
          <w:sz w:val="32"/>
          <w:szCs w:val="32"/>
        </w:rPr>
        <w:t>第二条【适用范围】</w:t>
      </w:r>
      <w:r>
        <w:rPr>
          <w:rFonts w:hint="eastAsia" w:ascii="仿宋" w:hAnsi="仿宋" w:eastAsia="仿宋" w:cs="仿宋"/>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本省行政区域内医保基金监管领域信用信息的归集、失信行为的认定、分类管理、信用修复等，适用本办法。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Times New Roman"/>
          <w:color w:val="auto"/>
          <w:sz w:val="32"/>
          <w:szCs w:val="32"/>
          <w:lang w:eastAsia="zh-CN"/>
        </w:rPr>
      </w:pPr>
      <w:r>
        <w:rPr>
          <w:rFonts w:hint="eastAsia" w:ascii="黑体" w:hAnsi="黑体" w:eastAsia="黑体" w:cs="Times New Roman"/>
          <w:color w:val="auto"/>
          <w:sz w:val="32"/>
          <w:szCs w:val="32"/>
        </w:rPr>
        <w:t>第三条【</w:t>
      </w:r>
      <w:r>
        <w:rPr>
          <w:rFonts w:hint="eastAsia" w:ascii="黑体" w:hAnsi="黑体" w:eastAsia="黑体" w:cs="Times New Roman"/>
          <w:color w:val="auto"/>
          <w:sz w:val="32"/>
          <w:szCs w:val="32"/>
          <w:lang w:eastAsia="zh-CN"/>
        </w:rPr>
        <w:t>失信行为</w:t>
      </w:r>
      <w:r>
        <w:rPr>
          <w:rFonts w:hint="eastAsia" w:ascii="黑体" w:hAnsi="黑体" w:eastAsia="黑体" w:cs="Times New Roman"/>
          <w:color w:val="auto"/>
          <w:sz w:val="32"/>
          <w:szCs w:val="32"/>
        </w:rPr>
        <w:t>】</w:t>
      </w:r>
      <w:r>
        <w:rPr>
          <w:rFonts w:hint="eastAsia" w:ascii="仿宋" w:hAnsi="仿宋" w:eastAsia="仿宋" w:cs="仿宋"/>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本办法所称医保基金监管失信行为，是指行政机关以具有法律效力的文书为依据认定的失信行为。</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color w:val="auto"/>
          <w:kern w:val="0"/>
          <w:sz w:val="32"/>
          <w:szCs w:val="32"/>
          <w:lang w:val="en-US" w:eastAsia="zh-CN" w:bidi="ar-SA"/>
        </w:rPr>
      </w:pPr>
      <w:r>
        <w:rPr>
          <w:rFonts w:hint="eastAsia" w:ascii="黑体" w:hAnsi="黑体" w:eastAsia="黑体"/>
          <w:color w:val="auto"/>
          <w:sz w:val="32"/>
          <w:szCs w:val="32"/>
        </w:rPr>
        <w:t>第</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黑体" w:hAnsi="黑体" w:eastAsia="黑体"/>
          <w:color w:val="auto"/>
          <w:sz w:val="32"/>
          <w:szCs w:val="32"/>
          <w:lang w:eastAsia="zh-CN"/>
        </w:rPr>
        <w:t>信用</w:t>
      </w:r>
      <w:r>
        <w:rPr>
          <w:rFonts w:hint="eastAsia" w:ascii="黑体" w:hAnsi="黑体" w:eastAsia="黑体"/>
          <w:color w:val="auto"/>
          <w:sz w:val="32"/>
          <w:szCs w:val="32"/>
        </w:rPr>
        <w:t>主体】</w:t>
      </w:r>
      <w:r>
        <w:rPr>
          <w:rFonts w:hint="eastAsia" w:ascii="黑体" w:hAnsi="黑体" w:eastAsia="黑体"/>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本办法所适用的信用主体包括：</w:t>
      </w:r>
    </w:p>
    <w:p>
      <w:pPr>
        <w:pStyle w:val="2"/>
        <w:keepNext w:val="0"/>
        <w:keepLines w:val="0"/>
        <w:widowControl w:val="0"/>
        <w:numPr>
          <w:ilvl w:val="0"/>
          <w:numId w:val="0"/>
        </w:numPr>
        <w:suppressLineNumbers w:val="0"/>
        <w:shd w:val="clear" w:color="auto" w:fill="FFFFFF"/>
        <w:spacing w:before="0" w:beforeAutospacing="0" w:after="0" w:afterAutospacing="0" w:line="560" w:lineRule="exact"/>
        <w:ind w:left="0" w:firstLine="640" w:firstLineChars="200"/>
        <w:jc w:val="both"/>
        <w:textAlignment w:val="baseline"/>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（一）医疗保障定点医疗机构；</w:t>
      </w:r>
    </w:p>
    <w:p>
      <w:pPr>
        <w:pStyle w:val="2"/>
        <w:keepNext w:val="0"/>
        <w:keepLines w:val="0"/>
        <w:widowControl w:val="0"/>
        <w:numPr>
          <w:ilvl w:val="0"/>
          <w:numId w:val="0"/>
        </w:numPr>
        <w:suppressLineNumbers w:val="0"/>
        <w:shd w:val="clear" w:color="auto" w:fill="FFFFFF"/>
        <w:spacing w:before="0" w:beforeAutospacing="0" w:after="0" w:afterAutospacing="0" w:line="560" w:lineRule="exact"/>
        <w:ind w:left="0" w:firstLine="640" w:firstLineChars="200"/>
        <w:jc w:val="both"/>
        <w:textAlignment w:val="baseline"/>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（二）医疗保障定点零售药店；</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（三）个人。</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color w:val="auto"/>
          <w:kern w:val="0"/>
          <w:sz w:val="32"/>
          <w:szCs w:val="32"/>
          <w:lang w:val="en-US" w:eastAsia="zh-CN" w:bidi="ar-SA"/>
        </w:rPr>
      </w:pPr>
      <w:r>
        <w:rPr>
          <w:rFonts w:hint="eastAsia" w:ascii="黑体" w:hAnsi="黑体" w:eastAsia="黑体"/>
          <w:color w:val="auto"/>
          <w:sz w:val="32"/>
          <w:szCs w:val="32"/>
        </w:rPr>
        <w:t>第五条【部门</w:t>
      </w:r>
      <w:r>
        <w:rPr>
          <w:rFonts w:hint="eastAsia" w:ascii="黑体" w:hAnsi="黑体" w:eastAsia="黑体"/>
          <w:color w:val="auto"/>
          <w:sz w:val="32"/>
          <w:szCs w:val="32"/>
          <w:lang w:eastAsia="zh-CN"/>
        </w:rPr>
        <w:t>职责</w:t>
      </w:r>
      <w:r>
        <w:rPr>
          <w:rFonts w:hint="eastAsia" w:ascii="黑体" w:hAnsi="黑体" w:eastAsia="黑体"/>
          <w:color w:val="auto"/>
          <w:sz w:val="32"/>
          <w:szCs w:val="32"/>
        </w:rPr>
        <w:t>】</w:t>
      </w:r>
      <w:r>
        <w:rPr>
          <w:rFonts w:hint="eastAsia" w:ascii="仿宋_GB2312" w:hAnsi="微软雅黑" w:eastAsia="仿宋_GB2312"/>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省级医保行政部门负责全省医保基金监管领域信用管理的政策制定和监督管理工作，统筹建设、运行信用管理系统，组织开展全省信用信息分析与监测工作，按要求向海南自由贸易港信用信息共享平台推送医保基金监管信用主体信息，组织指导全省医保基金监管信用培训和宣教等工作。</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市县医保行政部门负责运用医保基金监管信用管理系统，统筹组织本行政区域内医保基金监管领域信用管理工作，负责本级医保基金监管信用管理相关信息的归集，负责失信行为认定及信用修复并根据认定结果具体细化实施管理措施，组织开展本级信用信息分析与监测、信用培训与宣传等工作。</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省级医保经办机构组织市县医保经办机构依据职责权限，配合医保行政部门开展协议相关的信息归集、信用修复的处理等工作，负责细化并具体落实协议相关的分类管理措施。</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auto"/>
          <w:sz w:val="32"/>
          <w:szCs w:val="32"/>
        </w:rPr>
      </w:pPr>
      <w:r>
        <w:rPr>
          <w:rFonts w:hint="default" w:ascii="Times New Roman" w:hAnsi="Times New Roman" w:cs="Times New Roman"/>
          <w:color w:val="auto"/>
          <w:sz w:val="32"/>
          <w:szCs w:val="32"/>
        </w:rPr>
        <w:t> </w:t>
      </w:r>
      <w:r>
        <w:rPr>
          <w:rFonts w:hint="eastAsia" w:ascii="黑体" w:hAnsi="黑体" w:eastAsia="黑体" w:cs="宋体"/>
          <w:b w:val="0"/>
          <w:bCs w:val="0"/>
          <w:color w:val="auto"/>
          <w:sz w:val="32"/>
          <w:szCs w:val="32"/>
        </w:rPr>
        <w:t>第</w:t>
      </w:r>
      <w:r>
        <w:rPr>
          <w:rFonts w:hint="eastAsia" w:ascii="黑体" w:hAnsi="黑体" w:eastAsia="黑体" w:cs="宋体"/>
          <w:b w:val="0"/>
          <w:bCs w:val="0"/>
          <w:color w:val="auto"/>
          <w:sz w:val="32"/>
          <w:szCs w:val="32"/>
          <w:lang w:eastAsia="zh-CN"/>
        </w:rPr>
        <w:t>六</w:t>
      </w:r>
      <w:r>
        <w:rPr>
          <w:rFonts w:hint="eastAsia" w:ascii="黑体" w:hAnsi="黑体" w:eastAsia="黑体" w:cs="宋体"/>
          <w:b w:val="0"/>
          <w:bCs w:val="0"/>
          <w:color w:val="auto"/>
          <w:sz w:val="32"/>
          <w:szCs w:val="32"/>
        </w:rPr>
        <w:t>条</w:t>
      </w:r>
      <w:r>
        <w:rPr>
          <w:rFonts w:hint="eastAsia" w:ascii="黑体" w:hAnsi="黑体" w:eastAsia="黑体"/>
          <w:color w:val="auto"/>
          <w:sz w:val="32"/>
          <w:szCs w:val="32"/>
        </w:rPr>
        <w:t>【信用平台】</w:t>
      </w:r>
      <w:r>
        <w:rPr>
          <w:rFonts w:hint="eastAsia" w:ascii="仿宋_GB2312" w:hAnsi="微软雅黑" w:eastAsia="仿宋_GB2312"/>
          <w:color w:val="auto"/>
          <w:sz w:val="32"/>
          <w:szCs w:val="32"/>
          <w:lang w:val="en-US" w:eastAsia="zh-CN"/>
        </w:rPr>
        <w:t xml:space="preserve"> </w:t>
      </w:r>
      <w:r>
        <w:rPr>
          <w:rFonts w:hint="eastAsia" w:ascii="仿宋_GB2312" w:hAnsi="微软雅黑" w:eastAsia="仿宋_GB2312"/>
          <w:color w:val="auto"/>
          <w:sz w:val="32"/>
          <w:szCs w:val="32"/>
          <w:lang w:eastAsia="zh-CN"/>
        </w:rPr>
        <w:t>医保</w:t>
      </w:r>
      <w:r>
        <w:rPr>
          <w:rFonts w:hint="eastAsia" w:ascii="仿宋_GB2312" w:hAnsi="微软雅黑" w:eastAsia="仿宋_GB2312"/>
          <w:color w:val="auto"/>
          <w:sz w:val="32"/>
          <w:szCs w:val="32"/>
        </w:rPr>
        <w:t>基金</w:t>
      </w:r>
      <w:r>
        <w:rPr>
          <w:rFonts w:hint="eastAsia" w:ascii="仿宋_GB2312" w:hAnsi="微软雅黑" w:eastAsia="仿宋_GB2312"/>
          <w:color w:val="auto"/>
          <w:sz w:val="32"/>
          <w:szCs w:val="32"/>
          <w:lang w:eastAsia="zh-CN"/>
        </w:rPr>
        <w:t>监管</w:t>
      </w:r>
      <w:r>
        <w:rPr>
          <w:rFonts w:hint="eastAsia" w:ascii="仿宋_GB2312" w:hAnsi="微软雅黑" w:eastAsia="仿宋_GB2312" w:cs="宋体"/>
          <w:color w:val="auto"/>
          <w:sz w:val="32"/>
          <w:szCs w:val="32"/>
          <w:lang w:eastAsia="zh-CN"/>
        </w:rPr>
        <w:t>信用管理系统</w:t>
      </w:r>
      <w:r>
        <w:rPr>
          <w:rFonts w:hint="eastAsia" w:ascii="仿宋_GB2312" w:hAnsi="微软雅黑" w:eastAsia="仿宋_GB2312"/>
          <w:color w:val="auto"/>
          <w:sz w:val="32"/>
          <w:szCs w:val="32"/>
        </w:rPr>
        <w:t>围绕信用管理的全流程，整合</w:t>
      </w:r>
      <w:r>
        <w:rPr>
          <w:rFonts w:hint="eastAsia" w:ascii="仿宋_GB2312" w:hAnsi="微软雅黑" w:eastAsia="仿宋_GB2312"/>
          <w:color w:val="auto"/>
          <w:sz w:val="32"/>
          <w:szCs w:val="32"/>
          <w:lang w:eastAsia="zh-CN"/>
        </w:rPr>
        <w:t>医保</w:t>
      </w:r>
      <w:r>
        <w:rPr>
          <w:rFonts w:hint="eastAsia" w:ascii="仿宋_GB2312" w:hAnsi="微软雅黑" w:eastAsia="仿宋_GB2312"/>
          <w:color w:val="auto"/>
          <w:sz w:val="32"/>
          <w:szCs w:val="32"/>
        </w:rPr>
        <w:t>基金监管领域各种信用信息资源，设立</w:t>
      </w:r>
      <w:r>
        <w:rPr>
          <w:rFonts w:hint="eastAsia" w:ascii="仿宋_GB2312" w:hAnsi="微软雅黑" w:eastAsia="仿宋_GB2312"/>
          <w:color w:val="auto"/>
          <w:sz w:val="32"/>
          <w:szCs w:val="32"/>
          <w:lang w:eastAsia="zh-CN"/>
        </w:rPr>
        <w:t>医保</w:t>
      </w:r>
      <w:r>
        <w:rPr>
          <w:rFonts w:hint="eastAsia" w:ascii="仿宋_GB2312" w:hAnsi="微软雅黑" w:eastAsia="仿宋_GB2312"/>
          <w:color w:val="auto"/>
          <w:sz w:val="32"/>
          <w:szCs w:val="32"/>
        </w:rPr>
        <w:t>基金监管信用领域所有信用主体的信用档案、管理模块，实现信用信息的电子化</w:t>
      </w:r>
      <w:r>
        <w:rPr>
          <w:rFonts w:hint="eastAsia" w:ascii="仿宋_GB2312" w:hAnsi="微软雅黑" w:eastAsia="仿宋_GB2312"/>
          <w:color w:val="auto"/>
          <w:sz w:val="32"/>
          <w:szCs w:val="32"/>
          <w:lang w:eastAsia="zh-CN"/>
        </w:rPr>
        <w:t>归</w:t>
      </w:r>
      <w:r>
        <w:rPr>
          <w:rFonts w:hint="eastAsia" w:ascii="仿宋_GB2312" w:hAnsi="微软雅黑" w:eastAsia="仿宋_GB2312"/>
          <w:color w:val="auto"/>
          <w:sz w:val="32"/>
          <w:szCs w:val="32"/>
        </w:rPr>
        <w:t>集、记录、存储和应用。</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color w:val="auto"/>
          <w:sz w:val="32"/>
          <w:szCs w:val="32"/>
          <w:lang w:eastAsia="zh-CN"/>
        </w:rPr>
      </w:pPr>
      <w:r>
        <w:rPr>
          <w:rFonts w:hint="eastAsia" w:ascii="黑体" w:hAnsi="黑体" w:eastAsia="黑体" w:cs="宋体"/>
          <w:b w:val="0"/>
          <w:bCs w:val="0"/>
          <w:color w:val="auto"/>
          <w:sz w:val="32"/>
          <w:szCs w:val="32"/>
        </w:rPr>
        <w:t>第</w:t>
      </w:r>
      <w:r>
        <w:rPr>
          <w:rFonts w:hint="eastAsia" w:ascii="黑体" w:hAnsi="黑体" w:eastAsia="黑体" w:cs="宋体"/>
          <w:b w:val="0"/>
          <w:bCs w:val="0"/>
          <w:color w:val="auto"/>
          <w:sz w:val="32"/>
          <w:szCs w:val="32"/>
          <w:lang w:eastAsia="zh-CN"/>
        </w:rPr>
        <w:t>七</w:t>
      </w:r>
      <w:r>
        <w:rPr>
          <w:rFonts w:hint="eastAsia" w:ascii="黑体" w:hAnsi="黑体" w:eastAsia="黑体" w:cs="宋体"/>
          <w:b w:val="0"/>
          <w:bCs w:val="0"/>
          <w:color w:val="auto"/>
          <w:sz w:val="32"/>
          <w:szCs w:val="32"/>
        </w:rPr>
        <w:t>条</w:t>
      </w:r>
      <w:r>
        <w:rPr>
          <w:rFonts w:hint="eastAsia" w:ascii="黑体" w:hAnsi="黑体" w:eastAsia="黑体" w:cs="宋体"/>
          <w:color w:val="auto"/>
          <w:sz w:val="32"/>
          <w:szCs w:val="32"/>
        </w:rPr>
        <w:t>【</w:t>
      </w:r>
      <w:r>
        <w:rPr>
          <w:rFonts w:hint="eastAsia" w:ascii="黑体" w:hAnsi="黑体" w:eastAsia="黑体" w:cs="宋体"/>
          <w:color w:val="auto"/>
          <w:sz w:val="32"/>
          <w:szCs w:val="32"/>
          <w:lang w:eastAsia="zh-CN"/>
        </w:rPr>
        <w:t>社会参与</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 xml:space="preserve"> </w:t>
      </w:r>
      <w:r>
        <w:rPr>
          <w:rFonts w:hint="eastAsia" w:ascii="仿宋_GB2312" w:hAnsi="微软雅黑" w:eastAsia="仿宋_GB2312" w:cs="宋体"/>
          <w:color w:val="auto"/>
          <w:sz w:val="32"/>
          <w:szCs w:val="32"/>
          <w:lang w:eastAsia="zh-CN"/>
        </w:rPr>
        <w:t>各级医保行政部门可与经国务院征信业监督管理部门许可或备案的第三方信用服务机构开展信用评价合作。</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b w:val="0"/>
          <w:bCs w:val="0"/>
          <w:color w:val="auto"/>
          <w:sz w:val="32"/>
          <w:szCs w:val="32"/>
        </w:rPr>
      </w:pPr>
      <w:r>
        <w:rPr>
          <w:rFonts w:hint="eastAsia" w:ascii="仿宋_GB2312" w:hAnsi="微软雅黑" w:eastAsia="仿宋_GB2312" w:cs="宋体"/>
          <w:color w:val="auto"/>
          <w:sz w:val="32"/>
          <w:szCs w:val="32"/>
        </w:rPr>
        <w:t>鼓励各</w:t>
      </w:r>
      <w:r>
        <w:rPr>
          <w:rFonts w:hint="eastAsia" w:ascii="仿宋_GB2312" w:hAnsi="微软雅黑" w:eastAsia="仿宋_GB2312" w:cs="宋体"/>
          <w:color w:val="auto"/>
          <w:sz w:val="32"/>
          <w:szCs w:val="32"/>
          <w:lang w:eastAsia="zh-CN"/>
        </w:rPr>
        <w:t>医保</w:t>
      </w:r>
      <w:r>
        <w:rPr>
          <w:rFonts w:hint="eastAsia" w:ascii="仿宋_GB2312" w:hAnsi="微软雅黑" w:eastAsia="仿宋_GB2312" w:cs="宋体"/>
          <w:color w:val="auto"/>
          <w:sz w:val="32"/>
          <w:szCs w:val="32"/>
        </w:rPr>
        <w:t>行业协会建立信用管理和教育制度，</w:t>
      </w:r>
      <w:r>
        <w:rPr>
          <w:rFonts w:hint="eastAsia" w:ascii="仿宋_GB2312" w:hAnsi="微软雅黑" w:eastAsia="仿宋_GB2312" w:cs="宋体"/>
          <w:b w:val="0"/>
          <w:bCs w:val="0"/>
          <w:color w:val="auto"/>
          <w:sz w:val="32"/>
          <w:szCs w:val="32"/>
        </w:rPr>
        <w:t>开展信用知识培训和诚信创建活动。</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s="宋体"/>
          <w:b w:val="0"/>
          <w:bCs w:val="0"/>
          <w:color w:val="auto"/>
          <w:sz w:val="32"/>
          <w:szCs w:val="32"/>
          <w:lang w:eastAsia="zh-CN"/>
        </w:rPr>
      </w:pPr>
      <w:r>
        <w:rPr>
          <w:rFonts w:hint="eastAsia" w:ascii="仿宋_GB2312" w:hAnsi="微软雅黑" w:eastAsia="仿宋_GB2312" w:cs="宋体"/>
          <w:b w:val="0"/>
          <w:bCs w:val="0"/>
          <w:color w:val="auto"/>
          <w:sz w:val="32"/>
          <w:szCs w:val="32"/>
          <w:lang w:eastAsia="zh-CN"/>
        </w:rPr>
        <w:t>鼓励各类市场主体广泛、主动应用信用报告。</w:t>
      </w:r>
    </w:p>
    <w:p>
      <w:pPr>
        <w:pStyle w:val="2"/>
        <w:shd w:val="clear" w:color="auto" w:fill="FFFFFF"/>
        <w:spacing w:before="0" w:beforeAutospacing="0" w:after="0" w:afterAutospacing="0" w:line="560" w:lineRule="exact"/>
        <w:jc w:val="center"/>
        <w:textAlignment w:val="baseline"/>
        <w:rPr>
          <w:rStyle w:val="5"/>
          <w:rFonts w:hint="eastAsia" w:ascii="黑体" w:hAnsi="黑体" w:eastAsia="黑体"/>
          <w:b w:val="0"/>
          <w:bCs w:val="0"/>
          <w:color w:val="auto"/>
          <w:sz w:val="32"/>
          <w:szCs w:val="32"/>
        </w:rPr>
      </w:pPr>
    </w:p>
    <w:p>
      <w:pPr>
        <w:pStyle w:val="2"/>
        <w:shd w:val="clear" w:color="auto" w:fill="FFFFFF"/>
        <w:spacing w:before="0" w:beforeAutospacing="0" w:after="0" w:afterAutospacing="0" w:line="560" w:lineRule="exact"/>
        <w:jc w:val="center"/>
        <w:textAlignment w:val="baseline"/>
        <w:rPr>
          <w:rStyle w:val="5"/>
          <w:rFonts w:hint="eastAsia" w:ascii="黑体" w:hAnsi="黑体" w:eastAsia="黑体"/>
          <w:b w:val="0"/>
          <w:bCs w:val="0"/>
          <w:color w:val="auto"/>
          <w:sz w:val="32"/>
          <w:szCs w:val="32"/>
          <w:lang w:eastAsia="zh-CN"/>
        </w:rPr>
      </w:pPr>
      <w:r>
        <w:rPr>
          <w:rStyle w:val="5"/>
          <w:rFonts w:hint="eastAsia" w:ascii="黑体" w:hAnsi="黑体" w:eastAsia="黑体"/>
          <w:b w:val="0"/>
          <w:bCs w:val="0"/>
          <w:color w:val="auto"/>
          <w:kern w:val="2"/>
          <w:sz w:val="32"/>
          <w:szCs w:val="32"/>
          <w:lang w:bidi="ar-SA"/>
        </w:rPr>
        <w:t>第二章</w:t>
      </w:r>
      <w:r>
        <w:rPr>
          <w:rStyle w:val="5"/>
          <w:rFonts w:hint="eastAsia" w:ascii="黑体" w:hAnsi="黑体" w:eastAsia="黑体"/>
          <w:b w:val="0"/>
          <w:bCs w:val="0"/>
          <w:color w:val="auto"/>
          <w:kern w:val="2"/>
          <w:sz w:val="32"/>
          <w:szCs w:val="32"/>
          <w:lang w:val="en-US" w:eastAsia="zh-CN" w:bidi="ar-SA"/>
        </w:rPr>
        <w:t xml:space="preserve">  </w:t>
      </w:r>
      <w:r>
        <w:rPr>
          <w:rStyle w:val="5"/>
          <w:rFonts w:hint="eastAsia" w:ascii="黑体" w:hAnsi="黑体" w:eastAsia="黑体"/>
          <w:b w:val="0"/>
          <w:bCs w:val="0"/>
          <w:color w:val="auto"/>
          <w:kern w:val="2"/>
          <w:sz w:val="32"/>
          <w:szCs w:val="32"/>
          <w:lang w:eastAsia="zh-CN" w:bidi="ar-SA"/>
        </w:rPr>
        <w:t>信息归集</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b w:val="0"/>
          <w:bCs w:val="0"/>
          <w:color w:val="auto"/>
          <w:sz w:val="32"/>
          <w:szCs w:val="32"/>
          <w:lang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八</w:t>
      </w:r>
      <w:r>
        <w:rPr>
          <w:rFonts w:hint="eastAsia" w:ascii="黑体" w:hAnsi="黑体" w:eastAsia="黑体"/>
          <w:color w:val="auto"/>
          <w:sz w:val="32"/>
          <w:szCs w:val="32"/>
        </w:rPr>
        <w:t>条</w:t>
      </w:r>
      <w:r>
        <w:rPr>
          <w:rFonts w:hint="eastAsia" w:ascii="黑体" w:hAnsi="黑体" w:eastAsia="黑体" w:cs="宋体"/>
          <w:color w:val="auto"/>
          <w:sz w:val="32"/>
          <w:szCs w:val="32"/>
        </w:rPr>
        <w:t>【</w:t>
      </w:r>
      <w:r>
        <w:rPr>
          <w:rFonts w:hint="eastAsia" w:ascii="黑体" w:hAnsi="黑体" w:eastAsia="黑体" w:cs="宋体"/>
          <w:color w:val="auto"/>
          <w:sz w:val="32"/>
          <w:szCs w:val="32"/>
          <w:lang w:eastAsia="zh-CN"/>
        </w:rPr>
        <w:t>信息目录</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 xml:space="preserve"> </w:t>
      </w:r>
      <w:r>
        <w:rPr>
          <w:rFonts w:hint="eastAsia" w:ascii="仿宋_GB2312" w:hAnsi="微软雅黑" w:eastAsia="仿宋_GB2312"/>
          <w:color w:val="auto"/>
          <w:sz w:val="32"/>
          <w:szCs w:val="32"/>
          <w:lang w:eastAsia="zh-CN"/>
        </w:rPr>
        <w:t>我省医保基金监管领域</w:t>
      </w:r>
      <w:r>
        <w:rPr>
          <w:rFonts w:hint="eastAsia" w:ascii="仿宋_GB2312" w:hAnsi="微软雅黑" w:eastAsia="仿宋_GB2312"/>
          <w:color w:val="auto"/>
          <w:sz w:val="32"/>
          <w:szCs w:val="32"/>
        </w:rPr>
        <w:t>信用主体</w:t>
      </w:r>
      <w:r>
        <w:rPr>
          <w:rFonts w:hint="eastAsia" w:ascii="仿宋_GB2312" w:hAnsi="微软雅黑" w:eastAsia="仿宋_GB2312"/>
          <w:color w:val="auto"/>
          <w:sz w:val="32"/>
          <w:szCs w:val="32"/>
          <w:lang w:eastAsia="zh-CN"/>
        </w:rPr>
        <w:t>信用信息的归集，</w:t>
      </w:r>
      <w:r>
        <w:rPr>
          <w:rFonts w:hint="eastAsia" w:ascii="仿宋_GB2312" w:hAnsi="微软雅黑" w:eastAsia="仿宋_GB2312"/>
          <w:b w:val="0"/>
          <w:bCs w:val="0"/>
          <w:color w:val="auto"/>
          <w:sz w:val="32"/>
          <w:szCs w:val="32"/>
          <w:lang w:eastAsia="zh-CN"/>
        </w:rPr>
        <w:t>执行国家医保</w:t>
      </w:r>
      <w:r>
        <w:rPr>
          <w:rFonts w:hint="eastAsia" w:ascii="仿宋_GB2312" w:hAnsi="微软雅黑" w:eastAsia="仿宋_GB2312"/>
          <w:b w:val="0"/>
          <w:bCs w:val="0"/>
          <w:color w:val="auto"/>
          <w:sz w:val="32"/>
          <w:szCs w:val="32"/>
          <w:lang w:val="en-US" w:eastAsia="zh-CN"/>
        </w:rPr>
        <w:t>相关规定范围</w:t>
      </w:r>
      <w:r>
        <w:rPr>
          <w:rFonts w:hint="eastAsia" w:ascii="仿宋_GB2312" w:hAnsi="微软雅黑" w:eastAsia="仿宋_GB2312"/>
          <w:b w:val="0"/>
          <w:bCs w:val="0"/>
          <w:color w:val="auto"/>
          <w:sz w:val="32"/>
          <w:szCs w:val="32"/>
          <w:lang w:eastAsia="zh-CN"/>
        </w:rPr>
        <w:t>和我省公共信用信息补充目录，不得超出目录所列范围归集信用信息。</w:t>
      </w:r>
    </w:p>
    <w:p>
      <w:pPr>
        <w:pStyle w:val="2"/>
        <w:shd w:val="clear" w:color="auto" w:fill="FFFFFF"/>
        <w:spacing w:before="0" w:beforeAutospacing="0" w:after="0" w:afterAutospacing="0" w:line="560" w:lineRule="exact"/>
        <w:ind w:firstLine="645"/>
        <w:jc w:val="both"/>
        <w:textAlignment w:val="baseline"/>
        <w:rPr>
          <w:rFonts w:hint="default" w:ascii="仿宋_GB2312" w:hAnsi="微软雅黑" w:eastAsia="黑体"/>
          <w:b w:val="0"/>
          <w:bCs w:val="0"/>
          <w:color w:val="auto"/>
          <w:sz w:val="32"/>
          <w:szCs w:val="32"/>
          <w:lang w:val="en-US" w:eastAsia="zh-CN"/>
        </w:rPr>
      </w:pPr>
      <w:r>
        <w:rPr>
          <w:rFonts w:hint="eastAsia" w:ascii="仿宋_GB2312" w:hAnsi="微软雅黑" w:eastAsia="仿宋_GB2312"/>
          <w:b w:val="0"/>
          <w:bCs w:val="0"/>
          <w:color w:val="auto"/>
          <w:sz w:val="32"/>
          <w:szCs w:val="32"/>
          <w:lang w:val="en-US" w:eastAsia="zh-CN"/>
        </w:rPr>
        <w:t>省级医保部门配合我省社会信用建设牵头单位，编制地方公共信用信息补充目录。</w:t>
      </w:r>
      <w:r>
        <w:rPr>
          <w:rFonts w:hint="eastAsia" w:ascii="仿宋_GB2312" w:hAnsi="微软雅黑" w:eastAsia="仿宋_GB2312"/>
          <w:b w:val="0"/>
          <w:bCs w:val="0"/>
          <w:color w:val="auto"/>
          <w:sz w:val="32"/>
          <w:szCs w:val="32"/>
          <w:lang w:eastAsia="zh-CN"/>
        </w:rPr>
        <w:t>纳入条目和目录的信用信息要逐条明确其对应的具体行为、公开属性、共享范围、归集来源和渠道、更新频次等内容。</w:t>
      </w:r>
    </w:p>
    <w:p>
      <w:pPr>
        <w:pStyle w:val="2"/>
        <w:keepNext w:val="0"/>
        <w:keepLines w:val="0"/>
        <w:widowControl w:val="0"/>
        <w:suppressLineNumbers w:val="0"/>
        <w:spacing w:before="0" w:beforeAutospacing="0" w:after="0" w:afterAutospacing="0" w:line="560" w:lineRule="exact"/>
        <w:ind w:left="0" w:right="0" w:firstLine="643"/>
        <w:jc w:val="both"/>
        <w:rPr>
          <w:rFonts w:hint="eastAsia" w:ascii="仿宋_GB2312" w:hAnsi="微软雅黑" w:eastAsia="仿宋_GB2312" w:cs="宋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九</w:t>
      </w:r>
      <w:r>
        <w:rPr>
          <w:rFonts w:hint="eastAsia" w:ascii="黑体" w:hAnsi="黑体" w:eastAsia="黑体"/>
          <w:color w:val="auto"/>
          <w:sz w:val="32"/>
          <w:szCs w:val="32"/>
        </w:rPr>
        <w:t>条</w:t>
      </w:r>
      <w:r>
        <w:rPr>
          <w:rFonts w:hint="eastAsia" w:ascii="黑体" w:hAnsi="黑体" w:eastAsia="黑体" w:cs="宋体"/>
          <w:color w:val="auto"/>
          <w:sz w:val="32"/>
          <w:szCs w:val="32"/>
        </w:rPr>
        <w:t>【</w:t>
      </w:r>
      <w:r>
        <w:rPr>
          <w:rFonts w:hint="eastAsia" w:ascii="黑体" w:hAnsi="黑体" w:eastAsia="黑体" w:cs="宋体"/>
          <w:color w:val="auto"/>
          <w:sz w:val="32"/>
          <w:szCs w:val="32"/>
          <w:lang w:eastAsia="zh-CN"/>
        </w:rPr>
        <w:t>归集职能</w:t>
      </w:r>
      <w:r>
        <w:rPr>
          <w:rFonts w:hint="eastAsia" w:ascii="黑体" w:hAnsi="黑体" w:eastAsia="黑体" w:cs="宋体"/>
          <w:color w:val="auto"/>
          <w:sz w:val="32"/>
          <w:szCs w:val="32"/>
        </w:rPr>
        <w:t>】</w:t>
      </w:r>
      <w:r>
        <w:rPr>
          <w:rFonts w:hint="eastAsia" w:ascii="黑体" w:hAnsi="黑体" w:eastAsia="黑体"/>
          <w:color w:val="auto"/>
          <w:sz w:val="32"/>
          <w:szCs w:val="32"/>
          <w:lang w:val="en-US" w:eastAsia="zh-CN"/>
        </w:rPr>
        <w:t xml:space="preserve"> </w:t>
      </w:r>
      <w:r>
        <w:rPr>
          <w:rFonts w:hint="eastAsia" w:ascii="仿宋_GB2312" w:hAnsi="微软雅黑" w:eastAsia="仿宋_GB2312" w:cs="宋体"/>
          <w:color w:val="auto"/>
          <w:sz w:val="32"/>
          <w:szCs w:val="32"/>
        </w:rPr>
        <w:t>信用主体的基础信息、</w:t>
      </w:r>
      <w:r>
        <w:rPr>
          <w:rFonts w:hint="eastAsia" w:ascii="仿宋_GB2312" w:hAnsi="微软雅黑" w:eastAsia="仿宋_GB2312" w:cs="宋体"/>
          <w:color w:val="auto"/>
          <w:sz w:val="32"/>
          <w:szCs w:val="32"/>
          <w:lang w:eastAsia="zh-CN"/>
        </w:rPr>
        <w:t>荣誉</w:t>
      </w:r>
      <w:r>
        <w:rPr>
          <w:rFonts w:hint="eastAsia" w:ascii="仿宋_GB2312" w:hAnsi="微软雅黑" w:eastAsia="仿宋_GB2312" w:cs="宋体"/>
          <w:color w:val="auto"/>
          <w:sz w:val="32"/>
          <w:szCs w:val="32"/>
        </w:rPr>
        <w:t>信息由信用主体</w:t>
      </w:r>
      <w:r>
        <w:rPr>
          <w:rFonts w:hint="eastAsia" w:ascii="仿宋_GB2312" w:hAnsi="微软雅黑" w:eastAsia="仿宋_GB2312" w:cs="宋体"/>
          <w:color w:val="auto"/>
          <w:sz w:val="32"/>
          <w:szCs w:val="32"/>
          <w:lang w:eastAsia="zh-CN"/>
        </w:rPr>
        <w:t>提供</w:t>
      </w:r>
      <w:r>
        <w:rPr>
          <w:rFonts w:hint="eastAsia" w:ascii="仿宋_GB2312" w:hAnsi="微软雅黑" w:eastAsia="仿宋_GB2312" w:cs="宋体"/>
          <w:color w:val="auto"/>
          <w:sz w:val="32"/>
          <w:szCs w:val="32"/>
        </w:rPr>
        <w:t>。行政处理相关信息和公共信用信息主要由</w:t>
      </w:r>
      <w:r>
        <w:rPr>
          <w:rFonts w:hint="eastAsia" w:ascii="仿宋_GB2312" w:hAnsi="微软雅黑" w:eastAsia="仿宋_GB2312" w:cs="宋体"/>
          <w:color w:val="auto"/>
          <w:sz w:val="32"/>
          <w:szCs w:val="32"/>
          <w:lang w:eastAsia="zh-CN"/>
        </w:rPr>
        <w:t>医保</w:t>
      </w:r>
      <w:r>
        <w:rPr>
          <w:rFonts w:hint="eastAsia" w:ascii="仿宋_GB2312" w:hAnsi="微软雅黑" w:eastAsia="仿宋_GB2312" w:cs="宋体"/>
          <w:color w:val="auto"/>
          <w:sz w:val="32"/>
          <w:szCs w:val="32"/>
        </w:rPr>
        <w:t>行政部门</w:t>
      </w:r>
      <w:r>
        <w:rPr>
          <w:rFonts w:hint="eastAsia" w:ascii="仿宋_GB2312" w:hAnsi="微软雅黑" w:eastAsia="仿宋_GB2312" w:cs="宋体"/>
          <w:color w:val="auto"/>
          <w:sz w:val="32"/>
          <w:szCs w:val="32"/>
          <w:lang w:eastAsia="zh-CN"/>
        </w:rPr>
        <w:t>归</w:t>
      </w:r>
      <w:r>
        <w:rPr>
          <w:rFonts w:hint="eastAsia" w:ascii="仿宋_GB2312" w:hAnsi="微软雅黑" w:eastAsia="仿宋_GB2312" w:cs="宋体"/>
          <w:color w:val="auto"/>
          <w:sz w:val="32"/>
          <w:szCs w:val="32"/>
        </w:rPr>
        <w:t>集，协议履约相关信息由</w:t>
      </w:r>
      <w:r>
        <w:rPr>
          <w:rFonts w:hint="eastAsia" w:ascii="仿宋_GB2312" w:hAnsi="微软雅黑" w:eastAsia="仿宋_GB2312" w:cs="宋体"/>
          <w:color w:val="auto"/>
          <w:sz w:val="32"/>
          <w:szCs w:val="32"/>
          <w:lang w:eastAsia="zh-CN"/>
        </w:rPr>
        <w:t>医保</w:t>
      </w:r>
      <w:r>
        <w:rPr>
          <w:rFonts w:hint="eastAsia" w:ascii="仿宋_GB2312" w:hAnsi="微软雅黑" w:eastAsia="仿宋_GB2312" w:cs="宋体"/>
          <w:color w:val="auto"/>
          <w:sz w:val="32"/>
          <w:szCs w:val="32"/>
        </w:rPr>
        <w:t>经办机构</w:t>
      </w:r>
      <w:r>
        <w:rPr>
          <w:rFonts w:hint="eastAsia" w:ascii="仿宋_GB2312" w:hAnsi="微软雅黑" w:eastAsia="仿宋_GB2312" w:cs="宋体"/>
          <w:color w:val="auto"/>
          <w:sz w:val="32"/>
          <w:szCs w:val="32"/>
          <w:lang w:eastAsia="zh-CN"/>
        </w:rPr>
        <w:t>归</w:t>
      </w:r>
      <w:r>
        <w:rPr>
          <w:rFonts w:hint="eastAsia" w:ascii="仿宋_GB2312" w:hAnsi="微软雅黑" w:eastAsia="仿宋_GB2312" w:cs="宋体"/>
          <w:color w:val="auto"/>
          <w:sz w:val="32"/>
          <w:szCs w:val="32"/>
        </w:rPr>
        <w:t>集。</w:t>
      </w:r>
    </w:p>
    <w:p>
      <w:pPr>
        <w:pStyle w:val="2"/>
        <w:shd w:val="clear" w:color="auto" w:fill="FFFFFF"/>
        <w:spacing w:before="0" w:beforeAutospacing="0" w:after="0" w:afterAutospacing="0" w:line="560" w:lineRule="exact"/>
        <w:ind w:firstLine="640" w:firstLineChars="200"/>
        <w:jc w:val="both"/>
        <w:textAlignment w:val="baseline"/>
        <w:rPr>
          <w:rFonts w:ascii="仿宋_GB2312" w:hAnsi="微软雅黑" w:eastAsia="仿宋_GB2312"/>
          <w:color w:val="auto"/>
          <w:sz w:val="32"/>
          <w:szCs w:val="32"/>
        </w:rPr>
      </w:pPr>
      <w:r>
        <w:rPr>
          <w:rFonts w:hint="eastAsia" w:ascii="黑体" w:hAnsi="黑体" w:eastAsia="黑体"/>
          <w:color w:val="auto"/>
          <w:sz w:val="32"/>
          <w:szCs w:val="32"/>
        </w:rPr>
        <w:t>第十条【</w:t>
      </w:r>
      <w:r>
        <w:rPr>
          <w:rFonts w:hint="eastAsia" w:ascii="黑体" w:hAnsi="黑体" w:eastAsia="黑体"/>
          <w:color w:val="auto"/>
          <w:sz w:val="32"/>
          <w:szCs w:val="32"/>
          <w:lang w:eastAsia="zh-CN"/>
        </w:rPr>
        <w:t>归</w:t>
      </w:r>
      <w:r>
        <w:rPr>
          <w:rFonts w:hint="eastAsia" w:ascii="黑体" w:hAnsi="黑体" w:eastAsia="黑体"/>
          <w:color w:val="auto"/>
          <w:sz w:val="32"/>
          <w:szCs w:val="32"/>
        </w:rPr>
        <w:t xml:space="preserve">集途径】 </w:t>
      </w:r>
      <w:r>
        <w:rPr>
          <w:rFonts w:hint="eastAsia" w:ascii="仿宋_GB2312" w:hAnsi="微软雅黑" w:eastAsia="仿宋_GB2312"/>
          <w:color w:val="auto"/>
          <w:sz w:val="32"/>
          <w:szCs w:val="32"/>
          <w:lang w:eastAsia="zh-CN"/>
        </w:rPr>
        <w:t>医保</w:t>
      </w:r>
      <w:r>
        <w:rPr>
          <w:rFonts w:hint="eastAsia" w:ascii="仿宋_GB2312" w:hAnsi="微软雅黑" w:eastAsia="仿宋_GB2312"/>
          <w:color w:val="auto"/>
          <w:sz w:val="32"/>
          <w:szCs w:val="32"/>
        </w:rPr>
        <w:t>基金监管信用信息</w:t>
      </w:r>
      <w:r>
        <w:rPr>
          <w:rFonts w:hint="eastAsia" w:ascii="仿宋_GB2312" w:hAnsi="微软雅黑" w:eastAsia="仿宋_GB2312"/>
          <w:color w:val="auto"/>
          <w:sz w:val="32"/>
          <w:szCs w:val="32"/>
          <w:lang w:eastAsia="zh-CN"/>
        </w:rPr>
        <w:t>归集</w:t>
      </w:r>
      <w:r>
        <w:rPr>
          <w:rFonts w:hint="eastAsia" w:ascii="仿宋_GB2312" w:hAnsi="微软雅黑" w:eastAsia="仿宋_GB2312"/>
          <w:color w:val="auto"/>
          <w:sz w:val="32"/>
          <w:szCs w:val="32"/>
        </w:rPr>
        <w:t>途径包括：</w:t>
      </w:r>
    </w:p>
    <w:p>
      <w:pPr>
        <w:pStyle w:val="2"/>
        <w:numPr>
          <w:ilvl w:val="0"/>
          <w:numId w:val="0"/>
        </w:numPr>
        <w:shd w:val="clear" w:color="auto" w:fill="FFFFFF"/>
        <w:spacing w:before="0" w:beforeAutospacing="0" w:after="0" w:afterAutospacing="0" w:line="560" w:lineRule="exact"/>
        <w:ind w:left="0" w:firstLine="640" w:firstLineChars="200"/>
        <w:jc w:val="both"/>
        <w:textAlignment w:val="baseline"/>
        <w:rPr>
          <w:rFonts w:ascii="仿宋_GB2312" w:hAnsi="微软雅黑" w:eastAsia="仿宋_GB2312"/>
          <w:color w:val="auto"/>
          <w:sz w:val="32"/>
          <w:szCs w:val="32"/>
        </w:rPr>
      </w:pPr>
      <w:r>
        <w:rPr>
          <w:rFonts w:hint="eastAsia" w:ascii="仿宋_GB2312" w:hAnsi="微软雅黑" w:eastAsia="仿宋_GB2312"/>
          <w:color w:val="auto"/>
          <w:sz w:val="32"/>
          <w:szCs w:val="32"/>
          <w:lang w:eastAsia="zh-CN"/>
        </w:rPr>
        <w:t>（一）</w:t>
      </w:r>
      <w:r>
        <w:rPr>
          <w:rFonts w:hint="eastAsia" w:ascii="仿宋_GB2312" w:hAnsi="微软雅黑" w:eastAsia="仿宋_GB2312"/>
          <w:color w:val="auto"/>
          <w:sz w:val="32"/>
          <w:szCs w:val="32"/>
        </w:rPr>
        <w:t>主动申报；</w:t>
      </w:r>
    </w:p>
    <w:p>
      <w:pPr>
        <w:pStyle w:val="2"/>
        <w:numPr>
          <w:ilvl w:val="0"/>
          <w:numId w:val="0"/>
        </w:numPr>
        <w:shd w:val="clear" w:color="auto" w:fill="FFFFFF"/>
        <w:spacing w:before="0" w:beforeAutospacing="0" w:after="0" w:afterAutospacing="0" w:line="560" w:lineRule="exact"/>
        <w:ind w:left="645" w:firstLine="0"/>
        <w:jc w:val="both"/>
        <w:textAlignment w:val="baseline"/>
        <w:rPr>
          <w:rFonts w:ascii="仿宋_GB2312" w:hAnsi="微软雅黑" w:eastAsia="仿宋_GB2312"/>
          <w:color w:val="auto"/>
          <w:sz w:val="32"/>
          <w:szCs w:val="32"/>
        </w:rPr>
      </w:pPr>
      <w:r>
        <w:rPr>
          <w:rFonts w:hint="eastAsia" w:ascii="仿宋_GB2312" w:hAnsi="微软雅黑" w:eastAsia="仿宋_GB2312"/>
          <w:color w:val="auto"/>
          <w:sz w:val="32"/>
          <w:szCs w:val="32"/>
          <w:lang w:eastAsia="zh-CN"/>
        </w:rPr>
        <w:t>（二）</w:t>
      </w:r>
      <w:r>
        <w:rPr>
          <w:rFonts w:hint="eastAsia" w:ascii="仿宋_GB2312" w:hAnsi="微软雅黑" w:eastAsia="仿宋_GB2312"/>
          <w:color w:val="auto"/>
          <w:sz w:val="32"/>
          <w:szCs w:val="32"/>
        </w:rPr>
        <w:t>从</w:t>
      </w:r>
      <w:r>
        <w:rPr>
          <w:rFonts w:hint="eastAsia" w:ascii="仿宋_GB2312" w:hAnsi="微软雅黑" w:eastAsia="仿宋_GB2312"/>
          <w:color w:val="auto"/>
          <w:sz w:val="32"/>
          <w:szCs w:val="32"/>
          <w:lang w:eastAsia="zh-CN"/>
        </w:rPr>
        <w:t>医保</w:t>
      </w:r>
      <w:r>
        <w:rPr>
          <w:rFonts w:hint="eastAsia" w:ascii="仿宋_GB2312" w:hAnsi="微软雅黑" w:eastAsia="仿宋_GB2312"/>
          <w:color w:val="auto"/>
          <w:sz w:val="32"/>
          <w:szCs w:val="32"/>
        </w:rPr>
        <w:t>信息</w:t>
      </w:r>
      <w:r>
        <w:rPr>
          <w:rFonts w:hint="eastAsia" w:ascii="仿宋_GB2312" w:hAnsi="微软雅黑" w:eastAsia="仿宋_GB2312"/>
          <w:color w:val="auto"/>
          <w:sz w:val="32"/>
          <w:szCs w:val="32"/>
          <w:lang w:eastAsia="zh-CN"/>
        </w:rPr>
        <w:t>系统获取</w:t>
      </w:r>
      <w:r>
        <w:rPr>
          <w:rFonts w:hint="eastAsia" w:ascii="仿宋_GB2312" w:hAnsi="微软雅黑" w:eastAsia="仿宋_GB2312"/>
          <w:color w:val="auto"/>
          <w:sz w:val="32"/>
          <w:szCs w:val="32"/>
        </w:rPr>
        <w:t>；</w:t>
      </w:r>
    </w:p>
    <w:p>
      <w:pPr>
        <w:pStyle w:val="2"/>
        <w:numPr>
          <w:ilvl w:val="0"/>
          <w:numId w:val="0"/>
        </w:numPr>
        <w:shd w:val="clear" w:color="auto" w:fill="FFFFFF"/>
        <w:spacing w:before="0" w:beforeAutospacing="0" w:after="0" w:afterAutospacing="0" w:line="560" w:lineRule="exact"/>
        <w:ind w:left="645" w:firstLine="0"/>
        <w:jc w:val="both"/>
        <w:textAlignment w:val="baseline"/>
        <w:rPr>
          <w:rFonts w:ascii="Times New Roman" w:hAnsi="Times New Roman" w:eastAsia="仿宋_GB2312" w:cs="Times New Roman"/>
          <w:color w:val="auto"/>
          <w:sz w:val="32"/>
          <w:szCs w:val="32"/>
        </w:rPr>
      </w:pPr>
      <w:r>
        <w:rPr>
          <w:rFonts w:hint="eastAsia" w:ascii="仿宋_GB2312" w:hAnsi="微软雅黑" w:eastAsia="仿宋_GB2312"/>
          <w:color w:val="auto"/>
          <w:sz w:val="32"/>
          <w:szCs w:val="32"/>
          <w:lang w:eastAsia="zh-CN"/>
        </w:rPr>
        <w:t>（三）</w:t>
      </w:r>
      <w:r>
        <w:rPr>
          <w:rFonts w:ascii="Times New Roman" w:hAnsi="Times New Roman" w:eastAsia="仿宋_GB2312" w:cs="Times New Roman"/>
          <w:color w:val="auto"/>
          <w:sz w:val="32"/>
          <w:szCs w:val="32"/>
        </w:rPr>
        <w:t>从</w:t>
      </w:r>
      <w:r>
        <w:rPr>
          <w:rFonts w:hint="eastAsia" w:ascii="仿宋_GB2312" w:hAnsi="微软雅黑" w:eastAsia="仿宋_GB2312"/>
          <w:color w:val="auto"/>
          <w:sz w:val="32"/>
          <w:szCs w:val="32"/>
        </w:rPr>
        <w:t>海南自由贸易港信用信息共享平台</w:t>
      </w:r>
      <w:r>
        <w:rPr>
          <w:rFonts w:ascii="Times New Roman" w:hAnsi="Times New Roman" w:eastAsia="仿宋_GB2312" w:cs="Times New Roman"/>
          <w:color w:val="auto"/>
          <w:sz w:val="32"/>
          <w:szCs w:val="32"/>
        </w:rPr>
        <w:t>数据共享；</w:t>
      </w:r>
    </w:p>
    <w:p>
      <w:pPr>
        <w:pStyle w:val="2"/>
        <w:numPr>
          <w:ilvl w:val="0"/>
          <w:numId w:val="0"/>
        </w:numPr>
        <w:shd w:val="clear" w:color="auto" w:fill="FFFFFF"/>
        <w:spacing w:before="0" w:beforeAutospacing="0" w:after="0" w:afterAutospacing="0" w:line="560" w:lineRule="exact"/>
        <w:ind w:left="645" w:firstLine="0"/>
        <w:jc w:val="both"/>
        <w:textAlignment w:val="baseline"/>
        <w:rPr>
          <w:rFonts w:ascii="Times New Roman" w:hAnsi="Times New Roman" w:eastAsia="仿宋_GB2312" w:cs="Times New Roman"/>
          <w:color w:val="auto"/>
          <w:sz w:val="32"/>
          <w:szCs w:val="32"/>
        </w:rPr>
      </w:pPr>
      <w:r>
        <w:rPr>
          <w:rFonts w:hint="eastAsia" w:ascii="仿宋_GB2312" w:hAnsi="微软雅黑" w:eastAsia="仿宋_GB2312"/>
          <w:color w:val="auto"/>
          <w:sz w:val="32"/>
          <w:szCs w:val="32"/>
          <w:lang w:eastAsia="zh-CN"/>
        </w:rPr>
        <w:t>（四）</w:t>
      </w:r>
      <w:r>
        <w:rPr>
          <w:rFonts w:hint="eastAsia" w:ascii="Times New Roman" w:hAnsi="Times New Roman" w:eastAsia="仿宋_GB2312" w:cs="Times New Roman"/>
          <w:color w:val="auto"/>
          <w:sz w:val="32"/>
          <w:szCs w:val="32"/>
        </w:rPr>
        <w:t>其他符合规定的</w:t>
      </w:r>
      <w:r>
        <w:rPr>
          <w:rFonts w:hint="eastAsia" w:ascii="Times New Roman" w:hAnsi="Times New Roman" w:eastAsia="仿宋_GB2312" w:cs="Times New Roman"/>
          <w:color w:val="auto"/>
          <w:sz w:val="32"/>
          <w:szCs w:val="32"/>
          <w:lang w:eastAsia="zh-CN"/>
        </w:rPr>
        <w:t>归</w:t>
      </w:r>
      <w:r>
        <w:rPr>
          <w:rFonts w:hint="eastAsia" w:ascii="Times New Roman" w:hAnsi="Times New Roman" w:eastAsia="仿宋_GB2312" w:cs="Times New Roman"/>
          <w:color w:val="auto"/>
          <w:sz w:val="32"/>
          <w:szCs w:val="32"/>
        </w:rPr>
        <w:t>集途径。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auto"/>
          <w:sz w:val="32"/>
          <w:szCs w:val="32"/>
          <w:lang w:eastAsia="zh-CN"/>
        </w:rPr>
      </w:pPr>
      <w:r>
        <w:rPr>
          <w:rFonts w:hint="eastAsia" w:ascii="仿宋_GB2312" w:hAnsi="微软雅黑" w:eastAsia="仿宋_GB2312"/>
          <w:color w:val="auto"/>
          <w:sz w:val="32"/>
          <w:szCs w:val="32"/>
          <w:lang w:eastAsia="zh-CN"/>
        </w:rPr>
        <w:t>医保</w:t>
      </w:r>
      <w:r>
        <w:rPr>
          <w:rFonts w:hint="eastAsia" w:ascii="仿宋_GB2312" w:hAnsi="微软雅黑" w:eastAsia="仿宋_GB2312"/>
          <w:color w:val="auto"/>
          <w:sz w:val="32"/>
          <w:szCs w:val="32"/>
        </w:rPr>
        <w:t>基金</w:t>
      </w:r>
      <w:r>
        <w:rPr>
          <w:rFonts w:hint="eastAsia" w:ascii="仿宋_GB2312" w:hAnsi="微软雅黑" w:eastAsia="仿宋_GB2312"/>
          <w:color w:val="auto"/>
          <w:sz w:val="32"/>
          <w:szCs w:val="32"/>
          <w:lang w:eastAsia="zh-CN"/>
        </w:rPr>
        <w:t>监管</w:t>
      </w:r>
      <w:r>
        <w:rPr>
          <w:rFonts w:hint="eastAsia" w:ascii="仿宋_GB2312" w:hAnsi="微软雅黑" w:eastAsia="仿宋_GB2312"/>
          <w:color w:val="auto"/>
          <w:sz w:val="32"/>
          <w:szCs w:val="32"/>
        </w:rPr>
        <w:t>信用</w:t>
      </w:r>
      <w:r>
        <w:rPr>
          <w:rFonts w:hint="eastAsia" w:ascii="仿宋_GB2312" w:hAnsi="微软雅黑" w:eastAsia="仿宋_GB2312" w:cs="宋体"/>
          <w:color w:val="auto"/>
          <w:sz w:val="32"/>
          <w:szCs w:val="32"/>
          <w:lang w:eastAsia="zh-CN"/>
        </w:rPr>
        <w:t>管理系统</w:t>
      </w:r>
      <w:r>
        <w:rPr>
          <w:rFonts w:hint="eastAsia" w:ascii="仿宋_GB2312" w:hAnsi="微软雅黑" w:eastAsia="仿宋_GB2312"/>
          <w:color w:val="auto"/>
          <w:sz w:val="32"/>
          <w:szCs w:val="32"/>
          <w:lang w:eastAsia="zh-CN"/>
        </w:rPr>
        <w:t>通过医保</w:t>
      </w:r>
      <w:r>
        <w:rPr>
          <w:rFonts w:hint="eastAsia" w:ascii="仿宋_GB2312" w:hAnsi="微软雅黑" w:eastAsia="仿宋_GB2312"/>
          <w:color w:val="auto"/>
          <w:sz w:val="32"/>
          <w:szCs w:val="32"/>
        </w:rPr>
        <w:t>信息</w:t>
      </w:r>
      <w:r>
        <w:rPr>
          <w:rFonts w:hint="eastAsia" w:ascii="仿宋_GB2312" w:hAnsi="微软雅黑" w:eastAsia="仿宋_GB2312"/>
          <w:color w:val="auto"/>
          <w:sz w:val="32"/>
          <w:szCs w:val="32"/>
          <w:lang w:eastAsia="zh-CN"/>
        </w:rPr>
        <w:t>系统自动抓取归集行政执法、协议管理及其它相关平台共享数据。</w:t>
      </w:r>
    </w:p>
    <w:p>
      <w:pPr>
        <w:pStyle w:val="2"/>
        <w:shd w:val="clear" w:color="auto" w:fill="FFFFFF"/>
        <w:spacing w:before="0" w:beforeAutospacing="0" w:after="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一</w:t>
      </w:r>
      <w:r>
        <w:rPr>
          <w:rFonts w:hint="eastAsia" w:ascii="黑体" w:hAnsi="黑体" w:eastAsia="黑体"/>
          <w:color w:val="auto"/>
          <w:sz w:val="32"/>
          <w:szCs w:val="32"/>
        </w:rPr>
        <w:t>条</w:t>
      </w:r>
      <w:r>
        <w:rPr>
          <w:rFonts w:hint="eastAsia" w:ascii="黑体" w:hAnsi="黑体" w:eastAsia="黑体" w:cs="宋体"/>
          <w:color w:val="auto"/>
          <w:sz w:val="32"/>
          <w:szCs w:val="32"/>
        </w:rPr>
        <w:t>【</w:t>
      </w:r>
      <w:r>
        <w:rPr>
          <w:rFonts w:hint="eastAsia" w:ascii="黑体" w:hAnsi="黑体" w:eastAsia="黑体"/>
          <w:color w:val="auto"/>
          <w:sz w:val="32"/>
          <w:szCs w:val="32"/>
        </w:rPr>
        <w:t>信息责任</w:t>
      </w:r>
      <w:r>
        <w:rPr>
          <w:rFonts w:hint="eastAsia" w:ascii="黑体" w:hAnsi="黑体" w:eastAsia="黑体" w:cs="宋体"/>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按照“谁</w:t>
      </w:r>
      <w:r>
        <w:rPr>
          <w:rFonts w:hint="eastAsia" w:ascii="仿宋_GB2312" w:hAnsi="仿宋_GB2312" w:eastAsia="仿宋_GB2312" w:cs="仿宋_GB2312"/>
          <w:color w:val="auto"/>
          <w:sz w:val="32"/>
          <w:szCs w:val="32"/>
          <w:lang w:eastAsia="zh-CN"/>
        </w:rPr>
        <w:t>提供</w:t>
      </w:r>
      <w:r>
        <w:rPr>
          <w:rFonts w:hint="eastAsia" w:ascii="仿宋_GB2312" w:hAnsi="仿宋_GB2312" w:eastAsia="仿宋_GB2312" w:cs="仿宋_GB2312"/>
          <w:color w:val="auto"/>
          <w:sz w:val="32"/>
          <w:szCs w:val="32"/>
        </w:rPr>
        <w:t>、谁负责，</w:t>
      </w:r>
      <w:r>
        <w:rPr>
          <w:rFonts w:hint="eastAsia" w:ascii="仿宋_GB2312" w:hAnsi="仿宋_GB2312" w:eastAsia="仿宋_GB2312" w:cs="仿宋_GB2312"/>
          <w:color w:val="auto"/>
          <w:sz w:val="32"/>
          <w:szCs w:val="32"/>
          <w:lang w:eastAsia="zh-CN"/>
        </w:rPr>
        <w:t>谁归集、谁负责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的原则，</w:t>
      </w:r>
      <w:r>
        <w:rPr>
          <w:rFonts w:hint="eastAsia" w:ascii="仿宋_GB2312" w:hAnsi="仿宋_GB2312" w:eastAsia="仿宋_GB2312" w:cs="仿宋_GB2312"/>
          <w:color w:val="auto"/>
          <w:sz w:val="32"/>
          <w:szCs w:val="32"/>
        </w:rPr>
        <w:t>信用信息提供方</w:t>
      </w:r>
      <w:r>
        <w:rPr>
          <w:rFonts w:hint="eastAsia" w:ascii="仿宋_GB2312" w:hAnsi="仿宋_GB2312" w:eastAsia="仿宋_GB2312" w:cs="仿宋_GB2312"/>
          <w:color w:val="auto"/>
          <w:sz w:val="32"/>
          <w:szCs w:val="32"/>
          <w:lang w:eastAsia="zh-CN"/>
        </w:rPr>
        <w:t>和归集方</w:t>
      </w:r>
      <w:r>
        <w:rPr>
          <w:rFonts w:hint="eastAsia" w:ascii="仿宋_GB2312" w:hAnsi="仿宋_GB2312" w:eastAsia="仿宋_GB2312" w:cs="仿宋_GB2312"/>
          <w:color w:val="auto"/>
          <w:sz w:val="32"/>
          <w:szCs w:val="32"/>
        </w:rPr>
        <w:t>需对信息的真实性、完整性、准确性和时效性负责，不得隐匿、虚构、篡改</w:t>
      </w:r>
      <w:r>
        <w:rPr>
          <w:rFonts w:hint="eastAsia" w:ascii="仿宋_GB2312" w:hAnsi="仿宋_GB2312" w:eastAsia="仿宋_GB2312" w:cs="仿宋_GB2312"/>
          <w:color w:val="auto"/>
          <w:sz w:val="32"/>
          <w:szCs w:val="32"/>
          <w:lang w:eastAsia="zh-CN"/>
        </w:rPr>
        <w:t>信用信息</w:t>
      </w:r>
      <w:r>
        <w:rPr>
          <w:rFonts w:hint="eastAsia" w:ascii="仿宋_GB2312" w:hAnsi="仿宋_GB2312" w:eastAsia="仿宋_GB2312" w:cs="仿宋_GB2312"/>
          <w:color w:val="auto"/>
          <w:sz w:val="32"/>
          <w:szCs w:val="32"/>
        </w:rPr>
        <w:t>。信用主体配合</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部门及其委托的机构做好信息抽查核实工作，对校验不通过、错误、变更的信息进行核对修改。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微软雅黑" w:eastAsia="黑体" w:cs="Times New Roman"/>
          <w:i w:val="0"/>
          <w:iCs w:val="0"/>
          <w:color w:val="auto"/>
          <w:sz w:val="32"/>
          <w:szCs w:val="32"/>
          <w:lang w:eastAsia="zh-CN"/>
        </w:rPr>
      </w:pPr>
      <w:r>
        <w:rPr>
          <w:rStyle w:val="5"/>
          <w:rFonts w:hint="eastAsia" w:ascii="黑体" w:hAnsi="黑体" w:eastAsia="黑体"/>
          <w:b w:val="0"/>
          <w:bCs w:val="0"/>
          <w:i w:val="0"/>
          <w:iCs w:val="0"/>
          <w:color w:val="auto"/>
          <w:sz w:val="32"/>
          <w:szCs w:val="32"/>
        </w:rPr>
        <w:t>第三章</w:t>
      </w:r>
      <w:r>
        <w:rPr>
          <w:rStyle w:val="5"/>
          <w:rFonts w:hint="eastAsia" w:ascii="黑体" w:hAnsi="黑体" w:eastAsia="黑体"/>
          <w:b w:val="0"/>
          <w:bCs w:val="0"/>
          <w:i w:val="0"/>
          <w:iCs w:val="0"/>
          <w:color w:val="auto"/>
          <w:sz w:val="32"/>
          <w:szCs w:val="32"/>
          <w:lang w:val="en-US" w:eastAsia="zh-CN"/>
        </w:rPr>
        <w:t xml:space="preserve">  </w:t>
      </w:r>
      <w:r>
        <w:rPr>
          <w:rStyle w:val="5"/>
          <w:rFonts w:hint="eastAsia" w:ascii="黑体" w:hAnsi="黑体" w:eastAsia="黑体"/>
          <w:b w:val="0"/>
          <w:bCs w:val="0"/>
          <w:i w:val="0"/>
          <w:iCs w:val="0"/>
          <w:color w:val="auto"/>
          <w:sz w:val="32"/>
          <w:szCs w:val="32"/>
          <w:lang w:eastAsia="zh-CN"/>
        </w:rPr>
        <w:t>失信认定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黑体" w:hAnsi="黑体" w:eastAsia="黑体" w:cs="宋体"/>
          <w:color w:val="auto"/>
          <w:kern w:val="0"/>
          <w:sz w:val="32"/>
          <w:szCs w:val="32"/>
          <w:lang w:val="en-US" w:eastAsia="zh-CN" w:bidi="ar-SA"/>
        </w:rPr>
        <w:t>第十二条</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失信分类</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bidi="ar-SA"/>
        </w:rPr>
        <w:t>我省医保基金监管领域失信行为分为一般失信和严重失信。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黑体" w:hAnsi="黑体" w:eastAsia="黑体" w:cs="宋体"/>
          <w:color w:val="auto"/>
          <w:kern w:val="0"/>
          <w:sz w:val="32"/>
          <w:szCs w:val="32"/>
          <w:lang w:val="en-US" w:eastAsia="zh-CN" w:bidi="ar-SA"/>
        </w:rPr>
        <w:t>第十三条</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认定依据</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bidi="ar-SA"/>
        </w:rPr>
        <w:t>医保行政部门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宋体"/>
          <w:color w:val="auto"/>
          <w:kern w:val="0"/>
          <w:sz w:val="32"/>
          <w:szCs w:val="32"/>
          <w:lang w:val="en-US" w:eastAsia="zh-CN" w:bidi="ar-SA"/>
        </w:rPr>
        <w:t>第十四条</w:t>
      </w:r>
      <w:r>
        <w:rPr>
          <w:rFonts w:hint="eastAsia" w:ascii="黑体" w:hAnsi="黑体" w:eastAsia="黑体" w:cs="宋体"/>
          <w:color w:val="auto"/>
          <w:sz w:val="32"/>
          <w:szCs w:val="32"/>
        </w:rPr>
        <w:t>【</w:t>
      </w:r>
      <w:r>
        <w:rPr>
          <w:rFonts w:hint="eastAsia" w:ascii="黑体" w:hAnsi="黑体" w:eastAsia="黑体" w:cs="Times New Roman"/>
          <w:color w:val="auto"/>
          <w:sz w:val="32"/>
          <w:szCs w:val="32"/>
          <w:lang w:eastAsia="zh-CN"/>
        </w:rPr>
        <w:t>一般失信</w:t>
      </w:r>
      <w:r>
        <w:rPr>
          <w:rFonts w:hint="eastAsia" w:ascii="黑体" w:hAnsi="黑体" w:eastAsia="黑体" w:cs="宋体"/>
          <w:color w:val="auto"/>
          <w:sz w:val="32"/>
          <w:szCs w:val="32"/>
        </w:rPr>
        <w:t>】</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bidi="ar-SA"/>
        </w:rPr>
        <w:t>医保基金监管领域信用主体有下列情形之一的，应当认定为一般失信：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（一）定点医药机构因违反《医疗保障基金使用监督管理条例》第三十八或三十九条之规定，受到医保行政部门行政处罚的；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（二）定点医药机构因违反《医疗保障基金使用监督管理条例》第四十条之规定，受到医保行政部门行政处罚，但处罚执行标准未适用从重处罚的；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（三）个人因违反《医疗保障基金使用监督管理条例》第四十一条之规定，受到医保行政部门行政处罚，但处罚执行标准未适用从重处罚的；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（四）法律法规规定的其他一般失信行为。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宋体"/>
          <w:color w:val="auto"/>
          <w:kern w:val="0"/>
          <w:sz w:val="32"/>
          <w:szCs w:val="32"/>
          <w:lang w:val="en-US" w:eastAsia="zh-CN" w:bidi="ar-SA"/>
        </w:rPr>
        <w:t>第十五条</w:t>
      </w:r>
      <w:r>
        <w:rPr>
          <w:rFonts w:hint="eastAsia" w:ascii="黑体" w:hAnsi="黑体" w:eastAsia="黑体" w:cs="宋体"/>
          <w:color w:val="auto"/>
          <w:sz w:val="32"/>
          <w:szCs w:val="32"/>
        </w:rPr>
        <w:t>【</w:t>
      </w:r>
      <w:r>
        <w:rPr>
          <w:rFonts w:hint="eastAsia" w:ascii="黑体" w:hAnsi="黑体" w:eastAsia="黑体" w:cs="宋体"/>
          <w:color w:val="auto"/>
          <w:sz w:val="32"/>
          <w:szCs w:val="32"/>
          <w:lang w:eastAsia="zh-CN"/>
        </w:rPr>
        <w:t>认定程序</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医保行政部门在作出行政处罚决定时应当对是否认定失信行为作出决定。符合一般失信认定标准的，由认定部门向行政相对人出具《失信认定决定书》并送达（附件1），列入决定书应当载明事由、依据、惩戒措施提示、移出条件和程序以及救济措施等。送达、异议处理等程序应当与行政处罚程序一并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黑体" w:cs="仿宋"/>
          <w:color w:val="auto"/>
          <w:sz w:val="32"/>
          <w:szCs w:val="32"/>
          <w:lang w:val="en-US" w:eastAsia="zh-CN"/>
        </w:rPr>
      </w:pPr>
      <w:r>
        <w:rPr>
          <w:rFonts w:hint="eastAsia" w:ascii="黑体" w:hAnsi="黑体" w:eastAsia="黑体" w:cs="宋体"/>
          <w:color w:val="auto"/>
          <w:kern w:val="0"/>
          <w:sz w:val="32"/>
          <w:szCs w:val="32"/>
          <w:lang w:val="en-US" w:eastAsia="zh-CN" w:bidi="ar-SA"/>
        </w:rPr>
        <w:t>第十六条</w:t>
      </w:r>
      <w:r>
        <w:rPr>
          <w:rFonts w:hint="eastAsia" w:ascii="黑体" w:hAnsi="黑体" w:eastAsia="黑体" w:cs="宋体"/>
          <w:color w:val="auto"/>
          <w:sz w:val="32"/>
          <w:szCs w:val="32"/>
        </w:rPr>
        <w:t>【</w:t>
      </w:r>
      <w:r>
        <w:rPr>
          <w:rFonts w:hint="eastAsia" w:ascii="黑体" w:hAnsi="黑体" w:eastAsia="黑体" w:cs="宋体"/>
          <w:color w:val="auto"/>
          <w:sz w:val="32"/>
          <w:szCs w:val="32"/>
          <w:lang w:eastAsia="zh-CN"/>
        </w:rPr>
        <w:t>严重</w:t>
      </w:r>
      <w:r>
        <w:rPr>
          <w:rFonts w:hint="eastAsia" w:ascii="黑体" w:hAnsi="黑体" w:eastAsia="黑体" w:cs="宋体"/>
          <w:color w:val="auto"/>
          <w:sz w:val="32"/>
          <w:szCs w:val="32"/>
          <w:lang w:val="en-US" w:eastAsia="zh-CN"/>
        </w:rPr>
        <w:t>失信</w:t>
      </w:r>
      <w:r>
        <w:rPr>
          <w:rFonts w:hint="eastAsia" w:ascii="黑体" w:hAnsi="黑体" w:eastAsia="黑体" w:cs="宋体"/>
          <w:color w:val="auto"/>
          <w:sz w:val="32"/>
          <w:szCs w:val="32"/>
        </w:rPr>
        <w:t>】</w:t>
      </w:r>
      <w:r>
        <w:rPr>
          <w:rFonts w:hint="eastAsia" w:ascii="黑体" w:hAnsi="黑体" w:eastAsia="黑体" w:cs="宋体"/>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bidi="ar-SA"/>
        </w:rPr>
        <w:t>严重失信行为按照国家和海南省相关认定标准和程序执行。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5"/>
          <w:rFonts w:hint="eastAsia" w:ascii="黑体" w:hAnsi="黑体"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Style w:val="5"/>
          <w:rFonts w:hint="eastAsia" w:ascii="黑体" w:hAnsi="黑体" w:eastAsia="黑体" w:cs="Times New Roman"/>
          <w:color w:val="auto"/>
          <w:sz w:val="32"/>
          <w:szCs w:val="32"/>
          <w:lang w:eastAsia="zh-CN"/>
        </w:rPr>
      </w:pPr>
      <w:r>
        <w:rPr>
          <w:rStyle w:val="5"/>
          <w:rFonts w:hint="eastAsia" w:ascii="黑体" w:hAnsi="黑体" w:eastAsia="黑体"/>
          <w:b w:val="0"/>
          <w:bCs w:val="0"/>
          <w:color w:val="auto"/>
          <w:sz w:val="32"/>
          <w:szCs w:val="32"/>
          <w:lang w:val="en-US" w:eastAsia="zh-CN"/>
        </w:rPr>
        <w:t>第四章 信用信息</w:t>
      </w:r>
      <w:r>
        <w:rPr>
          <w:rStyle w:val="5"/>
          <w:rFonts w:hint="eastAsia" w:ascii="黑体" w:hAnsi="黑体" w:eastAsia="黑体"/>
          <w:b w:val="0"/>
          <w:bCs w:val="0"/>
          <w:color w:val="auto"/>
          <w:sz w:val="32"/>
          <w:szCs w:val="32"/>
          <w:lang w:eastAsia="zh-CN"/>
        </w:rPr>
        <w:t>披露</w:t>
      </w:r>
    </w:p>
    <w:p>
      <w:pPr>
        <w:pStyle w:val="2"/>
        <w:shd w:val="clear" w:color="auto" w:fill="FFFFFF"/>
        <w:spacing w:before="0" w:beforeAutospacing="0" w:after="0" w:afterAutospacing="0" w:line="560" w:lineRule="exact"/>
        <w:ind w:firstLine="645"/>
        <w:jc w:val="both"/>
        <w:textAlignment w:val="baseline"/>
        <w:rPr>
          <w:rFonts w:hint="default" w:ascii="仿宋_GB2312" w:hAnsi="微软雅黑" w:eastAsia="仿宋_GB2312" w:cs="宋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十七</w:t>
      </w:r>
      <w:r>
        <w:rPr>
          <w:rFonts w:hint="eastAsia" w:ascii="黑体" w:hAnsi="黑体" w:eastAsia="黑体"/>
          <w:color w:val="auto"/>
          <w:sz w:val="32"/>
          <w:szCs w:val="32"/>
        </w:rPr>
        <w:t>条【</w:t>
      </w:r>
      <w:r>
        <w:rPr>
          <w:rFonts w:hint="eastAsia" w:ascii="黑体" w:hAnsi="黑体" w:eastAsia="黑体"/>
          <w:color w:val="auto"/>
          <w:sz w:val="32"/>
          <w:szCs w:val="32"/>
          <w:lang w:eastAsia="zh-CN"/>
        </w:rPr>
        <w:t>披露原则</w:t>
      </w:r>
      <w:r>
        <w:rPr>
          <w:rFonts w:hint="eastAsia" w:ascii="黑体" w:hAnsi="黑体" w:eastAsia="黑体"/>
          <w:color w:val="auto"/>
          <w:sz w:val="32"/>
          <w:szCs w:val="32"/>
        </w:rPr>
        <w:t>】</w:t>
      </w:r>
      <w:r>
        <w:rPr>
          <w:rFonts w:hint="eastAsia" w:ascii="黑体" w:hAnsi="黑体" w:eastAsia="黑体"/>
          <w:color w:val="auto"/>
          <w:sz w:val="32"/>
          <w:szCs w:val="32"/>
          <w:lang w:val="en-US" w:eastAsia="zh-CN"/>
        </w:rPr>
        <w:t xml:space="preserve"> </w:t>
      </w:r>
      <w:r>
        <w:rPr>
          <w:rFonts w:hint="eastAsia" w:ascii="仿宋_GB2312" w:hAnsi="微软雅黑" w:eastAsia="仿宋_GB2312" w:cs="宋体"/>
          <w:color w:val="auto"/>
          <w:sz w:val="32"/>
          <w:szCs w:val="32"/>
          <w:lang w:val="en-US" w:eastAsia="zh-CN"/>
        </w:rPr>
        <w:t>信用信息披露坚持合法、必要、安全原则，防止信息泄露，不得侵犯商业秘密和个人隐私。</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十八</w:t>
      </w:r>
      <w:r>
        <w:rPr>
          <w:rFonts w:hint="eastAsia" w:ascii="黑体" w:hAnsi="黑体" w:eastAsia="黑体"/>
          <w:color w:val="auto"/>
          <w:sz w:val="32"/>
          <w:szCs w:val="32"/>
        </w:rPr>
        <w:t>条【</w:t>
      </w:r>
      <w:r>
        <w:rPr>
          <w:rFonts w:hint="eastAsia" w:ascii="黑体" w:hAnsi="黑体" w:eastAsia="黑体"/>
          <w:color w:val="auto"/>
          <w:sz w:val="32"/>
          <w:szCs w:val="32"/>
          <w:lang w:eastAsia="zh-CN"/>
        </w:rPr>
        <w:t>披露方式</w:t>
      </w:r>
      <w:r>
        <w:rPr>
          <w:rFonts w:hint="eastAsia" w:ascii="黑体" w:hAnsi="黑体" w:eastAsia="黑体"/>
          <w:color w:val="auto"/>
          <w:sz w:val="32"/>
          <w:szCs w:val="32"/>
        </w:rPr>
        <w:t>】</w:t>
      </w:r>
      <w:r>
        <w:rPr>
          <w:rFonts w:hint="eastAsia" w:ascii="黑体" w:hAnsi="黑体" w:eastAsia="黑体"/>
          <w:color w:val="auto"/>
          <w:sz w:val="32"/>
          <w:szCs w:val="32"/>
          <w:lang w:val="en-US" w:eastAsia="zh-CN"/>
        </w:rPr>
        <w:t xml:space="preserve"> </w:t>
      </w:r>
      <w:r>
        <w:rPr>
          <w:rFonts w:hint="eastAsia" w:ascii="仿宋_GB2312" w:hAnsi="微软雅黑" w:eastAsia="仿宋_GB2312"/>
          <w:color w:val="auto"/>
          <w:sz w:val="32"/>
          <w:szCs w:val="32"/>
          <w:lang w:eastAsia="zh-CN"/>
        </w:rPr>
        <w:t>信用</w:t>
      </w:r>
      <w:r>
        <w:rPr>
          <w:rFonts w:hint="eastAsia" w:ascii="仿宋_GB2312" w:hAnsi="微软雅黑" w:eastAsia="仿宋_GB2312"/>
          <w:color w:val="auto"/>
          <w:sz w:val="32"/>
          <w:szCs w:val="32"/>
        </w:rPr>
        <w:t>信息通过</w:t>
      </w:r>
      <w:r>
        <w:rPr>
          <w:rFonts w:hint="eastAsia" w:ascii="仿宋_GB2312" w:hAnsi="微软雅黑" w:eastAsia="仿宋_GB2312"/>
          <w:color w:val="auto"/>
          <w:sz w:val="32"/>
          <w:szCs w:val="32"/>
          <w:lang w:eastAsia="zh-CN"/>
        </w:rPr>
        <w:t>公开公示</w:t>
      </w:r>
      <w:r>
        <w:rPr>
          <w:rFonts w:hint="eastAsia" w:ascii="仿宋_GB2312" w:hAnsi="微软雅黑" w:eastAsia="仿宋_GB2312"/>
          <w:color w:val="auto"/>
          <w:sz w:val="32"/>
          <w:szCs w:val="32"/>
        </w:rPr>
        <w:t>、政务共享</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授权查询等方式</w:t>
      </w:r>
      <w:r>
        <w:rPr>
          <w:rFonts w:hint="eastAsia" w:ascii="仿宋_GB2312" w:hAnsi="微软雅黑" w:eastAsia="仿宋_GB2312"/>
          <w:color w:val="auto"/>
          <w:sz w:val="32"/>
          <w:szCs w:val="32"/>
          <w:lang w:eastAsia="zh-CN"/>
        </w:rPr>
        <w:t>披露</w:t>
      </w:r>
      <w:r>
        <w:rPr>
          <w:rFonts w:hint="eastAsia" w:ascii="仿宋_GB2312" w:hAnsi="微软雅黑" w:eastAsia="仿宋_GB2312"/>
          <w:color w:val="auto"/>
          <w:sz w:val="32"/>
          <w:szCs w:val="32"/>
        </w:rPr>
        <w:t>。</w:t>
      </w:r>
    </w:p>
    <w:p>
      <w:pPr>
        <w:pStyle w:val="2"/>
        <w:shd w:val="clear" w:color="auto" w:fill="FFFFFF"/>
        <w:spacing w:before="0" w:beforeAutospacing="0" w:after="0" w:afterAutospacing="0" w:line="560" w:lineRule="exact"/>
        <w:ind w:firstLine="645"/>
        <w:jc w:val="both"/>
        <w:textAlignment w:val="baseline"/>
        <w:rPr>
          <w:rFonts w:hint="eastAsia" w:ascii="Times New Roman" w:hAnsi="Times New Roman" w:eastAsia="仿宋_GB2312" w:cs="Times New Roman"/>
          <w:color w:val="auto"/>
          <w:kern w:val="0"/>
          <w:sz w:val="32"/>
          <w:szCs w:val="32"/>
          <w:lang w:val="en-US" w:eastAsia="zh-CN" w:bidi="ar-SA"/>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九</w:t>
      </w:r>
      <w:r>
        <w:rPr>
          <w:rFonts w:hint="eastAsia" w:ascii="黑体" w:hAnsi="黑体" w:eastAsia="黑体"/>
          <w:color w:val="auto"/>
          <w:sz w:val="32"/>
          <w:szCs w:val="32"/>
        </w:rPr>
        <w:t>条【</w:t>
      </w:r>
      <w:r>
        <w:rPr>
          <w:rFonts w:hint="eastAsia" w:ascii="黑体" w:hAnsi="黑体" w:eastAsia="黑体"/>
          <w:color w:val="auto"/>
          <w:sz w:val="32"/>
          <w:szCs w:val="32"/>
          <w:lang w:eastAsia="zh-CN"/>
        </w:rPr>
        <w:t>披露要求</w:t>
      </w:r>
      <w:r>
        <w:rPr>
          <w:rFonts w:hint="eastAsia" w:ascii="黑体" w:hAnsi="黑体" w:eastAsia="黑体"/>
          <w:color w:val="auto"/>
          <w:sz w:val="32"/>
          <w:szCs w:val="32"/>
        </w:rPr>
        <w:t>】</w:t>
      </w:r>
      <w:r>
        <w:rPr>
          <w:rFonts w:hint="eastAsia" w:ascii="黑体" w:hAnsi="黑体" w:eastAsia="黑体"/>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bidi="ar-SA"/>
        </w:rPr>
        <w:t>作出失信认定的医保行政部门应当按照行政执法公示等有关规定，在公示行政处罚决定书的同时，同步公示失信认定决定书。</w:t>
      </w:r>
    </w:p>
    <w:p>
      <w:pPr>
        <w:pStyle w:val="2"/>
        <w:shd w:val="clear" w:color="auto" w:fill="FFFFFF"/>
        <w:spacing w:before="0" w:beforeAutospacing="0" w:after="0" w:afterAutospacing="0" w:line="560" w:lineRule="exact"/>
        <w:ind w:firstLine="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省级医保行政部门通过</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基金</w:t>
      </w:r>
      <w:r>
        <w:rPr>
          <w:rFonts w:hint="eastAsia" w:ascii="仿宋_GB2312" w:hAnsi="仿宋_GB2312" w:eastAsia="仿宋_GB2312" w:cs="仿宋_GB2312"/>
          <w:color w:val="auto"/>
          <w:sz w:val="32"/>
          <w:szCs w:val="32"/>
          <w:lang w:eastAsia="zh-CN"/>
        </w:rPr>
        <w:t>监管信用管理系统，</w:t>
      </w:r>
      <w:r>
        <w:rPr>
          <w:rFonts w:hint="eastAsia" w:ascii="仿宋_GB2312" w:hAnsi="仿宋_GB2312" w:eastAsia="仿宋_GB2312" w:cs="仿宋_GB2312"/>
          <w:color w:val="auto"/>
          <w:kern w:val="0"/>
          <w:sz w:val="32"/>
          <w:szCs w:val="32"/>
          <w:lang w:val="en-US" w:eastAsia="zh-CN" w:bidi="ar-SA"/>
        </w:rPr>
        <w:t>汇总公示全省</w:t>
      </w:r>
      <w:r>
        <w:rPr>
          <w:rStyle w:val="4"/>
          <w:rFonts w:hint="eastAsia" w:ascii="仿宋_GB2312" w:hAnsi="仿宋_GB2312" w:eastAsia="仿宋_GB2312" w:cs="仿宋_GB2312"/>
          <w:b w:val="0"/>
          <w:color w:val="auto"/>
          <w:kern w:val="2"/>
          <w:sz w:val="32"/>
          <w:szCs w:val="32"/>
          <w:lang w:eastAsia="zh-CN" w:bidi="ar-SA"/>
        </w:rPr>
        <w:t>医保基金监管</w:t>
      </w:r>
      <w:r>
        <w:rPr>
          <w:rFonts w:hint="eastAsia" w:ascii="仿宋_GB2312" w:hAnsi="仿宋_GB2312" w:eastAsia="仿宋_GB2312" w:cs="仿宋_GB2312"/>
          <w:color w:val="auto"/>
          <w:sz w:val="32"/>
          <w:szCs w:val="32"/>
        </w:rPr>
        <w:t>信用主体</w:t>
      </w:r>
      <w:r>
        <w:rPr>
          <w:rFonts w:hint="eastAsia" w:ascii="仿宋_GB2312" w:hAnsi="仿宋_GB2312" w:eastAsia="仿宋_GB2312" w:cs="仿宋_GB2312"/>
          <w:color w:val="auto"/>
          <w:sz w:val="32"/>
          <w:szCs w:val="32"/>
          <w:lang w:eastAsia="zh-CN"/>
        </w:rPr>
        <w:t>失信</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按要求向</w:t>
      </w:r>
      <w:r>
        <w:rPr>
          <w:rFonts w:hint="eastAsia" w:ascii="仿宋_GB2312" w:hAnsi="仿宋_GB2312" w:eastAsia="仿宋_GB2312" w:cs="仿宋_GB2312"/>
          <w:color w:val="auto"/>
          <w:sz w:val="32"/>
          <w:szCs w:val="32"/>
          <w:lang w:eastAsia="zh-CN"/>
        </w:rPr>
        <w:t>国家和</w:t>
      </w:r>
      <w:r>
        <w:rPr>
          <w:rFonts w:hint="eastAsia" w:ascii="仿宋_GB2312" w:hAnsi="仿宋_GB2312" w:eastAsia="仿宋_GB2312" w:cs="仿宋_GB2312"/>
          <w:color w:val="auto"/>
          <w:sz w:val="32"/>
          <w:szCs w:val="32"/>
        </w:rPr>
        <w:t>海南信用信息共享</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eastAsia="zh-CN"/>
        </w:rPr>
        <w:t>共享此类信息</w:t>
      </w:r>
      <w:r>
        <w:rPr>
          <w:rFonts w:hint="eastAsia" w:ascii="仿宋_GB2312" w:hAnsi="仿宋_GB2312" w:eastAsia="仿宋_GB2312" w:cs="仿宋_GB2312"/>
          <w:color w:val="auto"/>
          <w:sz w:val="32"/>
          <w:szCs w:val="32"/>
        </w:rPr>
        <w:t>。</w:t>
      </w:r>
    </w:p>
    <w:p>
      <w:pPr>
        <w:pStyle w:val="2"/>
        <w:shd w:val="clear" w:color="auto" w:fill="FFFFFF"/>
        <w:spacing w:before="0" w:beforeAutospacing="0" w:after="0" w:afterAutospacing="0" w:line="560" w:lineRule="exact"/>
        <w:ind w:firstLine="645"/>
        <w:jc w:val="both"/>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eastAsia="zh-CN"/>
        </w:rPr>
        <w:t>失信主体</w:t>
      </w:r>
      <w:r>
        <w:rPr>
          <w:rFonts w:hint="eastAsia" w:ascii="仿宋_GB2312" w:hAnsi="仿宋_GB2312" w:eastAsia="仿宋_GB2312" w:cs="仿宋_GB2312"/>
          <w:color w:val="auto"/>
          <w:sz w:val="32"/>
          <w:szCs w:val="32"/>
        </w:rPr>
        <w:t>对行政处罚决定不服，申请行政复议或提起行</w:t>
      </w:r>
      <w:r>
        <w:rPr>
          <w:rFonts w:hint="eastAsia" w:ascii="仿宋_GB2312" w:hAnsi="仿宋_GB2312" w:eastAsia="仿宋_GB2312" w:cs="仿宋_GB2312"/>
          <w:color w:val="auto"/>
          <w:kern w:val="0"/>
          <w:sz w:val="32"/>
          <w:szCs w:val="32"/>
          <w:lang w:val="en-US" w:eastAsia="zh-CN" w:bidi="ar-SA"/>
        </w:rPr>
        <w:t>政诉讼的，相关程序终结前，除行政复议机关或人民法院认定需要停止执行的，相关管理措施不停止执行，相关失信信息不暂停公示。</w:t>
      </w:r>
    </w:p>
    <w:p>
      <w:pPr>
        <w:pStyle w:val="2"/>
        <w:shd w:val="clear" w:color="auto" w:fill="FFFFFF"/>
        <w:spacing w:before="0" w:beforeAutospacing="0" w:after="0" w:afterAutospacing="0" w:line="560" w:lineRule="exact"/>
        <w:ind w:firstLine="645"/>
        <w:jc w:val="both"/>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行政复议或行政诉讼程序终结后，行政处罚被依法撤销</w:t>
      </w:r>
      <w:r>
        <w:rPr>
          <w:rFonts w:hint="eastAsia" w:ascii="仿宋_GB2312" w:hAnsi="仿宋_GB2312" w:eastAsia="仿宋_GB2312" w:cs="仿宋_GB2312"/>
          <w:color w:val="auto"/>
          <w:kern w:val="0"/>
          <w:sz w:val="32"/>
          <w:szCs w:val="32"/>
          <w:lang w:val="en-US" w:eastAsia="zh-CN" w:bidi="ar-SA"/>
        </w:rPr>
        <w:t>或变更的，原处罚机关应当自收到相关信息之日起三个工作日内撤销或修改相关公示信息，调整或解除相关管理措施，并及时推送有关部门。</w:t>
      </w:r>
    </w:p>
    <w:p>
      <w:pPr>
        <w:pStyle w:val="2"/>
        <w:shd w:val="clear" w:color="auto" w:fill="FFFFFF"/>
        <w:spacing w:before="0" w:beforeAutospacing="0" w:after="0" w:afterAutospacing="0" w:line="560" w:lineRule="exact"/>
        <w:ind w:firstLine="645"/>
        <w:jc w:val="both"/>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失信主体认为平台网站对其行政处罚信息的公示内容有误、公示期限不符合规定，可以向原失信认定</w:t>
      </w:r>
      <w:r>
        <w:rPr>
          <w:rFonts w:hint="eastAsia" w:ascii="仿宋_GB2312" w:hAnsi="仿宋_GB2312" w:eastAsia="仿宋_GB2312" w:cs="仿宋_GB2312"/>
          <w:color w:val="auto"/>
          <w:kern w:val="0"/>
          <w:sz w:val="32"/>
          <w:szCs w:val="32"/>
          <w:lang w:val="en" w:eastAsia="zh-CN" w:bidi="ar-SA"/>
        </w:rPr>
        <w:t>部门</w:t>
      </w:r>
      <w:r>
        <w:rPr>
          <w:rFonts w:hint="eastAsia" w:ascii="仿宋_GB2312" w:hAnsi="仿宋_GB2312" w:eastAsia="仿宋_GB2312" w:cs="仿宋_GB2312"/>
          <w:color w:val="auto"/>
          <w:kern w:val="0"/>
          <w:sz w:val="32"/>
          <w:szCs w:val="32"/>
          <w:lang w:val="en-US" w:eastAsia="zh-CN" w:bidi="ar-SA"/>
        </w:rPr>
        <w:t>提出异议申诉。经核实符合申诉条件的，应在三个工作日内通过相关披露渠道及时更新信息。</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auto"/>
          <w:sz w:val="32"/>
          <w:szCs w:val="32"/>
        </w:rPr>
      </w:pPr>
      <w:r>
        <w:rPr>
          <w:rFonts w:hint="eastAsia" w:ascii="黑体" w:hAnsi="黑体" w:eastAsia="黑体"/>
          <w:color w:val="auto"/>
          <w:sz w:val="32"/>
          <w:szCs w:val="32"/>
        </w:rPr>
        <w:t>第二十条【</w:t>
      </w:r>
      <w:r>
        <w:rPr>
          <w:rFonts w:hint="eastAsia" w:ascii="黑体" w:hAnsi="黑体" w:eastAsia="黑体"/>
          <w:color w:val="auto"/>
          <w:sz w:val="32"/>
          <w:szCs w:val="32"/>
          <w:lang w:eastAsia="zh-CN"/>
        </w:rPr>
        <w:t>披露</w:t>
      </w:r>
      <w:r>
        <w:rPr>
          <w:rFonts w:hint="eastAsia" w:ascii="黑体" w:hAnsi="黑体" w:eastAsia="黑体"/>
          <w:color w:val="auto"/>
          <w:sz w:val="32"/>
          <w:szCs w:val="32"/>
        </w:rPr>
        <w:t>期限】</w:t>
      </w:r>
      <w:r>
        <w:rPr>
          <w:rFonts w:hint="eastAsia" w:ascii="黑体" w:hAnsi="黑体" w:eastAsia="黑体"/>
          <w:color w:val="auto"/>
          <w:sz w:val="32"/>
          <w:szCs w:val="32"/>
          <w:lang w:val="en-US" w:eastAsia="zh-CN"/>
        </w:rPr>
        <w:t xml:space="preserve"> </w:t>
      </w:r>
      <w:r>
        <w:rPr>
          <w:rFonts w:hint="eastAsia" w:ascii="仿宋_GB2312" w:hAnsi="微软雅黑" w:eastAsia="仿宋_GB2312" w:cs="宋体"/>
          <w:color w:val="auto"/>
          <w:sz w:val="32"/>
          <w:szCs w:val="32"/>
          <w:lang w:eastAsia="zh-CN"/>
        </w:rPr>
        <w:t>自医保行政部门作出失信认定之日起计算，一般失信信息披露期为一年，严重失信信息披露期为三年。国家和我省另有规定的，从其</w:t>
      </w:r>
      <w:r>
        <w:rPr>
          <w:rFonts w:hint="eastAsia" w:ascii="仿宋_GB2312" w:hAnsi="微软雅黑" w:eastAsia="仿宋_GB2312"/>
          <w:color w:val="auto"/>
          <w:sz w:val="32"/>
          <w:szCs w:val="32"/>
          <w:lang w:eastAsia="zh-CN"/>
        </w:rPr>
        <w:t>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5"/>
          <w:rFonts w:hint="eastAsia" w:ascii="黑体" w:hAnsi="黑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lang w:val="en-US" w:eastAsia="zh-CN"/>
        </w:rPr>
      </w:pPr>
      <w:r>
        <w:rPr>
          <w:rStyle w:val="5"/>
          <w:rFonts w:hint="eastAsia" w:ascii="黑体" w:hAnsi="黑体" w:eastAsia="黑体"/>
          <w:b w:val="0"/>
          <w:bCs w:val="0"/>
          <w:color w:val="auto"/>
          <w:sz w:val="32"/>
          <w:szCs w:val="32"/>
        </w:rPr>
        <w:t>第</w:t>
      </w:r>
      <w:r>
        <w:rPr>
          <w:rStyle w:val="5"/>
          <w:rFonts w:hint="eastAsia" w:ascii="黑体" w:hAnsi="黑体" w:eastAsia="黑体"/>
          <w:b w:val="0"/>
          <w:bCs w:val="0"/>
          <w:color w:val="auto"/>
          <w:sz w:val="32"/>
          <w:szCs w:val="32"/>
          <w:lang w:eastAsia="zh-CN"/>
        </w:rPr>
        <w:t>五</w:t>
      </w:r>
      <w:r>
        <w:rPr>
          <w:rStyle w:val="5"/>
          <w:rFonts w:hint="eastAsia" w:ascii="黑体" w:hAnsi="黑体" w:eastAsia="黑体"/>
          <w:b w:val="0"/>
          <w:bCs w:val="0"/>
          <w:color w:val="auto"/>
          <w:sz w:val="32"/>
          <w:szCs w:val="32"/>
        </w:rPr>
        <w:t>章</w:t>
      </w:r>
      <w:r>
        <w:rPr>
          <w:rStyle w:val="5"/>
          <w:rFonts w:hint="eastAsia" w:ascii="黑体" w:hAnsi="黑体" w:eastAsia="黑体"/>
          <w:b w:val="0"/>
          <w:bCs w:val="0"/>
          <w:color w:val="auto"/>
          <w:sz w:val="32"/>
          <w:szCs w:val="32"/>
          <w:lang w:val="en-US" w:eastAsia="zh-CN"/>
        </w:rPr>
        <w:t xml:space="preserve">  </w:t>
      </w:r>
      <w:r>
        <w:rPr>
          <w:rStyle w:val="5"/>
          <w:rFonts w:hint="eastAsia" w:ascii="黑体" w:hAnsi="黑体" w:eastAsia="黑体"/>
          <w:b w:val="0"/>
          <w:bCs w:val="0"/>
          <w:color w:val="auto"/>
          <w:sz w:val="32"/>
          <w:szCs w:val="32"/>
          <w:lang w:eastAsia="zh-CN"/>
        </w:rPr>
        <w:t>信用管理</w:t>
      </w:r>
    </w:p>
    <w:p>
      <w:pPr>
        <w:pStyle w:val="2"/>
        <w:shd w:val="clear" w:color="auto" w:fill="FFFFFF"/>
        <w:spacing w:before="0" w:beforeAutospacing="0" w:after="0" w:afterAutospacing="0" w:line="560" w:lineRule="exact"/>
        <w:ind w:firstLine="645"/>
        <w:jc w:val="both"/>
        <w:textAlignment w:val="baseline"/>
        <w:rPr>
          <w:rFonts w:ascii="微软雅黑" w:hAnsi="微软雅黑" w:eastAsia="微软雅黑"/>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一</w:t>
      </w:r>
      <w:r>
        <w:rPr>
          <w:rFonts w:hint="eastAsia" w:ascii="黑体" w:hAnsi="黑体" w:eastAsia="黑体"/>
          <w:color w:val="auto"/>
          <w:sz w:val="32"/>
          <w:szCs w:val="32"/>
        </w:rPr>
        <w:t>条</w:t>
      </w:r>
      <w:r>
        <w:rPr>
          <w:rFonts w:hint="eastAsia" w:ascii="仿宋_GB2312" w:hAnsi="微软雅黑" w:eastAsia="仿宋_GB2312"/>
          <w:color w:val="auto"/>
          <w:sz w:val="32"/>
          <w:szCs w:val="32"/>
        </w:rPr>
        <w:t>【</w:t>
      </w:r>
      <w:r>
        <w:rPr>
          <w:rFonts w:hint="eastAsia" w:ascii="黑体" w:hAnsi="黑体" w:eastAsia="黑体"/>
          <w:color w:val="auto"/>
          <w:sz w:val="32"/>
          <w:szCs w:val="32"/>
        </w:rPr>
        <w:t>信用激励</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val="en-US" w:eastAsia="zh-CN"/>
        </w:rPr>
        <w:t xml:space="preserve"> </w:t>
      </w:r>
      <w:r>
        <w:rPr>
          <w:rFonts w:hint="eastAsia" w:ascii="仿宋_GB2312" w:hAnsi="微软雅黑" w:eastAsia="仿宋_GB2312"/>
          <w:color w:val="auto"/>
          <w:sz w:val="32"/>
          <w:szCs w:val="32"/>
        </w:rPr>
        <w:t>对</w:t>
      </w:r>
      <w:r>
        <w:rPr>
          <w:rFonts w:hint="eastAsia" w:ascii="仿宋_GB2312" w:hAnsi="微软雅黑" w:eastAsia="仿宋_GB2312"/>
          <w:color w:val="auto"/>
          <w:sz w:val="32"/>
          <w:szCs w:val="32"/>
          <w:lang w:eastAsia="zh-CN"/>
        </w:rPr>
        <w:t>守信</w:t>
      </w:r>
      <w:r>
        <w:rPr>
          <w:rFonts w:hint="eastAsia" w:ascii="仿宋_GB2312" w:hAnsi="微软雅黑" w:eastAsia="仿宋_GB2312"/>
          <w:color w:val="auto"/>
          <w:sz w:val="32"/>
          <w:szCs w:val="32"/>
        </w:rPr>
        <w:t>信用主体的激励措施有：</w:t>
      </w:r>
    </w:p>
    <w:p>
      <w:pPr>
        <w:pStyle w:val="2"/>
        <w:shd w:val="clear" w:color="auto" w:fill="FFFFFF"/>
        <w:spacing w:before="0" w:beforeAutospacing="0" w:after="0" w:afterAutospacing="0" w:line="560" w:lineRule="exact"/>
        <w:ind w:firstLine="645"/>
        <w:jc w:val="both"/>
        <w:textAlignment w:val="baseline"/>
        <w:rPr>
          <w:rFonts w:ascii="微软雅黑" w:hAnsi="微软雅黑" w:eastAsia="微软雅黑"/>
          <w:color w:val="auto"/>
          <w:sz w:val="32"/>
          <w:szCs w:val="32"/>
        </w:rPr>
      </w:pPr>
      <w:r>
        <w:rPr>
          <w:rFonts w:hint="eastAsia" w:ascii="仿宋_GB2312" w:hAnsi="微软雅黑" w:eastAsia="仿宋_GB2312"/>
          <w:color w:val="auto"/>
          <w:sz w:val="32"/>
          <w:szCs w:val="32"/>
        </w:rPr>
        <w:t>（一）在医保部门门户网站进行公</w:t>
      </w:r>
      <w:r>
        <w:rPr>
          <w:rFonts w:hint="eastAsia" w:ascii="仿宋_GB2312" w:hAnsi="微软雅黑" w:eastAsia="仿宋_GB2312"/>
          <w:color w:val="auto"/>
          <w:sz w:val="32"/>
          <w:szCs w:val="32"/>
          <w:lang w:eastAsia="zh-CN"/>
        </w:rPr>
        <w:t>开</w:t>
      </w:r>
      <w:r>
        <w:rPr>
          <w:rFonts w:hint="eastAsia" w:ascii="仿宋_GB2312" w:hAnsi="微软雅黑" w:eastAsia="仿宋_GB2312"/>
          <w:color w:val="auto"/>
          <w:sz w:val="32"/>
          <w:szCs w:val="32"/>
        </w:rPr>
        <w:t>宣传；</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auto"/>
          <w:sz w:val="32"/>
          <w:szCs w:val="32"/>
          <w:lang w:eastAsia="zh-CN"/>
        </w:rPr>
      </w:pPr>
      <w:r>
        <w:rPr>
          <w:rFonts w:hint="eastAsia" w:ascii="仿宋_GB2312" w:hAnsi="微软雅黑" w:eastAsia="仿宋_GB2312"/>
          <w:color w:val="auto"/>
          <w:sz w:val="32"/>
          <w:szCs w:val="32"/>
        </w:rPr>
        <w:t>（二）</w:t>
      </w:r>
      <w:r>
        <w:rPr>
          <w:rFonts w:hint="eastAsia" w:ascii="仿宋_GB2312" w:hAnsi="微软雅黑" w:eastAsia="仿宋_GB2312"/>
          <w:color w:val="auto"/>
          <w:sz w:val="32"/>
          <w:szCs w:val="32"/>
          <w:lang w:eastAsia="zh-CN"/>
        </w:rPr>
        <w:t>医保部门</w:t>
      </w:r>
      <w:r>
        <w:rPr>
          <w:rFonts w:hint="eastAsia" w:ascii="仿宋_GB2312" w:hAnsi="微软雅黑" w:eastAsia="仿宋_GB2312"/>
          <w:color w:val="auto"/>
          <w:sz w:val="32"/>
          <w:szCs w:val="32"/>
        </w:rPr>
        <w:t>在日常监督检查或抽查中减少检查频次，</w:t>
      </w:r>
      <w:r>
        <w:rPr>
          <w:rFonts w:hint="eastAsia" w:ascii="仿宋_GB2312" w:hAnsi="微软雅黑" w:eastAsia="仿宋_GB2312"/>
          <w:color w:val="auto"/>
          <w:sz w:val="32"/>
          <w:szCs w:val="32"/>
          <w:lang w:eastAsia="zh-CN"/>
        </w:rPr>
        <w:t>更多适用非现场检查方式。</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auto"/>
          <w:sz w:val="32"/>
          <w:szCs w:val="32"/>
          <w:lang w:eastAsia="zh-CN"/>
        </w:rPr>
      </w:pPr>
      <w:r>
        <w:rPr>
          <w:rFonts w:hint="eastAsia" w:ascii="仿宋_GB2312" w:hAnsi="微软雅黑" w:eastAsia="仿宋_GB2312"/>
          <w:color w:val="auto"/>
          <w:sz w:val="32"/>
          <w:szCs w:val="32"/>
          <w:lang w:eastAsia="zh-CN"/>
        </w:rPr>
        <w:t>（三）医保经办机构</w:t>
      </w:r>
      <w:r>
        <w:rPr>
          <w:rFonts w:hint="eastAsia" w:ascii="仿宋_GB2312" w:hAnsi="微软雅黑" w:eastAsia="仿宋_GB2312"/>
          <w:color w:val="auto"/>
          <w:sz w:val="32"/>
          <w:szCs w:val="32"/>
        </w:rPr>
        <w:t>在</w:t>
      </w:r>
      <w:r>
        <w:rPr>
          <w:rFonts w:hint="eastAsia" w:ascii="仿宋_GB2312" w:hAnsi="sinsum" w:eastAsia="仿宋_GB2312" w:cs="仿宋_GB2312"/>
          <w:color w:val="auto"/>
          <w:sz w:val="32"/>
          <w:szCs w:val="32"/>
          <w:shd w:val="clear" w:color="auto" w:fill="FFFFFF"/>
        </w:rPr>
        <w:t>协议签署、</w:t>
      </w:r>
      <w:r>
        <w:rPr>
          <w:rFonts w:hint="eastAsia" w:ascii="仿宋_GB2312" w:hAnsi="微软雅黑" w:eastAsia="仿宋_GB2312"/>
          <w:color w:val="auto"/>
          <w:sz w:val="32"/>
          <w:szCs w:val="32"/>
        </w:rPr>
        <w:t>结算拨付、预算管理等方面给予激励措施</w:t>
      </w:r>
      <w:r>
        <w:rPr>
          <w:rFonts w:hint="eastAsia" w:ascii="仿宋_GB2312" w:hAnsi="微软雅黑" w:eastAsia="仿宋_GB2312"/>
          <w:color w:val="auto"/>
          <w:sz w:val="32"/>
          <w:szCs w:val="32"/>
          <w:lang w:eastAsia="zh-CN"/>
        </w:rPr>
        <w:t>；</w:t>
      </w:r>
    </w:p>
    <w:p>
      <w:pPr>
        <w:pStyle w:val="2"/>
        <w:shd w:val="clear" w:color="auto" w:fill="FFFFFF"/>
        <w:spacing w:before="0" w:beforeAutospacing="0" w:after="0" w:afterAutospacing="0" w:line="560" w:lineRule="exact"/>
        <w:ind w:left="0" w:leftChars="0" w:firstLine="640" w:firstLineChars="200"/>
        <w:jc w:val="both"/>
        <w:textAlignment w:val="baseline"/>
        <w:rPr>
          <w:rFonts w:hint="eastAsia" w:ascii="仿宋_GB2312" w:hAnsi="微软雅黑" w:eastAsia="仿宋_GB2312"/>
          <w:color w:val="auto"/>
          <w:sz w:val="32"/>
          <w:szCs w:val="32"/>
          <w:lang w:eastAsia="zh-CN"/>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四</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医保部门在实施优惠政策时，同等条件下列为优先选择对象或者予以重点支持；</w:t>
      </w:r>
    </w:p>
    <w:p>
      <w:pPr>
        <w:pStyle w:val="2"/>
        <w:shd w:val="clear" w:color="auto" w:fill="FFFFFF"/>
        <w:spacing w:before="0" w:beforeAutospacing="0" w:after="0" w:afterAutospacing="0" w:line="560" w:lineRule="exact"/>
        <w:ind w:left="0" w:leftChars="0" w:firstLine="640" w:firstLineChars="200"/>
        <w:jc w:val="both"/>
        <w:textAlignment w:val="baseline"/>
        <w:rPr>
          <w:rFonts w:hint="eastAsia" w:ascii="仿宋_GB2312" w:hAnsi="微软雅黑" w:eastAsia="仿宋_GB2312"/>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五</w:t>
      </w:r>
      <w:r>
        <w:rPr>
          <w:rFonts w:hint="eastAsia" w:ascii="仿宋_GB2312" w:hAnsi="微软雅黑" w:eastAsia="仿宋_GB2312"/>
          <w:color w:val="auto"/>
          <w:sz w:val="32"/>
          <w:szCs w:val="32"/>
        </w:rPr>
        <w:t>）办理</w:t>
      </w:r>
      <w:r>
        <w:rPr>
          <w:rFonts w:hint="eastAsia" w:ascii="仿宋_GB2312" w:hAnsi="微软雅黑" w:eastAsia="仿宋_GB2312"/>
          <w:color w:val="auto"/>
          <w:sz w:val="32"/>
          <w:szCs w:val="32"/>
          <w:lang w:eastAsia="zh-CN"/>
        </w:rPr>
        <w:t>医疗保障</w:t>
      </w:r>
      <w:r>
        <w:rPr>
          <w:rFonts w:hint="eastAsia" w:ascii="仿宋_GB2312" w:hAnsi="微软雅黑" w:eastAsia="仿宋_GB2312"/>
          <w:color w:val="auto"/>
          <w:sz w:val="32"/>
          <w:szCs w:val="32"/>
        </w:rPr>
        <w:t>业务时可享受“绿色通道”、“容缺受理”等服务；</w:t>
      </w:r>
    </w:p>
    <w:p>
      <w:pPr>
        <w:pStyle w:val="2"/>
        <w:shd w:val="clear" w:color="auto" w:fill="FFFFFF"/>
        <w:spacing w:before="0" w:beforeAutospacing="0" w:after="0" w:afterAutospacing="0" w:line="560" w:lineRule="exact"/>
        <w:ind w:firstLine="645"/>
        <w:jc w:val="both"/>
        <w:textAlignment w:val="baseline"/>
        <w:rPr>
          <w:rFonts w:ascii="微软雅黑" w:hAnsi="微软雅黑" w:eastAsia="微软雅黑"/>
          <w:color w:val="auto"/>
          <w:sz w:val="32"/>
          <w:szCs w:val="32"/>
        </w:rPr>
      </w:pP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六</w:t>
      </w:r>
      <w:r>
        <w:rPr>
          <w:rFonts w:hint="eastAsia" w:ascii="仿宋_GB2312" w:hAnsi="微软雅黑" w:eastAsia="仿宋_GB2312"/>
          <w:color w:val="auto"/>
          <w:sz w:val="32"/>
          <w:szCs w:val="32"/>
        </w:rPr>
        <w:t>）法律法规</w:t>
      </w:r>
      <w:r>
        <w:rPr>
          <w:rFonts w:hint="eastAsia" w:ascii="仿宋_GB2312" w:hAnsi="微软雅黑" w:eastAsia="仿宋_GB2312"/>
          <w:color w:val="auto"/>
          <w:sz w:val="32"/>
          <w:szCs w:val="32"/>
          <w:lang w:eastAsia="zh-CN"/>
        </w:rPr>
        <w:t>等</w:t>
      </w:r>
      <w:r>
        <w:rPr>
          <w:rFonts w:hint="eastAsia" w:ascii="仿宋_GB2312" w:hAnsi="微软雅黑" w:eastAsia="仿宋_GB2312"/>
          <w:color w:val="auto"/>
          <w:sz w:val="32"/>
          <w:szCs w:val="32"/>
        </w:rPr>
        <w:t>规定的其他激励措施。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黑体" w:hAnsi="黑体" w:eastAsia="黑体" w:cs="Times New Roman"/>
          <w:color w:val="auto"/>
          <w:sz w:val="32"/>
          <w:szCs w:val="32"/>
        </w:rPr>
        <w:t>第二十</w:t>
      </w:r>
      <w:r>
        <w:rPr>
          <w:rFonts w:hint="eastAsia" w:ascii="黑体" w:hAnsi="黑体" w:eastAsia="黑体" w:cs="Times New Roman"/>
          <w:color w:val="auto"/>
          <w:sz w:val="32"/>
          <w:szCs w:val="32"/>
          <w:lang w:eastAsia="zh-CN"/>
        </w:rPr>
        <w:t>二</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eastAsia="zh-CN"/>
        </w:rPr>
        <w:t>一般失信</w:t>
      </w:r>
      <w:r>
        <w:rPr>
          <w:rFonts w:hint="eastAsia" w:ascii="黑体" w:hAnsi="黑体" w:eastAsia="黑体" w:cs="Times New Roman"/>
          <w:color w:val="auto"/>
          <w:sz w:val="32"/>
          <w:szCs w:val="32"/>
        </w:rPr>
        <w:t>】</w:t>
      </w:r>
      <w:r>
        <w:rPr>
          <w:rFonts w:hint="eastAsia" w:ascii="黑体" w:hAnsi="黑体" w:eastAsia="黑体" w:cs="Times New Roman"/>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对一般失信主体，医保部门</w:t>
      </w:r>
      <w:r>
        <w:rPr>
          <w:rFonts w:hint="default" w:ascii="仿宋_GB2312" w:hAnsi="微软雅黑" w:eastAsia="仿宋_GB2312" w:cs="宋体"/>
          <w:color w:val="auto"/>
          <w:kern w:val="0"/>
          <w:sz w:val="32"/>
          <w:szCs w:val="32"/>
          <w:lang w:val="en-US" w:eastAsia="zh-CN" w:bidi="ar-SA"/>
        </w:rPr>
        <w:t>实施以下管理措施</w:t>
      </w:r>
      <w:r>
        <w:rPr>
          <w:rFonts w:hint="eastAsia" w:ascii="仿宋_GB2312" w:hAnsi="微软雅黑" w:eastAsia="仿宋_GB2312" w:cs="宋体"/>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（一）根据相关规定，披露其失信信息；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（二）列为一般监控和监督检查对象，适度提高抽查比例和频次；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（三）对失信定点医药机构，可通过协议管理在资金结算等方面采取惩戒措施；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（四）对相关责任人员，可按照医保协议中止医保支付资格；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（五）对失信参保人员，可按规定采取暂停医疗费用联网结算等措施；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（六）在资格资质审查、奖励实施等管理和服务中予以参考使用；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（七）法律法规等规定的其他方式。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宋体"/>
          <w:color w:val="auto"/>
          <w:kern w:val="0"/>
          <w:sz w:val="32"/>
          <w:szCs w:val="32"/>
          <w:lang w:val="en-US" w:eastAsia="zh-CN" w:bidi="ar-SA"/>
        </w:rPr>
      </w:pPr>
      <w:r>
        <w:rPr>
          <w:rFonts w:hint="eastAsia" w:ascii="黑体" w:hAnsi="黑体" w:eastAsia="黑体" w:cs="Times New Roman"/>
          <w:color w:val="auto"/>
          <w:sz w:val="32"/>
          <w:szCs w:val="32"/>
        </w:rPr>
        <w:t>第二十</w:t>
      </w:r>
      <w:r>
        <w:rPr>
          <w:rFonts w:hint="eastAsia" w:ascii="黑体" w:hAnsi="黑体" w:eastAsia="黑体" w:cs="Times New Roman"/>
          <w:color w:val="auto"/>
          <w:sz w:val="32"/>
          <w:szCs w:val="32"/>
          <w:lang w:eastAsia="zh-CN"/>
        </w:rPr>
        <w:t>三</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eastAsia="zh-CN"/>
        </w:rPr>
        <w:t>严重失信</w:t>
      </w:r>
      <w:r>
        <w:rPr>
          <w:rFonts w:hint="eastAsia" w:ascii="黑体" w:hAnsi="黑体" w:eastAsia="黑体" w:cs="Times New Roman"/>
          <w:color w:val="auto"/>
          <w:sz w:val="32"/>
          <w:szCs w:val="32"/>
        </w:rPr>
        <w:t>】</w:t>
      </w:r>
      <w:r>
        <w:rPr>
          <w:rFonts w:hint="eastAsia" w:ascii="黑体" w:hAnsi="黑体" w:eastAsia="黑体" w:cs="Times New Roman"/>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严重失信主体的管理措施按照国家和海南省相关规定执行。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宋体"/>
          <w:color w:val="auto"/>
          <w:kern w:val="0"/>
          <w:sz w:val="32"/>
          <w:szCs w:val="32"/>
          <w:lang w:val="en-US" w:eastAsia="zh-CN" w:bidi="ar-SA"/>
        </w:rPr>
      </w:pPr>
      <w:r>
        <w:rPr>
          <w:rFonts w:hint="eastAsia" w:ascii="黑体" w:hAnsi="黑体" w:eastAsia="黑体" w:cs="Times New Roman"/>
          <w:color w:val="auto"/>
          <w:sz w:val="32"/>
          <w:szCs w:val="32"/>
        </w:rPr>
        <w:t>第二十</w:t>
      </w:r>
      <w:r>
        <w:rPr>
          <w:rFonts w:hint="eastAsia" w:ascii="黑体" w:hAnsi="黑体" w:eastAsia="黑体" w:cs="Times New Roman"/>
          <w:color w:val="auto"/>
          <w:sz w:val="32"/>
          <w:szCs w:val="32"/>
          <w:lang w:eastAsia="zh-CN"/>
        </w:rPr>
        <w:t>四</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eastAsia="zh-CN"/>
        </w:rPr>
        <w:t>管理期限</w:t>
      </w:r>
      <w:r>
        <w:rPr>
          <w:rFonts w:hint="eastAsia" w:ascii="黑体" w:hAnsi="黑体" w:eastAsia="黑体" w:cs="Times New Roman"/>
          <w:color w:val="auto"/>
          <w:sz w:val="32"/>
          <w:szCs w:val="32"/>
        </w:rPr>
        <w:t>】</w:t>
      </w:r>
      <w:r>
        <w:rPr>
          <w:rFonts w:hint="eastAsia" w:ascii="黑体" w:hAnsi="黑体" w:eastAsia="黑体" w:cs="Times New Roman"/>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失信主体被认定为一般失信满一年，或被认定为</w:t>
      </w:r>
      <w:r>
        <w:rPr>
          <w:rFonts w:hint="default" w:ascii="仿宋_GB2312" w:hAnsi="微软雅黑" w:eastAsia="仿宋_GB2312" w:cs="宋体"/>
          <w:color w:val="auto"/>
          <w:kern w:val="0"/>
          <w:sz w:val="32"/>
          <w:szCs w:val="32"/>
          <w:lang w:val="en-US" w:eastAsia="zh-CN" w:bidi="ar-SA"/>
        </w:rPr>
        <w:t>严重失信满三年，且</w:t>
      </w:r>
      <w:r>
        <w:rPr>
          <w:rFonts w:hint="eastAsia" w:ascii="仿宋_GB2312" w:hAnsi="微软雅黑" w:eastAsia="仿宋_GB2312" w:cs="宋体"/>
          <w:color w:val="auto"/>
          <w:kern w:val="0"/>
          <w:sz w:val="32"/>
          <w:szCs w:val="32"/>
          <w:lang w:val="en-US" w:eastAsia="zh-CN" w:bidi="ar-SA"/>
        </w:rPr>
        <w:t>认定期限内</w:t>
      </w:r>
      <w:r>
        <w:rPr>
          <w:rFonts w:hint="default" w:ascii="仿宋_GB2312" w:hAnsi="微软雅黑" w:eastAsia="仿宋_GB2312" w:cs="宋体"/>
          <w:color w:val="auto"/>
          <w:kern w:val="0"/>
          <w:sz w:val="32"/>
          <w:szCs w:val="32"/>
          <w:lang w:val="en-US" w:eastAsia="zh-CN" w:bidi="ar-SA"/>
        </w:rPr>
        <w:t>未再发生</w:t>
      </w:r>
      <w:r>
        <w:rPr>
          <w:rFonts w:hint="eastAsia" w:ascii="仿宋_GB2312" w:hAnsi="微软雅黑" w:eastAsia="仿宋_GB2312" w:cs="宋体"/>
          <w:color w:val="auto"/>
          <w:kern w:val="0"/>
          <w:sz w:val="32"/>
          <w:szCs w:val="32"/>
          <w:lang w:val="en-US" w:eastAsia="zh-CN" w:bidi="ar-SA"/>
        </w:rPr>
        <w:t>失信</w:t>
      </w:r>
      <w:r>
        <w:rPr>
          <w:rFonts w:hint="default" w:ascii="仿宋_GB2312" w:hAnsi="微软雅黑" w:eastAsia="仿宋_GB2312" w:cs="宋体"/>
          <w:color w:val="auto"/>
          <w:kern w:val="0"/>
          <w:sz w:val="32"/>
          <w:szCs w:val="32"/>
          <w:lang w:val="en-US" w:eastAsia="zh-CN" w:bidi="ar-SA"/>
        </w:rPr>
        <w:t>事项的，由</w:t>
      </w:r>
      <w:r>
        <w:rPr>
          <w:rFonts w:hint="eastAsia" w:ascii="仿宋_GB2312" w:hAnsi="微软雅黑" w:eastAsia="仿宋_GB2312" w:cs="宋体"/>
          <w:color w:val="auto"/>
          <w:kern w:val="0"/>
          <w:sz w:val="32"/>
          <w:szCs w:val="32"/>
          <w:lang w:val="en-US" w:eastAsia="zh-CN" w:bidi="ar-SA"/>
        </w:rPr>
        <w:t>原失信认定</w:t>
      </w:r>
      <w:r>
        <w:rPr>
          <w:rFonts w:hint="default" w:ascii="仿宋_GB2312" w:hAnsi="微软雅黑" w:eastAsia="仿宋_GB2312" w:cs="宋体"/>
          <w:color w:val="auto"/>
          <w:kern w:val="0"/>
          <w:sz w:val="32"/>
          <w:szCs w:val="32"/>
          <w:lang w:val="en" w:eastAsia="zh-CN" w:bidi="ar-SA"/>
        </w:rPr>
        <w:t>部门</w:t>
      </w:r>
      <w:r>
        <w:rPr>
          <w:rFonts w:hint="eastAsia" w:ascii="仿宋_GB2312" w:hAnsi="微软雅黑" w:eastAsia="仿宋_GB2312" w:cs="宋体"/>
          <w:color w:val="auto"/>
          <w:kern w:val="0"/>
          <w:sz w:val="32"/>
          <w:szCs w:val="32"/>
          <w:lang w:val="en" w:eastAsia="zh-CN" w:bidi="ar-SA"/>
        </w:rPr>
        <w:t>主动及时</w:t>
      </w:r>
      <w:r>
        <w:rPr>
          <w:rFonts w:hint="default" w:ascii="仿宋_GB2312" w:hAnsi="微软雅黑" w:eastAsia="仿宋_GB2312" w:cs="宋体"/>
          <w:color w:val="auto"/>
          <w:kern w:val="0"/>
          <w:sz w:val="32"/>
          <w:szCs w:val="32"/>
          <w:lang w:val="en-US" w:eastAsia="zh-CN" w:bidi="ar-SA"/>
        </w:rPr>
        <w:t>停止公示相关信息，解除相关管理措施</w:t>
      </w:r>
      <w:r>
        <w:rPr>
          <w:rFonts w:hint="eastAsia" w:ascii="仿宋_GB2312" w:hAnsi="微软雅黑" w:eastAsia="仿宋_GB2312" w:cs="宋体"/>
          <w:color w:val="auto"/>
          <w:kern w:val="0"/>
          <w:sz w:val="32"/>
          <w:szCs w:val="32"/>
          <w:lang w:val="en-US" w:eastAsia="zh-CN" w:bidi="ar-SA"/>
        </w:rPr>
        <w:t>，并通过省级医保行政部门</w:t>
      </w:r>
      <w:r>
        <w:rPr>
          <w:rFonts w:hint="default" w:ascii="仿宋_GB2312" w:hAnsi="微软雅黑" w:eastAsia="仿宋_GB2312" w:cs="宋体"/>
          <w:color w:val="auto"/>
          <w:kern w:val="0"/>
          <w:sz w:val="32"/>
          <w:szCs w:val="32"/>
          <w:lang w:val="en-US" w:eastAsia="zh-CN" w:bidi="ar-SA"/>
        </w:rPr>
        <w:t>将</w:t>
      </w:r>
      <w:r>
        <w:rPr>
          <w:rFonts w:hint="eastAsia" w:ascii="仿宋_GB2312" w:hAnsi="微软雅黑" w:eastAsia="仿宋_GB2312" w:cs="宋体"/>
          <w:color w:val="auto"/>
          <w:kern w:val="0"/>
          <w:sz w:val="32"/>
          <w:szCs w:val="32"/>
          <w:lang w:val="en-US" w:eastAsia="zh-CN" w:bidi="ar-SA"/>
        </w:rPr>
        <w:t>变更</w:t>
      </w:r>
      <w:r>
        <w:rPr>
          <w:rFonts w:hint="default" w:ascii="仿宋_GB2312" w:hAnsi="微软雅黑" w:eastAsia="仿宋_GB2312" w:cs="宋体"/>
          <w:color w:val="auto"/>
          <w:kern w:val="0"/>
          <w:sz w:val="32"/>
          <w:szCs w:val="32"/>
          <w:lang w:val="en-US" w:eastAsia="zh-CN" w:bidi="ar-SA"/>
        </w:rPr>
        <w:t>信息</w:t>
      </w:r>
      <w:r>
        <w:rPr>
          <w:rFonts w:hint="eastAsia" w:ascii="仿宋_GB2312" w:hAnsi="微软雅黑" w:eastAsia="仿宋_GB2312" w:cs="宋体"/>
          <w:color w:val="auto"/>
          <w:kern w:val="0"/>
          <w:sz w:val="32"/>
          <w:szCs w:val="32"/>
          <w:lang w:val="en-US" w:eastAsia="zh-CN" w:bidi="ar-SA"/>
        </w:rPr>
        <w:t>推动至省级有关部门。</w:t>
      </w:r>
    </w:p>
    <w:p>
      <w:pPr>
        <w:pStyle w:val="2"/>
        <w:shd w:val="clear" w:color="auto" w:fill="FFFFFF"/>
        <w:spacing w:before="0" w:beforeAutospacing="0" w:after="0" w:afterAutospacing="0" w:line="560" w:lineRule="exact"/>
        <w:jc w:val="center"/>
        <w:textAlignment w:val="baseline"/>
        <w:rPr>
          <w:rStyle w:val="5"/>
          <w:rFonts w:hint="eastAsia" w:ascii="黑体" w:hAnsi="黑体" w:eastAsia="黑体"/>
          <w:color w:val="auto"/>
          <w:sz w:val="32"/>
          <w:szCs w:val="32"/>
        </w:rPr>
      </w:pPr>
    </w:p>
    <w:p>
      <w:pPr>
        <w:pStyle w:val="2"/>
        <w:shd w:val="clear" w:color="auto" w:fill="FFFFFF"/>
        <w:spacing w:before="0" w:beforeAutospacing="0" w:after="0" w:afterAutospacing="0" w:line="560" w:lineRule="exact"/>
        <w:jc w:val="center"/>
        <w:textAlignment w:val="baseline"/>
        <w:rPr>
          <w:rStyle w:val="5"/>
          <w:rFonts w:hint="eastAsia" w:ascii="黑体" w:hAnsi="黑体" w:eastAsia="黑体"/>
          <w:b w:val="0"/>
          <w:bCs w:val="0"/>
          <w:color w:val="auto"/>
          <w:sz w:val="32"/>
          <w:szCs w:val="32"/>
        </w:rPr>
      </w:pPr>
      <w:r>
        <w:rPr>
          <w:rStyle w:val="5"/>
          <w:rFonts w:hint="eastAsia" w:ascii="黑体" w:hAnsi="黑体" w:eastAsia="黑体"/>
          <w:b w:val="0"/>
          <w:bCs w:val="0"/>
          <w:color w:val="auto"/>
          <w:kern w:val="2"/>
          <w:sz w:val="32"/>
          <w:szCs w:val="32"/>
          <w:lang w:bidi="ar-SA"/>
        </w:rPr>
        <w:t>第六章</w:t>
      </w:r>
      <w:r>
        <w:rPr>
          <w:rStyle w:val="5"/>
          <w:rFonts w:hint="eastAsia" w:ascii="黑体" w:hAnsi="黑体" w:eastAsia="黑体"/>
          <w:b w:val="0"/>
          <w:bCs w:val="0"/>
          <w:color w:val="auto"/>
          <w:kern w:val="2"/>
          <w:sz w:val="32"/>
          <w:szCs w:val="32"/>
          <w:lang w:val="en-US" w:eastAsia="zh-CN" w:bidi="ar-SA"/>
        </w:rPr>
        <w:t xml:space="preserve">  </w:t>
      </w:r>
      <w:r>
        <w:rPr>
          <w:rStyle w:val="5"/>
          <w:rFonts w:hint="eastAsia" w:ascii="黑体" w:hAnsi="黑体" w:eastAsia="黑体"/>
          <w:b w:val="0"/>
          <w:bCs w:val="0"/>
          <w:color w:val="auto"/>
          <w:kern w:val="2"/>
          <w:sz w:val="32"/>
          <w:szCs w:val="32"/>
          <w:lang w:eastAsia="zh-CN" w:bidi="ar-SA"/>
        </w:rPr>
        <w:t>失信</w:t>
      </w:r>
      <w:r>
        <w:rPr>
          <w:rStyle w:val="5"/>
          <w:rFonts w:hint="eastAsia" w:ascii="黑体" w:hAnsi="黑体" w:eastAsia="黑体"/>
          <w:b w:val="0"/>
          <w:bCs w:val="0"/>
          <w:color w:val="auto"/>
          <w:kern w:val="2"/>
          <w:sz w:val="32"/>
          <w:szCs w:val="32"/>
          <w:lang w:bidi="ar-SA"/>
        </w:rPr>
        <w:t>修复</w:t>
      </w:r>
    </w:p>
    <w:p>
      <w:pPr>
        <w:snapToGrid w:val="0"/>
        <w:spacing w:line="560" w:lineRule="exact"/>
        <w:ind w:firstLine="640" w:firstLineChars="200"/>
        <w:textAlignment w:val="baseline"/>
        <w:rPr>
          <w:rFonts w:ascii="宋体" w:hAnsi="宋体" w:eastAsia="仿宋_GB2312" w:cs="Arial Unicode MS"/>
          <w:color w:val="auto"/>
          <w:kern w:val="36"/>
          <w:sz w:val="32"/>
          <w:szCs w:val="32"/>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w:t>
      </w:r>
      <w:r>
        <w:rPr>
          <w:rFonts w:hint="eastAsia" w:ascii="黑体" w:hAnsi="黑体" w:eastAsia="黑体" w:cs="Times New Roman"/>
          <w:color w:val="auto"/>
          <w:sz w:val="32"/>
          <w:szCs w:val="32"/>
        </w:rPr>
        <w:t>十</w:t>
      </w:r>
      <w:r>
        <w:rPr>
          <w:rFonts w:hint="eastAsia" w:ascii="黑体" w:hAnsi="黑体" w:eastAsia="黑体" w:cs="Times New Roman"/>
          <w:color w:val="auto"/>
          <w:sz w:val="32"/>
          <w:szCs w:val="32"/>
          <w:lang w:eastAsia="zh-CN"/>
        </w:rPr>
        <w:t>五</w:t>
      </w:r>
      <w:r>
        <w:rPr>
          <w:rFonts w:hint="eastAsia" w:ascii="黑体" w:hAnsi="黑体" w:eastAsia="黑体" w:cs="Times New Roman"/>
          <w:color w:val="auto"/>
          <w:sz w:val="32"/>
          <w:szCs w:val="32"/>
        </w:rPr>
        <w:t>条【</w:t>
      </w:r>
      <w:r>
        <w:rPr>
          <w:rFonts w:hint="eastAsia" w:ascii="黑体" w:hAnsi="黑体" w:eastAsia="黑体" w:cs="Times New Roman"/>
          <w:color w:val="auto"/>
          <w:sz w:val="32"/>
          <w:szCs w:val="32"/>
          <w:lang w:eastAsia="zh-CN"/>
        </w:rPr>
        <w:t>鼓励</w:t>
      </w:r>
      <w:r>
        <w:rPr>
          <w:rFonts w:hint="eastAsia" w:ascii="黑体" w:hAnsi="黑体" w:eastAsia="黑体" w:cs="Times New Roman"/>
          <w:color w:val="auto"/>
          <w:sz w:val="32"/>
          <w:szCs w:val="32"/>
        </w:rPr>
        <w:t>修复】</w:t>
      </w:r>
      <w:r>
        <w:rPr>
          <w:rFonts w:hint="eastAsia" w:ascii="黑体" w:hAnsi="黑体" w:eastAsia="黑体" w:cs="Times New Roman"/>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鼓励失信主体进行信用修复，纠正失信行为、消除不良影响。符合修复条件的，医保行政部门应当按照有关规定提前解除失信管理措施。</w:t>
      </w:r>
    </w:p>
    <w:p>
      <w:pPr>
        <w:snapToGrid w:val="0"/>
        <w:spacing w:line="560" w:lineRule="exact"/>
        <w:ind w:firstLine="640" w:firstLineChars="200"/>
        <w:textAlignment w:val="baseline"/>
        <w:rPr>
          <w:rFonts w:hint="default" w:ascii="仿宋_GB2312" w:hAnsi="微软雅黑" w:eastAsia="仿宋_GB2312" w:cs="宋体"/>
          <w:color w:val="auto"/>
          <w:kern w:val="0"/>
          <w:sz w:val="32"/>
          <w:szCs w:val="32"/>
          <w:lang w:val="en-US" w:eastAsia="zh-CN" w:bidi="ar-SA"/>
        </w:rPr>
      </w:pPr>
      <w:r>
        <w:rPr>
          <w:rFonts w:hint="eastAsia" w:ascii="黑体" w:hAnsi="黑体" w:eastAsia="黑体" w:cs="Times New Roman"/>
          <w:color w:val="auto"/>
          <w:sz w:val="32"/>
          <w:szCs w:val="32"/>
        </w:rPr>
        <w:t>第</w:t>
      </w:r>
      <w:r>
        <w:rPr>
          <w:rFonts w:hint="eastAsia" w:ascii="黑体" w:hAnsi="黑体" w:eastAsia="黑体" w:cs="Times New Roman"/>
          <w:color w:val="auto"/>
          <w:sz w:val="32"/>
          <w:szCs w:val="32"/>
          <w:lang w:eastAsia="zh-CN"/>
        </w:rPr>
        <w:t>二</w:t>
      </w:r>
      <w:r>
        <w:rPr>
          <w:rFonts w:hint="eastAsia" w:ascii="黑体" w:hAnsi="黑体" w:eastAsia="黑体" w:cs="Times New Roman"/>
          <w:color w:val="auto"/>
          <w:sz w:val="32"/>
          <w:szCs w:val="32"/>
        </w:rPr>
        <w:t>十</w:t>
      </w:r>
      <w:r>
        <w:rPr>
          <w:rFonts w:hint="eastAsia" w:ascii="黑体" w:hAnsi="黑体" w:eastAsia="黑体" w:cs="Times New Roman"/>
          <w:color w:val="auto"/>
          <w:sz w:val="32"/>
          <w:szCs w:val="32"/>
          <w:lang w:eastAsia="zh-CN"/>
        </w:rPr>
        <w:t>六</w:t>
      </w:r>
      <w:r>
        <w:rPr>
          <w:rFonts w:hint="eastAsia" w:ascii="黑体" w:hAnsi="黑体" w:eastAsia="黑体" w:cs="Times New Roman"/>
          <w:color w:val="auto"/>
          <w:sz w:val="32"/>
          <w:szCs w:val="32"/>
        </w:rPr>
        <w:t>条</w:t>
      </w:r>
      <w:r>
        <w:rPr>
          <w:rFonts w:hint="eastAsia" w:ascii="仿宋_GB2312" w:hAnsi="微软雅黑" w:eastAsia="仿宋_GB2312" w:cs="Times New Roman"/>
          <w:color w:val="auto"/>
          <w:sz w:val="32"/>
          <w:szCs w:val="32"/>
        </w:rPr>
        <w:t>【</w:t>
      </w:r>
      <w:r>
        <w:rPr>
          <w:rFonts w:hint="eastAsia" w:ascii="黑体" w:hAnsi="黑体" w:eastAsia="黑体" w:cs="Times New Roman"/>
          <w:color w:val="auto"/>
          <w:sz w:val="32"/>
          <w:szCs w:val="32"/>
        </w:rPr>
        <w:t>修复条件</w:t>
      </w:r>
      <w:r>
        <w:rPr>
          <w:rFonts w:hint="eastAsia" w:ascii="仿宋_GB2312" w:hAnsi="微软雅黑" w:eastAsia="仿宋_GB2312" w:cs="Times New Roman"/>
          <w:color w:val="auto"/>
          <w:sz w:val="32"/>
          <w:szCs w:val="32"/>
        </w:rPr>
        <w:t>】</w:t>
      </w:r>
      <w:r>
        <w:rPr>
          <w:rFonts w:hint="eastAsia" w:ascii="仿宋_GB2312" w:hAnsi="微软雅黑" w:eastAsia="仿宋_GB2312" w:cs="Times New Roman"/>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失信主体</w:t>
      </w:r>
      <w:r>
        <w:rPr>
          <w:rFonts w:hint="default" w:ascii="仿宋_GB2312" w:hAnsi="微软雅黑" w:eastAsia="仿宋_GB2312" w:cs="宋体"/>
          <w:color w:val="auto"/>
          <w:kern w:val="0"/>
          <w:sz w:val="32"/>
          <w:szCs w:val="32"/>
          <w:lang w:val="en-US" w:eastAsia="zh-CN" w:bidi="ar-SA"/>
        </w:rPr>
        <w:t>符合下列条件的，可以依照</w:t>
      </w:r>
      <w:r>
        <w:rPr>
          <w:rFonts w:hint="eastAsia" w:ascii="仿宋_GB2312" w:hAnsi="微软雅黑" w:eastAsia="仿宋_GB2312" w:cs="宋体"/>
          <w:color w:val="auto"/>
          <w:kern w:val="0"/>
          <w:sz w:val="32"/>
          <w:szCs w:val="32"/>
          <w:lang w:val="en-US" w:eastAsia="zh-CN" w:bidi="ar-SA"/>
        </w:rPr>
        <w:t>本办法</w:t>
      </w:r>
      <w:r>
        <w:rPr>
          <w:rFonts w:hint="default" w:ascii="仿宋_GB2312" w:hAnsi="微软雅黑" w:eastAsia="仿宋_GB2312" w:cs="宋体"/>
          <w:color w:val="auto"/>
          <w:kern w:val="0"/>
          <w:sz w:val="32"/>
          <w:szCs w:val="32"/>
          <w:lang w:val="en-US" w:eastAsia="zh-CN" w:bidi="ar-SA"/>
        </w:rPr>
        <w:t>规定向</w:t>
      </w:r>
      <w:r>
        <w:rPr>
          <w:rFonts w:hint="eastAsia" w:ascii="仿宋_GB2312" w:hAnsi="微软雅黑" w:eastAsia="仿宋_GB2312" w:cs="宋体"/>
          <w:color w:val="auto"/>
          <w:kern w:val="0"/>
          <w:sz w:val="32"/>
          <w:szCs w:val="32"/>
          <w:lang w:val="en-US" w:eastAsia="zh-CN" w:bidi="ar-SA"/>
        </w:rPr>
        <w:t>原失信认定</w:t>
      </w:r>
      <w:r>
        <w:rPr>
          <w:rFonts w:hint="default" w:ascii="仿宋_GB2312" w:hAnsi="微软雅黑" w:eastAsia="仿宋_GB2312" w:cs="宋体"/>
          <w:color w:val="auto"/>
          <w:kern w:val="0"/>
          <w:sz w:val="32"/>
          <w:szCs w:val="32"/>
          <w:lang w:val="en" w:eastAsia="zh-CN" w:bidi="ar-SA"/>
        </w:rPr>
        <w:t>部门</w:t>
      </w:r>
      <w:r>
        <w:rPr>
          <w:rFonts w:hint="default" w:ascii="仿宋_GB2312" w:hAnsi="微软雅黑" w:eastAsia="仿宋_GB2312" w:cs="宋体"/>
          <w:color w:val="auto"/>
          <w:kern w:val="0"/>
          <w:sz w:val="32"/>
          <w:szCs w:val="32"/>
          <w:lang w:val="en-US" w:eastAsia="zh-CN" w:bidi="ar-SA"/>
        </w:rPr>
        <w:t>申请</w:t>
      </w:r>
      <w:r>
        <w:rPr>
          <w:rFonts w:hint="eastAsia" w:ascii="仿宋_GB2312" w:hAnsi="微软雅黑" w:eastAsia="仿宋_GB2312" w:cs="宋体"/>
          <w:color w:val="auto"/>
          <w:kern w:val="0"/>
          <w:sz w:val="32"/>
          <w:szCs w:val="32"/>
          <w:lang w:val="en-US" w:eastAsia="zh-CN" w:bidi="ar-SA"/>
        </w:rPr>
        <w:t>失信修复</w:t>
      </w:r>
      <w:r>
        <w:rPr>
          <w:rFonts w:hint="default" w:ascii="仿宋_GB2312" w:hAnsi="微软雅黑" w:eastAsia="仿宋_GB2312" w:cs="宋体"/>
          <w:color w:val="auto"/>
          <w:kern w:val="0"/>
          <w:sz w:val="32"/>
          <w:szCs w:val="32"/>
          <w:lang w:val="en-US" w:eastAsia="zh-CN" w:bidi="ar-SA"/>
        </w:rPr>
        <w:t>：</w:t>
      </w:r>
    </w:p>
    <w:p>
      <w:pPr>
        <w:snapToGrid w:val="0"/>
        <w:spacing w:line="560" w:lineRule="exact"/>
        <w:ind w:firstLine="640" w:firstLineChars="200"/>
        <w:textAlignment w:val="baseline"/>
        <w:rPr>
          <w:rFonts w:hint="default"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（一）一般失信认定满三个月，严重失信认定满六个月；</w:t>
      </w:r>
    </w:p>
    <w:p>
      <w:pPr>
        <w:snapToGrid w:val="0"/>
        <w:spacing w:line="560" w:lineRule="exact"/>
        <w:ind w:firstLine="640" w:firstLineChars="200"/>
        <w:textAlignment w:val="baseline"/>
        <w:rPr>
          <w:rFonts w:hint="default" w:ascii="仿宋_GB2312" w:hAnsi="微软雅黑" w:eastAsia="仿宋_GB2312" w:cs="宋体"/>
          <w:color w:val="auto"/>
          <w:kern w:val="0"/>
          <w:sz w:val="32"/>
          <w:szCs w:val="32"/>
          <w:lang w:val="en-US" w:eastAsia="zh-CN" w:bidi="ar-SA"/>
        </w:rPr>
      </w:pPr>
      <w:r>
        <w:rPr>
          <w:rFonts w:hint="default" w:ascii="仿宋_GB2312" w:hAnsi="微软雅黑" w:eastAsia="仿宋_GB2312" w:cs="宋体"/>
          <w:color w:val="auto"/>
          <w:kern w:val="0"/>
          <w:sz w:val="32"/>
          <w:szCs w:val="32"/>
          <w:lang w:val="en-US" w:eastAsia="zh-CN" w:bidi="ar-SA"/>
        </w:rPr>
        <w:t>（</w:t>
      </w:r>
      <w:r>
        <w:rPr>
          <w:rFonts w:hint="eastAsia" w:ascii="仿宋_GB2312" w:hAnsi="微软雅黑" w:eastAsia="仿宋_GB2312" w:cs="宋体"/>
          <w:color w:val="auto"/>
          <w:kern w:val="0"/>
          <w:sz w:val="32"/>
          <w:szCs w:val="32"/>
          <w:lang w:val="en-US" w:eastAsia="zh-CN" w:bidi="ar-SA"/>
        </w:rPr>
        <w:t>二</w:t>
      </w:r>
      <w:r>
        <w:rPr>
          <w:rFonts w:hint="default" w:ascii="仿宋_GB2312" w:hAnsi="微软雅黑" w:eastAsia="仿宋_GB2312" w:cs="宋体"/>
          <w:color w:val="auto"/>
          <w:kern w:val="0"/>
          <w:sz w:val="32"/>
          <w:szCs w:val="32"/>
          <w:lang w:val="en-US" w:eastAsia="zh-CN" w:bidi="ar-SA"/>
        </w:rPr>
        <w:t>）已经自觉履行行政处罚决定中规定的义务；</w:t>
      </w:r>
    </w:p>
    <w:p>
      <w:pPr>
        <w:snapToGrid w:val="0"/>
        <w:spacing w:line="560" w:lineRule="exact"/>
        <w:ind w:firstLine="640" w:firstLineChars="200"/>
        <w:textAlignment w:val="baseline"/>
        <w:rPr>
          <w:rFonts w:hint="default" w:ascii="仿宋_GB2312" w:hAnsi="微软雅黑" w:eastAsia="仿宋_GB2312" w:cs="宋体"/>
          <w:color w:val="auto"/>
          <w:kern w:val="0"/>
          <w:sz w:val="32"/>
          <w:szCs w:val="32"/>
          <w:lang w:val="en-US" w:eastAsia="zh-CN" w:bidi="ar-SA"/>
        </w:rPr>
      </w:pPr>
      <w:r>
        <w:rPr>
          <w:rFonts w:hint="default" w:ascii="仿宋_GB2312" w:hAnsi="微软雅黑" w:eastAsia="仿宋_GB2312" w:cs="宋体"/>
          <w:color w:val="auto"/>
          <w:kern w:val="0"/>
          <w:sz w:val="32"/>
          <w:szCs w:val="32"/>
          <w:lang w:val="en-US" w:eastAsia="zh-CN" w:bidi="ar-SA"/>
        </w:rPr>
        <w:t>（</w:t>
      </w:r>
      <w:r>
        <w:rPr>
          <w:rFonts w:hint="eastAsia" w:ascii="仿宋_GB2312" w:hAnsi="微软雅黑" w:eastAsia="仿宋_GB2312" w:cs="宋体"/>
          <w:color w:val="auto"/>
          <w:kern w:val="0"/>
          <w:sz w:val="32"/>
          <w:szCs w:val="32"/>
          <w:lang w:val="en-US" w:eastAsia="zh-CN" w:bidi="ar-SA"/>
        </w:rPr>
        <w:t>三</w:t>
      </w:r>
      <w:r>
        <w:rPr>
          <w:rFonts w:hint="default" w:ascii="仿宋_GB2312" w:hAnsi="微软雅黑" w:eastAsia="仿宋_GB2312" w:cs="宋体"/>
          <w:color w:val="auto"/>
          <w:kern w:val="0"/>
          <w:sz w:val="32"/>
          <w:szCs w:val="32"/>
          <w:lang w:val="en-US" w:eastAsia="zh-CN" w:bidi="ar-SA"/>
        </w:rPr>
        <w:t>）已经主动消除危害后果和不良影响；</w:t>
      </w:r>
    </w:p>
    <w:p>
      <w:pPr>
        <w:snapToGrid w:val="0"/>
        <w:spacing w:line="560" w:lineRule="exact"/>
        <w:ind w:firstLine="640" w:firstLineChars="200"/>
        <w:textAlignment w:val="baseline"/>
        <w:rPr>
          <w:rFonts w:hint="eastAsia" w:ascii="宋体" w:hAnsi="宋体" w:eastAsia="仿宋_GB2312" w:cs="Arial Unicode MS"/>
          <w:color w:val="auto"/>
          <w:kern w:val="36"/>
          <w:sz w:val="32"/>
          <w:szCs w:val="32"/>
          <w:lang w:eastAsia="zh-CN"/>
        </w:rPr>
      </w:pPr>
      <w:r>
        <w:rPr>
          <w:rFonts w:hint="default" w:ascii="仿宋_GB2312" w:hAnsi="微软雅黑" w:eastAsia="仿宋_GB2312" w:cs="宋体"/>
          <w:color w:val="auto"/>
          <w:kern w:val="0"/>
          <w:sz w:val="32"/>
          <w:szCs w:val="32"/>
          <w:lang w:val="en-US" w:eastAsia="zh-CN" w:bidi="ar-SA"/>
        </w:rPr>
        <w:t>（</w:t>
      </w:r>
      <w:r>
        <w:rPr>
          <w:rFonts w:hint="eastAsia" w:ascii="仿宋_GB2312" w:hAnsi="微软雅黑" w:eastAsia="仿宋_GB2312" w:cs="宋体"/>
          <w:color w:val="auto"/>
          <w:kern w:val="0"/>
          <w:sz w:val="32"/>
          <w:szCs w:val="32"/>
          <w:lang w:val="en-US" w:eastAsia="zh-CN" w:bidi="ar-SA"/>
        </w:rPr>
        <w:t>四</w:t>
      </w:r>
      <w:r>
        <w:rPr>
          <w:rFonts w:hint="default" w:ascii="仿宋_GB2312" w:hAnsi="微软雅黑" w:eastAsia="仿宋_GB2312" w:cs="宋体"/>
          <w:color w:val="auto"/>
          <w:kern w:val="0"/>
          <w:sz w:val="32"/>
          <w:szCs w:val="32"/>
          <w:lang w:val="en-US" w:eastAsia="zh-CN" w:bidi="ar-SA"/>
        </w:rPr>
        <w:t>）</w:t>
      </w:r>
      <w:r>
        <w:rPr>
          <w:rFonts w:hint="eastAsia" w:ascii="宋体" w:hAnsi="宋体" w:eastAsia="仿宋_GB2312" w:cs="Arial Unicode MS"/>
          <w:color w:val="auto"/>
          <w:kern w:val="36"/>
          <w:sz w:val="32"/>
          <w:szCs w:val="32"/>
        </w:rPr>
        <w:t>已按要求作出并公开信用承诺</w:t>
      </w:r>
      <w:r>
        <w:rPr>
          <w:rFonts w:hint="eastAsia" w:ascii="宋体" w:hAnsi="宋体" w:eastAsia="仿宋_GB2312" w:cs="Arial Unicode MS"/>
          <w:color w:val="auto"/>
          <w:kern w:val="36"/>
          <w:sz w:val="32"/>
          <w:szCs w:val="32"/>
          <w:lang w:eastAsia="zh-CN"/>
        </w:rPr>
        <w:t>；</w:t>
      </w:r>
    </w:p>
    <w:p>
      <w:pPr>
        <w:snapToGrid w:val="0"/>
        <w:spacing w:line="560" w:lineRule="exact"/>
        <w:ind w:firstLine="640" w:firstLineChars="200"/>
        <w:textAlignment w:val="baseline"/>
        <w:rPr>
          <w:rFonts w:hint="default" w:ascii="仿宋_GB2312" w:hAnsi="微软雅黑" w:eastAsia="仿宋_GB2312" w:cs="宋体"/>
          <w:color w:val="auto"/>
          <w:kern w:val="0"/>
          <w:sz w:val="32"/>
          <w:szCs w:val="32"/>
          <w:lang w:val="en-US" w:eastAsia="zh-CN" w:bidi="ar-SA"/>
        </w:rPr>
      </w:pPr>
      <w:r>
        <w:rPr>
          <w:rFonts w:hint="default" w:ascii="仿宋_GB2312" w:hAnsi="微软雅黑" w:eastAsia="仿宋_GB2312" w:cs="宋体"/>
          <w:color w:val="auto"/>
          <w:kern w:val="0"/>
          <w:sz w:val="32"/>
          <w:szCs w:val="32"/>
          <w:lang w:val="en-US" w:eastAsia="zh-CN" w:bidi="ar-SA"/>
        </w:rPr>
        <w:t>（</w:t>
      </w:r>
      <w:r>
        <w:rPr>
          <w:rFonts w:hint="eastAsia" w:ascii="仿宋_GB2312" w:hAnsi="微软雅黑" w:eastAsia="仿宋_GB2312" w:cs="宋体"/>
          <w:color w:val="auto"/>
          <w:kern w:val="0"/>
          <w:sz w:val="32"/>
          <w:szCs w:val="32"/>
          <w:lang w:val="en-US" w:eastAsia="zh-CN" w:bidi="ar-SA"/>
        </w:rPr>
        <w:t>五</w:t>
      </w:r>
      <w:r>
        <w:rPr>
          <w:rFonts w:hint="default" w:ascii="仿宋_GB2312" w:hAnsi="微软雅黑" w:eastAsia="仿宋_GB2312" w:cs="宋体"/>
          <w:color w:val="auto"/>
          <w:kern w:val="0"/>
          <w:sz w:val="32"/>
          <w:szCs w:val="32"/>
          <w:lang w:val="en-US" w:eastAsia="zh-CN" w:bidi="ar-SA"/>
        </w:rPr>
        <w:t>）期间未再受到</w:t>
      </w:r>
      <w:r>
        <w:rPr>
          <w:rFonts w:hint="eastAsia" w:ascii="仿宋_GB2312" w:hAnsi="微软雅黑" w:eastAsia="仿宋_GB2312" w:cs="宋体"/>
          <w:color w:val="auto"/>
          <w:kern w:val="0"/>
          <w:sz w:val="32"/>
          <w:szCs w:val="32"/>
          <w:lang w:val="en" w:eastAsia="zh-CN" w:bidi="ar-SA"/>
        </w:rPr>
        <w:t>医保基金监管相关</w:t>
      </w:r>
      <w:r>
        <w:rPr>
          <w:rFonts w:hint="default" w:ascii="仿宋_GB2312" w:hAnsi="微软雅黑" w:eastAsia="仿宋_GB2312" w:cs="宋体"/>
          <w:color w:val="auto"/>
          <w:kern w:val="0"/>
          <w:sz w:val="32"/>
          <w:szCs w:val="32"/>
          <w:lang w:val="en-US" w:eastAsia="zh-CN" w:bidi="ar-SA"/>
        </w:rPr>
        <w:t>处罚</w:t>
      </w:r>
      <w:r>
        <w:rPr>
          <w:rFonts w:hint="eastAsia" w:ascii="仿宋_GB2312" w:hAnsi="微软雅黑" w:eastAsia="仿宋_GB2312" w:cs="宋体"/>
          <w:color w:val="auto"/>
          <w:kern w:val="0"/>
          <w:sz w:val="32"/>
          <w:szCs w:val="32"/>
          <w:lang w:val="en-US" w:eastAsia="zh-CN" w:bidi="ar-SA"/>
        </w:rPr>
        <w:t>的</w:t>
      </w:r>
      <w:r>
        <w:rPr>
          <w:rFonts w:hint="default" w:ascii="仿宋_GB2312" w:hAnsi="微软雅黑" w:eastAsia="仿宋_GB2312" w:cs="宋体"/>
          <w:color w:val="auto"/>
          <w:kern w:val="0"/>
          <w:sz w:val="32"/>
          <w:szCs w:val="32"/>
          <w:lang w:val="en-US" w:eastAsia="zh-CN" w:bidi="ar-SA"/>
        </w:rPr>
        <w:t>。</w:t>
      </w:r>
    </w:p>
    <w:p>
      <w:pPr>
        <w:snapToGrid w:val="0"/>
        <w:spacing w:line="560" w:lineRule="exact"/>
        <w:ind w:firstLine="640" w:firstLineChars="200"/>
        <w:textAlignment w:val="baseline"/>
        <w:rPr>
          <w:rFonts w:hint="eastAsia" w:ascii="仿宋_GB2312" w:hAnsi="微软雅黑" w:eastAsia="仿宋_GB2312" w:cs="宋体"/>
          <w:color w:val="auto"/>
          <w:kern w:val="0"/>
          <w:sz w:val="32"/>
          <w:szCs w:val="32"/>
          <w:lang w:val="en-US" w:eastAsia="zh-CN" w:bidi="ar-SA"/>
        </w:rPr>
      </w:pPr>
      <w:r>
        <w:rPr>
          <w:rFonts w:hint="eastAsia" w:ascii="仿宋_GB2312" w:hAnsi="微软雅黑" w:eastAsia="仿宋_GB2312" w:cs="宋体"/>
          <w:color w:val="auto"/>
          <w:kern w:val="0"/>
          <w:sz w:val="32"/>
          <w:szCs w:val="32"/>
          <w:lang w:val="en-US" w:eastAsia="zh-CN" w:bidi="ar-SA"/>
        </w:rPr>
        <w:t>不予信用修复的情形按照国家和我省有关规定执行。</w:t>
      </w:r>
    </w:p>
    <w:p>
      <w:pPr>
        <w:pStyle w:val="2"/>
        <w:shd w:val="clear" w:color="auto" w:fill="FFFFFF"/>
        <w:spacing w:before="0" w:beforeAutospacing="0" w:after="0" w:afterAutospacing="0" w:line="560" w:lineRule="exact"/>
        <w:ind w:firstLine="645"/>
        <w:jc w:val="both"/>
        <w:textAlignment w:val="baseline"/>
        <w:rPr>
          <w:rFonts w:hint="eastAsia" w:ascii="仿宋_GB2312" w:hAnsi="仿宋_GB2312" w:eastAsia="仿宋_GB2312" w:cs="仿宋_GB2312"/>
          <w:color w:val="auto"/>
          <w:kern w:val="36"/>
          <w:sz w:val="32"/>
          <w:szCs w:val="32"/>
          <w:lang w:val="en-US" w:eastAsia="zh-CN" w:bidi="ar-SA"/>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w:t>
      </w:r>
      <w:r>
        <w:rPr>
          <w:rFonts w:hint="eastAsia" w:ascii="黑体" w:hAnsi="黑体" w:eastAsia="黑体"/>
          <w:color w:val="auto"/>
          <w:sz w:val="32"/>
          <w:szCs w:val="32"/>
        </w:rPr>
        <w:t>十</w:t>
      </w:r>
      <w:r>
        <w:rPr>
          <w:rFonts w:hint="eastAsia" w:ascii="黑体" w:hAnsi="黑体" w:eastAsia="黑体"/>
          <w:color w:val="auto"/>
          <w:sz w:val="32"/>
          <w:szCs w:val="32"/>
          <w:lang w:eastAsia="zh-CN"/>
        </w:rPr>
        <w:t>七</w:t>
      </w:r>
      <w:r>
        <w:rPr>
          <w:rFonts w:hint="eastAsia" w:ascii="黑体" w:hAnsi="黑体" w:eastAsia="黑体"/>
          <w:color w:val="auto"/>
          <w:sz w:val="32"/>
          <w:szCs w:val="32"/>
        </w:rPr>
        <w:t>条</w:t>
      </w:r>
      <w:r>
        <w:rPr>
          <w:rFonts w:hint="eastAsia" w:ascii="仿宋_GB2312" w:hAnsi="微软雅黑" w:eastAsia="仿宋_GB2312"/>
          <w:color w:val="auto"/>
          <w:sz w:val="32"/>
          <w:szCs w:val="32"/>
        </w:rPr>
        <w:t>【</w:t>
      </w:r>
      <w:r>
        <w:rPr>
          <w:rFonts w:hint="eastAsia" w:ascii="黑体" w:hAnsi="黑体" w:eastAsia="黑体"/>
          <w:color w:val="auto"/>
          <w:sz w:val="32"/>
          <w:szCs w:val="32"/>
        </w:rPr>
        <w:t>修复申请</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val="en-US" w:eastAsia="zh-CN"/>
        </w:rPr>
        <w:t xml:space="preserve"> </w:t>
      </w:r>
      <w:r>
        <w:rPr>
          <w:rFonts w:hint="eastAsia" w:ascii="仿宋_GB2312" w:hAnsi="仿宋_GB2312" w:eastAsia="仿宋_GB2312" w:cs="仿宋_GB2312"/>
          <w:color w:val="auto"/>
          <w:kern w:val="36"/>
          <w:sz w:val="32"/>
          <w:szCs w:val="32"/>
          <w:lang w:val="en-US" w:eastAsia="zh-CN" w:bidi="ar-SA"/>
        </w:rPr>
        <w:t>失信主体提请信用修复，应当提交申请表（附件2）、守信承诺书（附件3）及履行本办法第二十七条第二、三项规定义务的相关材料，说明事实、理由。</w:t>
      </w:r>
    </w:p>
    <w:p>
      <w:pPr>
        <w:pStyle w:val="2"/>
        <w:keepNext w:val="0"/>
        <w:keepLines w:val="0"/>
        <w:widowControl w:val="0"/>
        <w:suppressLineNumbers w:val="0"/>
        <w:spacing w:before="0" w:beforeAutospacing="0" w:after="0" w:afterAutospacing="0" w:line="560" w:lineRule="exact"/>
        <w:ind w:firstLine="640" w:firstLineChars="200"/>
        <w:jc w:val="both"/>
        <w:rPr>
          <w:rFonts w:hint="default" w:ascii="仿宋_GB2312" w:hAnsi="微软雅黑" w:eastAsia="仿宋_GB2312" w:cs="Times New Roman"/>
          <w:color w:val="auto"/>
          <w:kern w:val="2"/>
          <w:sz w:val="32"/>
          <w:szCs w:val="32"/>
          <w:lang w:val="en-US" w:eastAsia="zh-CN" w:bidi="ar-SA"/>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w:t>
      </w:r>
      <w:r>
        <w:rPr>
          <w:rFonts w:hint="eastAsia" w:ascii="黑体" w:hAnsi="黑体" w:eastAsia="黑体"/>
          <w:color w:val="auto"/>
          <w:sz w:val="32"/>
          <w:szCs w:val="32"/>
        </w:rPr>
        <w:t>十</w:t>
      </w:r>
      <w:r>
        <w:rPr>
          <w:rFonts w:hint="eastAsia" w:ascii="黑体" w:hAnsi="黑体" w:eastAsia="黑体"/>
          <w:color w:val="auto"/>
          <w:sz w:val="32"/>
          <w:szCs w:val="32"/>
          <w:lang w:eastAsia="zh-CN"/>
        </w:rPr>
        <w:t>八</w:t>
      </w:r>
      <w:r>
        <w:rPr>
          <w:rFonts w:hint="eastAsia" w:ascii="黑体" w:hAnsi="黑体" w:eastAsia="黑体"/>
          <w:color w:val="auto"/>
          <w:sz w:val="32"/>
          <w:szCs w:val="32"/>
        </w:rPr>
        <w:t>条</w:t>
      </w:r>
      <w:r>
        <w:rPr>
          <w:rFonts w:hint="eastAsia" w:ascii="仿宋_GB2312" w:hAnsi="微软雅黑" w:eastAsia="仿宋_GB2312"/>
          <w:color w:val="auto"/>
          <w:sz w:val="32"/>
          <w:szCs w:val="32"/>
        </w:rPr>
        <w:t>【</w:t>
      </w:r>
      <w:r>
        <w:rPr>
          <w:rFonts w:hint="eastAsia" w:ascii="黑体" w:hAnsi="黑体" w:eastAsia="黑体"/>
          <w:color w:val="auto"/>
          <w:sz w:val="32"/>
          <w:szCs w:val="32"/>
        </w:rPr>
        <w:t>修复</w:t>
      </w:r>
      <w:r>
        <w:rPr>
          <w:rFonts w:hint="eastAsia" w:ascii="黑体" w:hAnsi="黑体" w:eastAsia="黑体"/>
          <w:color w:val="auto"/>
          <w:sz w:val="32"/>
          <w:szCs w:val="32"/>
          <w:lang w:eastAsia="zh-CN"/>
        </w:rPr>
        <w:t>处理</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val="en-US" w:eastAsia="zh-CN"/>
        </w:rPr>
        <w:t xml:space="preserve"> </w:t>
      </w:r>
      <w:r>
        <w:rPr>
          <w:rFonts w:hint="eastAsia" w:ascii="仿宋_GB2312" w:hAnsi="微软雅黑" w:eastAsia="仿宋_GB2312" w:cs="Times New Roman"/>
          <w:color w:val="auto"/>
          <w:kern w:val="2"/>
          <w:sz w:val="32"/>
          <w:szCs w:val="32"/>
          <w:lang w:val="en-US" w:eastAsia="zh-CN" w:bidi="ar-SA"/>
        </w:rPr>
        <w:t>医保行政部门应当自受理之日起十五个工作日内对申请进行核实，并将修复决定送达失信主体（附件4）。</w:t>
      </w:r>
    </w:p>
    <w:p>
      <w:pPr>
        <w:pStyle w:val="2"/>
        <w:keepNext w:val="0"/>
        <w:keepLines w:val="0"/>
        <w:widowControl w:val="0"/>
        <w:suppressLineNumbers w:val="0"/>
        <w:spacing w:before="0" w:beforeAutospacing="0" w:after="0" w:afterAutospacing="0" w:line="560" w:lineRule="exact"/>
        <w:ind w:firstLine="640" w:firstLineChars="200"/>
        <w:jc w:val="both"/>
        <w:rPr>
          <w:rFonts w:hint="eastAsia" w:ascii="仿宋_GB2312" w:hAnsi="微软雅黑" w:eastAsia="仿宋_GB2312" w:cs="Times New Roman"/>
          <w:color w:val="auto"/>
          <w:kern w:val="2"/>
          <w:sz w:val="32"/>
          <w:szCs w:val="32"/>
          <w:lang w:val="en-US" w:eastAsia="zh-CN" w:bidi="ar-SA"/>
        </w:rPr>
      </w:pPr>
      <w:r>
        <w:rPr>
          <w:rFonts w:hint="eastAsia" w:ascii="仿宋_GB2312" w:hAnsi="微软雅黑" w:eastAsia="仿宋_GB2312" w:cs="Times New Roman"/>
          <w:color w:val="auto"/>
          <w:kern w:val="2"/>
          <w:sz w:val="32"/>
          <w:szCs w:val="32"/>
          <w:lang w:val="en" w:eastAsia="zh-CN" w:bidi="ar-SA"/>
        </w:rPr>
        <w:t>决定修复的</w:t>
      </w:r>
      <w:r>
        <w:rPr>
          <w:rFonts w:hint="default" w:ascii="仿宋_GB2312" w:hAnsi="微软雅黑" w:eastAsia="仿宋_GB2312" w:cs="Times New Roman"/>
          <w:color w:val="auto"/>
          <w:kern w:val="2"/>
          <w:sz w:val="32"/>
          <w:szCs w:val="32"/>
          <w:lang w:val="en-US" w:eastAsia="zh-CN" w:bidi="ar-SA"/>
        </w:rPr>
        <w:t>，应当于</w:t>
      </w:r>
      <w:r>
        <w:rPr>
          <w:rFonts w:hint="eastAsia" w:ascii="仿宋_GB2312" w:hAnsi="微软雅黑" w:eastAsia="仿宋_GB2312" w:cs="Times New Roman"/>
          <w:color w:val="auto"/>
          <w:kern w:val="2"/>
          <w:sz w:val="32"/>
          <w:szCs w:val="32"/>
          <w:lang w:val="en-US" w:eastAsia="zh-CN" w:bidi="ar-SA"/>
        </w:rPr>
        <w:t>三</w:t>
      </w:r>
      <w:r>
        <w:rPr>
          <w:rFonts w:hint="default" w:ascii="仿宋_GB2312" w:hAnsi="微软雅黑" w:eastAsia="仿宋_GB2312" w:cs="Times New Roman"/>
          <w:color w:val="auto"/>
          <w:kern w:val="2"/>
          <w:sz w:val="32"/>
          <w:szCs w:val="32"/>
          <w:lang w:val="en-US" w:eastAsia="zh-CN" w:bidi="ar-SA"/>
        </w:rPr>
        <w:t>个工作日内停止公示相关信息，解除相关管理措施，并及时推送有关部门。</w:t>
      </w:r>
      <w:r>
        <w:rPr>
          <w:rFonts w:hint="eastAsia" w:ascii="仿宋_GB2312" w:hAnsi="微软雅黑" w:eastAsia="仿宋_GB2312" w:cs="Times New Roman"/>
          <w:color w:val="auto"/>
          <w:kern w:val="2"/>
          <w:sz w:val="32"/>
          <w:szCs w:val="32"/>
          <w:lang w:val="en-US" w:eastAsia="zh-CN" w:bidi="ar-SA"/>
        </w:rPr>
        <w:t>依照法律法规实施限制开展生产经营活动、限制从业等措施超过三年的，按照实际限制期限执行。</w:t>
      </w:r>
    </w:p>
    <w:p>
      <w:pPr>
        <w:pStyle w:val="2"/>
        <w:keepNext w:val="0"/>
        <w:keepLines w:val="0"/>
        <w:widowControl w:val="0"/>
        <w:suppressLineNumbers w:val="0"/>
        <w:spacing w:before="0" w:beforeAutospacing="0" w:after="0" w:afterAutospacing="0" w:line="560" w:lineRule="exact"/>
        <w:ind w:firstLine="640" w:firstLineChars="200"/>
        <w:jc w:val="both"/>
        <w:rPr>
          <w:rFonts w:hint="eastAsia" w:ascii="仿宋_GB2312" w:hAnsi="微软雅黑" w:eastAsia="仿宋_GB2312" w:cs="Times New Roman"/>
          <w:color w:val="auto"/>
          <w:kern w:val="2"/>
          <w:sz w:val="32"/>
          <w:szCs w:val="32"/>
          <w:lang w:val="en-US" w:eastAsia="zh-CN" w:bidi="ar-SA"/>
        </w:rPr>
      </w:pPr>
      <w:r>
        <w:rPr>
          <w:rFonts w:hint="eastAsia" w:ascii="仿宋_GB2312" w:hAnsi="微软雅黑" w:eastAsia="仿宋_GB2312" w:cs="Times New Roman"/>
          <w:color w:val="auto"/>
          <w:kern w:val="2"/>
          <w:sz w:val="32"/>
          <w:szCs w:val="32"/>
          <w:lang w:val="en-US" w:eastAsia="zh-CN" w:bidi="ar-SA"/>
        </w:rPr>
        <w:t>申请修复的当事人故意隐瞒真实情况、提供虚假资料，情节严重的，由医保行政部门撤销修复决定，恢复管理措施。</w:t>
      </w:r>
    </w:p>
    <w:p>
      <w:pPr>
        <w:pStyle w:val="2"/>
        <w:keepNext w:val="0"/>
        <w:keepLines w:val="0"/>
        <w:widowControl w:val="0"/>
        <w:suppressLineNumbers w:val="0"/>
        <w:spacing w:before="0" w:beforeAutospacing="0" w:after="0" w:afterAutospacing="0" w:line="560" w:lineRule="exact"/>
        <w:ind w:firstLine="640" w:firstLineChars="200"/>
        <w:jc w:val="both"/>
        <w:rPr>
          <w:rFonts w:hint="eastAsia" w:ascii="仿宋_GB2312" w:hAnsi="微软雅黑" w:eastAsia="仿宋_GB2312" w:cs="Times New Roman"/>
          <w:color w:val="auto"/>
          <w:kern w:val="2"/>
          <w:sz w:val="32"/>
          <w:szCs w:val="32"/>
          <w:lang w:val="en-US" w:eastAsia="zh-CN" w:bidi="ar-SA"/>
        </w:rPr>
      </w:pPr>
      <w:r>
        <w:rPr>
          <w:rFonts w:hint="eastAsia" w:ascii="仿宋_GB2312" w:hAnsi="微软雅黑" w:eastAsia="仿宋_GB2312" w:cs="Times New Roman"/>
          <w:color w:val="auto"/>
          <w:kern w:val="2"/>
          <w:sz w:val="32"/>
          <w:szCs w:val="32"/>
          <w:lang w:val="en-US" w:eastAsia="zh-CN" w:bidi="ar-SA"/>
        </w:rPr>
        <w:t>失信主体对失信修复相关决定不服的，可以依法申请行政复议或者提起行政诉讼。</w:t>
      </w:r>
    </w:p>
    <w:p>
      <w:pPr>
        <w:pStyle w:val="2"/>
        <w:shd w:val="clear" w:color="auto" w:fill="FFFFFF"/>
        <w:spacing w:before="0" w:beforeAutospacing="0" w:after="0" w:afterAutospacing="0" w:line="560" w:lineRule="exact"/>
        <w:jc w:val="center"/>
        <w:textAlignment w:val="baseline"/>
        <w:rPr>
          <w:rStyle w:val="5"/>
          <w:rFonts w:hint="eastAsia" w:ascii="黑体" w:hAnsi="黑体" w:eastAsia="黑体"/>
          <w:color w:val="auto"/>
          <w:sz w:val="32"/>
          <w:szCs w:val="32"/>
        </w:rPr>
      </w:pPr>
    </w:p>
    <w:p>
      <w:pPr>
        <w:pStyle w:val="2"/>
        <w:shd w:val="clear" w:color="auto" w:fill="FFFFFF"/>
        <w:spacing w:before="0" w:beforeAutospacing="0" w:after="0" w:afterAutospacing="0" w:line="560" w:lineRule="exact"/>
        <w:jc w:val="center"/>
        <w:textAlignment w:val="baseline"/>
        <w:rPr>
          <w:rStyle w:val="5"/>
          <w:rFonts w:hint="eastAsia" w:ascii="黑体" w:hAnsi="黑体" w:eastAsia="黑体"/>
          <w:b w:val="0"/>
          <w:bCs w:val="0"/>
          <w:color w:val="auto"/>
          <w:sz w:val="32"/>
          <w:szCs w:val="32"/>
          <w:lang w:eastAsia="zh-CN"/>
        </w:rPr>
      </w:pPr>
      <w:r>
        <w:rPr>
          <w:rStyle w:val="5"/>
          <w:rFonts w:hint="eastAsia" w:ascii="黑体" w:hAnsi="黑体" w:eastAsia="黑体"/>
          <w:b w:val="0"/>
          <w:bCs w:val="0"/>
          <w:color w:val="auto"/>
          <w:kern w:val="2"/>
          <w:sz w:val="32"/>
          <w:szCs w:val="32"/>
          <w:lang w:bidi="ar-SA"/>
        </w:rPr>
        <w:t>第七章</w:t>
      </w:r>
      <w:r>
        <w:rPr>
          <w:rStyle w:val="5"/>
          <w:rFonts w:hint="eastAsia" w:ascii="黑体" w:hAnsi="黑体" w:eastAsia="黑体"/>
          <w:b w:val="0"/>
          <w:bCs w:val="0"/>
          <w:color w:val="auto"/>
          <w:kern w:val="2"/>
          <w:sz w:val="32"/>
          <w:szCs w:val="32"/>
          <w:lang w:val="en-US" w:eastAsia="zh-CN" w:bidi="ar-SA"/>
        </w:rPr>
        <w:t xml:space="preserve">  </w:t>
      </w:r>
      <w:r>
        <w:rPr>
          <w:rStyle w:val="5"/>
          <w:rFonts w:hint="eastAsia" w:ascii="黑体" w:hAnsi="黑体" w:eastAsia="黑体"/>
          <w:b w:val="0"/>
          <w:bCs w:val="0"/>
          <w:color w:val="auto"/>
          <w:kern w:val="2"/>
          <w:sz w:val="32"/>
          <w:szCs w:val="32"/>
          <w:lang w:eastAsia="zh-CN" w:bidi="ar-SA"/>
        </w:rPr>
        <w:t>监督管理</w:t>
      </w:r>
    </w:p>
    <w:p>
      <w:pPr>
        <w:pStyle w:val="2"/>
        <w:keepNext w:val="0"/>
        <w:keepLines w:val="0"/>
        <w:widowControl w:val="0"/>
        <w:suppressLineNumbers w:val="0"/>
        <w:spacing w:before="0" w:beforeAutospacing="0" w:after="0" w:afterAutospacing="0" w:line="560" w:lineRule="exact"/>
        <w:ind w:left="0" w:right="0" w:firstLine="624"/>
        <w:jc w:val="both"/>
        <w:rPr>
          <w:rFonts w:hint="eastAsia" w:ascii="仿宋_GB2312" w:hAnsi="微软雅黑" w:eastAsia="仿宋_GB2312" w:cs="宋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w:t>
      </w:r>
      <w:r>
        <w:rPr>
          <w:rFonts w:hint="eastAsia" w:ascii="黑体" w:hAnsi="黑体" w:eastAsia="黑体"/>
          <w:color w:val="auto"/>
          <w:sz w:val="32"/>
          <w:szCs w:val="32"/>
        </w:rPr>
        <w:t>十</w:t>
      </w:r>
      <w:r>
        <w:rPr>
          <w:rFonts w:hint="eastAsia" w:ascii="黑体" w:hAnsi="黑体" w:eastAsia="黑体"/>
          <w:color w:val="auto"/>
          <w:sz w:val="32"/>
          <w:szCs w:val="32"/>
          <w:lang w:eastAsia="zh-CN"/>
        </w:rPr>
        <w:t>九</w:t>
      </w:r>
      <w:r>
        <w:rPr>
          <w:rFonts w:hint="eastAsia" w:ascii="黑体" w:hAnsi="黑体" w:eastAsia="黑体"/>
          <w:color w:val="auto"/>
          <w:sz w:val="32"/>
          <w:szCs w:val="32"/>
        </w:rPr>
        <w:t>条</w:t>
      </w:r>
      <w:r>
        <w:rPr>
          <w:rFonts w:hint="eastAsia" w:ascii="仿宋_GB2312" w:hAnsi="微软雅黑" w:eastAsia="仿宋_GB2312"/>
          <w:color w:val="auto"/>
          <w:sz w:val="32"/>
          <w:szCs w:val="32"/>
        </w:rPr>
        <w:t>【</w:t>
      </w:r>
      <w:r>
        <w:rPr>
          <w:rFonts w:hint="eastAsia" w:ascii="黑体" w:hAnsi="黑体" w:eastAsia="黑体"/>
          <w:color w:val="auto"/>
          <w:sz w:val="32"/>
          <w:szCs w:val="32"/>
          <w:lang w:eastAsia="zh-CN"/>
        </w:rPr>
        <w:t>监督检查</w:t>
      </w:r>
      <w:r>
        <w:rPr>
          <w:rFonts w:hint="eastAsia" w:ascii="仿宋_GB2312" w:hAnsi="微软雅黑" w:eastAsia="仿宋_GB2312"/>
          <w:color w:val="auto"/>
          <w:sz w:val="32"/>
          <w:szCs w:val="32"/>
        </w:rPr>
        <w:t>】</w:t>
      </w:r>
      <w:r>
        <w:rPr>
          <w:rFonts w:hint="eastAsia" w:ascii="黑体" w:hAnsi="黑体" w:eastAsia="黑体"/>
          <w:color w:val="auto"/>
          <w:sz w:val="32"/>
          <w:szCs w:val="32"/>
          <w:lang w:val="en-US" w:eastAsia="zh-CN"/>
        </w:rPr>
        <w:t xml:space="preserve"> </w:t>
      </w:r>
      <w:r>
        <w:rPr>
          <w:rFonts w:hint="eastAsia" w:ascii="仿宋_GB2312" w:hAnsi="微软雅黑" w:eastAsia="仿宋_GB2312" w:cs="宋体"/>
          <w:color w:val="auto"/>
          <w:sz w:val="32"/>
          <w:szCs w:val="32"/>
        </w:rPr>
        <w:t>省</w:t>
      </w:r>
      <w:r>
        <w:rPr>
          <w:rFonts w:hint="eastAsia" w:ascii="仿宋_GB2312" w:hAnsi="微软雅黑" w:eastAsia="仿宋_GB2312" w:cs="宋体"/>
          <w:color w:val="auto"/>
          <w:sz w:val="32"/>
          <w:szCs w:val="32"/>
          <w:lang w:eastAsia="zh-CN"/>
        </w:rPr>
        <w:t>级医保行政</w:t>
      </w:r>
      <w:r>
        <w:rPr>
          <w:rFonts w:hint="eastAsia" w:ascii="仿宋_GB2312" w:hAnsi="微软雅黑" w:eastAsia="仿宋_GB2312" w:cs="宋体"/>
          <w:color w:val="auto"/>
          <w:sz w:val="32"/>
          <w:szCs w:val="32"/>
        </w:rPr>
        <w:t>部门对信用管理工作进行检查和评估，并采取通报表扬、通报批评、责令改正等措施。</w:t>
      </w:r>
    </w:p>
    <w:p>
      <w:pPr>
        <w:pStyle w:val="2"/>
        <w:keepNext w:val="0"/>
        <w:keepLines w:val="0"/>
        <w:widowControl w:val="0"/>
        <w:suppressLineNumbers w:val="0"/>
        <w:spacing w:before="0" w:beforeAutospacing="0" w:after="0" w:afterAutospacing="0" w:line="560" w:lineRule="exact"/>
        <w:ind w:left="0" w:right="0" w:firstLine="624"/>
        <w:jc w:val="both"/>
        <w:rPr>
          <w:rFonts w:hint="eastAsia" w:ascii="仿宋_GB2312" w:hAnsi="微软雅黑" w:eastAsia="仿宋_GB2312" w:cs="宋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十条</w:t>
      </w:r>
      <w:r>
        <w:rPr>
          <w:rFonts w:hint="eastAsia" w:ascii="仿宋_GB2312" w:hAnsi="微软雅黑" w:eastAsia="仿宋_GB2312"/>
          <w:color w:val="auto"/>
          <w:sz w:val="32"/>
          <w:szCs w:val="32"/>
        </w:rPr>
        <w:t>【</w:t>
      </w:r>
      <w:r>
        <w:rPr>
          <w:rFonts w:hint="eastAsia" w:ascii="黑体" w:hAnsi="黑体" w:eastAsia="黑体"/>
          <w:color w:val="auto"/>
          <w:sz w:val="32"/>
          <w:szCs w:val="32"/>
          <w:lang w:eastAsia="zh-CN"/>
        </w:rPr>
        <w:t>法律责任</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val="en-US" w:eastAsia="zh-CN"/>
        </w:rPr>
        <w:t xml:space="preserve"> 医保</w:t>
      </w:r>
      <w:r>
        <w:rPr>
          <w:rFonts w:hint="eastAsia" w:ascii="仿宋_GB2312" w:hAnsi="微软雅黑" w:eastAsia="仿宋_GB2312" w:cs="宋体"/>
          <w:color w:val="auto"/>
          <w:sz w:val="32"/>
          <w:szCs w:val="32"/>
        </w:rPr>
        <w:t>部门及其工作人员未依照</w:t>
      </w:r>
      <w:r>
        <w:rPr>
          <w:rFonts w:hint="eastAsia" w:ascii="仿宋_GB2312" w:hAnsi="微软雅黑" w:eastAsia="仿宋_GB2312" w:cs="宋体"/>
          <w:color w:val="auto"/>
          <w:sz w:val="32"/>
          <w:szCs w:val="32"/>
          <w:lang w:eastAsia="zh-CN"/>
        </w:rPr>
        <w:t>本办法</w:t>
      </w:r>
      <w:r>
        <w:rPr>
          <w:rFonts w:hint="eastAsia" w:ascii="仿宋_GB2312" w:hAnsi="微软雅黑" w:eastAsia="仿宋_GB2312" w:cs="宋体"/>
          <w:color w:val="auto"/>
          <w:sz w:val="32"/>
          <w:szCs w:val="32"/>
        </w:rPr>
        <w:t>履行职责的，依法予以处理。</w:t>
      </w:r>
    </w:p>
    <w:p>
      <w:pPr>
        <w:pStyle w:val="2"/>
        <w:keepNext w:val="0"/>
        <w:keepLines w:val="0"/>
        <w:widowControl w:val="0"/>
        <w:suppressLineNumbers w:val="0"/>
        <w:spacing w:before="0" w:beforeAutospacing="0" w:after="0" w:afterAutospacing="0" w:line="560" w:lineRule="exact"/>
        <w:ind w:left="0" w:right="0" w:firstLine="624"/>
        <w:jc w:val="both"/>
        <w:rPr>
          <w:rFonts w:hint="eastAsia" w:ascii="仿宋_GB2312" w:hAnsi="微软雅黑" w:eastAsia="仿宋_GB2312" w:cs="宋体"/>
          <w:color w:val="auto"/>
          <w:sz w:val="32"/>
          <w:szCs w:val="32"/>
        </w:rPr>
      </w:pPr>
      <w:r>
        <w:rPr>
          <w:rFonts w:hint="eastAsia" w:ascii="仿宋_GB2312" w:hAnsi="微软雅黑" w:eastAsia="仿宋_GB2312" w:cs="宋体"/>
          <w:color w:val="auto"/>
          <w:sz w:val="32"/>
          <w:szCs w:val="32"/>
          <w:lang w:val="en-US" w:eastAsia="zh-CN"/>
        </w:rPr>
        <w:t>医保</w:t>
      </w:r>
      <w:r>
        <w:rPr>
          <w:rFonts w:hint="eastAsia" w:ascii="仿宋_GB2312" w:hAnsi="微软雅黑" w:eastAsia="仿宋_GB2312" w:cs="宋体"/>
          <w:color w:val="auto"/>
          <w:sz w:val="32"/>
          <w:szCs w:val="32"/>
        </w:rPr>
        <w:t>部门应当依法保障市场主体和从业人员的合法权益。</w:t>
      </w:r>
    </w:p>
    <w:p>
      <w:pPr>
        <w:pStyle w:val="2"/>
        <w:shd w:val="clear" w:color="auto" w:fill="FFFFFF"/>
        <w:spacing w:before="0" w:beforeAutospacing="0" w:after="0" w:afterAutospacing="0" w:line="560" w:lineRule="exact"/>
        <w:jc w:val="center"/>
        <w:textAlignment w:val="baseline"/>
        <w:rPr>
          <w:rStyle w:val="5"/>
          <w:rFonts w:hint="eastAsia" w:ascii="黑体" w:hAnsi="黑体" w:eastAsia="黑体"/>
          <w:color w:val="auto"/>
          <w:sz w:val="32"/>
          <w:szCs w:val="32"/>
        </w:rPr>
      </w:pPr>
    </w:p>
    <w:p>
      <w:pPr>
        <w:pStyle w:val="2"/>
        <w:shd w:val="clear" w:color="auto" w:fill="FFFFFF"/>
        <w:spacing w:before="0" w:beforeAutospacing="0" w:after="0" w:afterAutospacing="0" w:line="560" w:lineRule="exact"/>
        <w:jc w:val="center"/>
        <w:textAlignment w:val="baseline"/>
        <w:rPr>
          <w:rFonts w:ascii="微软雅黑" w:hAnsi="微软雅黑" w:eastAsia="微软雅黑"/>
          <w:color w:val="auto"/>
          <w:sz w:val="32"/>
          <w:szCs w:val="32"/>
        </w:rPr>
      </w:pPr>
      <w:r>
        <w:rPr>
          <w:rStyle w:val="5"/>
          <w:rFonts w:hint="eastAsia" w:ascii="黑体" w:hAnsi="黑体" w:eastAsia="黑体"/>
          <w:b w:val="0"/>
          <w:bCs w:val="0"/>
          <w:color w:val="auto"/>
          <w:kern w:val="2"/>
          <w:sz w:val="32"/>
          <w:szCs w:val="32"/>
          <w:lang w:bidi="ar-SA"/>
        </w:rPr>
        <w:t>第八章</w:t>
      </w:r>
      <w:r>
        <w:rPr>
          <w:rStyle w:val="5"/>
          <w:rFonts w:hint="eastAsia" w:ascii="黑体" w:hAnsi="黑体" w:eastAsia="黑体"/>
          <w:b w:val="0"/>
          <w:bCs w:val="0"/>
          <w:color w:val="auto"/>
          <w:kern w:val="2"/>
          <w:sz w:val="32"/>
          <w:szCs w:val="32"/>
          <w:lang w:val="en-US" w:eastAsia="zh-CN" w:bidi="ar-SA"/>
        </w:rPr>
        <w:t xml:space="preserve"> </w:t>
      </w:r>
      <w:r>
        <w:rPr>
          <w:rStyle w:val="5"/>
          <w:rFonts w:hint="eastAsia" w:ascii="黑体" w:hAnsi="黑体" w:eastAsia="黑体"/>
          <w:b w:val="0"/>
          <w:bCs w:val="0"/>
          <w:color w:val="auto"/>
          <w:kern w:val="2"/>
          <w:sz w:val="32"/>
          <w:szCs w:val="32"/>
          <w:lang w:bidi="ar-SA"/>
        </w:rPr>
        <w:t> 附</w:t>
      </w:r>
      <w:r>
        <w:rPr>
          <w:rStyle w:val="5"/>
          <w:rFonts w:hint="eastAsia" w:ascii="黑体" w:hAnsi="黑体" w:eastAsia="黑体"/>
          <w:b w:val="0"/>
          <w:bCs w:val="0"/>
          <w:color w:val="auto"/>
          <w:kern w:val="2"/>
          <w:sz w:val="32"/>
          <w:szCs w:val="32"/>
          <w:lang w:val="en-US" w:eastAsia="zh-CN" w:bidi="ar-SA"/>
        </w:rPr>
        <w:t xml:space="preserve">  </w:t>
      </w:r>
      <w:r>
        <w:rPr>
          <w:rStyle w:val="5"/>
          <w:rFonts w:hint="eastAsia" w:ascii="黑体" w:hAnsi="黑体" w:eastAsia="黑体"/>
          <w:b w:val="0"/>
          <w:bCs w:val="0"/>
          <w:color w:val="auto"/>
          <w:kern w:val="2"/>
          <w:sz w:val="32"/>
          <w:szCs w:val="32"/>
          <w:lang w:bidi="ar-SA"/>
        </w:rPr>
        <w:t>则</w:t>
      </w:r>
    </w:p>
    <w:p>
      <w:pPr>
        <w:pStyle w:val="2"/>
        <w:shd w:val="clear" w:color="auto" w:fill="FFFFFF"/>
        <w:spacing w:before="0" w:beforeAutospacing="0" w:after="0" w:afterAutospacing="0" w:line="560" w:lineRule="exact"/>
        <w:ind w:firstLine="640" w:firstLineChars="200"/>
        <w:jc w:val="both"/>
        <w:textAlignment w:val="baseline"/>
        <w:rPr>
          <w:rFonts w:ascii="微软雅黑" w:hAnsi="微软雅黑" w:eastAsia="微软雅黑"/>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一</w:t>
      </w:r>
      <w:r>
        <w:rPr>
          <w:rFonts w:hint="eastAsia" w:ascii="黑体" w:hAnsi="黑体" w:eastAsia="黑体"/>
          <w:color w:val="auto"/>
          <w:sz w:val="32"/>
          <w:szCs w:val="32"/>
        </w:rPr>
        <w:t>条【办法解释】</w:t>
      </w:r>
      <w:r>
        <w:rPr>
          <w:rFonts w:hint="eastAsia" w:ascii="黑体" w:hAnsi="黑体" w:eastAsia="黑体"/>
          <w:color w:val="auto"/>
          <w:sz w:val="32"/>
          <w:szCs w:val="32"/>
          <w:lang w:val="en-US" w:eastAsia="zh-CN"/>
        </w:rPr>
        <w:t xml:space="preserve"> </w:t>
      </w:r>
      <w:r>
        <w:rPr>
          <w:rFonts w:hint="eastAsia" w:ascii="仿宋_GB2312" w:hAnsi="微软雅黑" w:eastAsia="仿宋_GB2312"/>
          <w:color w:val="auto"/>
          <w:sz w:val="32"/>
          <w:szCs w:val="32"/>
          <w:lang w:eastAsia="zh-CN"/>
        </w:rPr>
        <w:t>本办法</w:t>
      </w:r>
      <w:r>
        <w:rPr>
          <w:rFonts w:hint="eastAsia" w:ascii="仿宋_GB2312" w:hAnsi="微软雅黑" w:eastAsia="仿宋_GB2312"/>
          <w:color w:val="auto"/>
          <w:sz w:val="32"/>
          <w:szCs w:val="32"/>
        </w:rPr>
        <w:t>由海南省</w:t>
      </w:r>
      <w:r>
        <w:rPr>
          <w:rFonts w:hint="eastAsia" w:ascii="仿宋_GB2312" w:hAnsi="微软雅黑" w:eastAsia="仿宋_GB2312"/>
          <w:color w:val="auto"/>
          <w:sz w:val="32"/>
          <w:szCs w:val="32"/>
          <w:lang w:eastAsia="zh-CN"/>
        </w:rPr>
        <w:t>医保</w:t>
      </w:r>
      <w:r>
        <w:rPr>
          <w:rFonts w:hint="eastAsia" w:ascii="仿宋_GB2312" w:hAnsi="微软雅黑" w:eastAsia="仿宋_GB2312"/>
          <w:color w:val="auto"/>
          <w:sz w:val="32"/>
          <w:szCs w:val="32"/>
        </w:rPr>
        <w:t>局负责解释。</w:t>
      </w:r>
    </w:p>
    <w:p>
      <w:pPr>
        <w:spacing w:line="560" w:lineRule="exact"/>
        <w:ind w:firstLine="640" w:firstLineChars="200"/>
        <w:jc w:val="both"/>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rPr>
        <w:t>第三十</w:t>
      </w:r>
      <w:r>
        <w:rPr>
          <w:rFonts w:hint="eastAsia" w:ascii="黑体" w:hAnsi="黑体" w:eastAsia="黑体" w:cs="Times New Roman"/>
          <w:color w:val="auto"/>
          <w:sz w:val="32"/>
          <w:szCs w:val="32"/>
          <w:lang w:eastAsia="zh-CN"/>
        </w:rPr>
        <w:t>二</w:t>
      </w:r>
      <w:r>
        <w:rPr>
          <w:rFonts w:hint="eastAsia" w:ascii="黑体" w:hAnsi="黑体" w:eastAsia="黑体" w:cs="Times New Roman"/>
          <w:color w:val="auto"/>
          <w:sz w:val="32"/>
          <w:szCs w:val="32"/>
        </w:rPr>
        <w:t>条</w:t>
      </w:r>
      <w:r>
        <w:rPr>
          <w:rFonts w:hint="eastAsia" w:ascii="仿宋_GB2312" w:hAnsi="微软雅黑" w:eastAsia="仿宋_GB2312" w:cs="Times New Roman"/>
          <w:color w:val="auto"/>
          <w:sz w:val="32"/>
          <w:szCs w:val="32"/>
        </w:rPr>
        <w:t>【</w:t>
      </w:r>
      <w:r>
        <w:rPr>
          <w:rFonts w:hint="eastAsia" w:ascii="黑体" w:hAnsi="黑体" w:eastAsia="黑体" w:cs="Times New Roman"/>
          <w:color w:val="auto"/>
          <w:sz w:val="32"/>
          <w:szCs w:val="32"/>
        </w:rPr>
        <w:t>生效日期</w:t>
      </w:r>
      <w:r>
        <w:rPr>
          <w:rFonts w:hint="eastAsia" w:ascii="仿宋_GB2312" w:hAnsi="微软雅黑" w:eastAsia="仿宋_GB2312" w:cs="Times New Roman"/>
          <w:color w:val="auto"/>
          <w:sz w:val="32"/>
          <w:szCs w:val="32"/>
        </w:rPr>
        <w:t>】</w:t>
      </w:r>
      <w:r>
        <w:rPr>
          <w:rFonts w:hint="eastAsia" w:ascii="仿宋_GB2312" w:hAnsi="微软雅黑" w:eastAsia="仿宋_GB2312" w:cs="Times New Roman"/>
          <w:color w:val="auto"/>
          <w:sz w:val="32"/>
          <w:szCs w:val="32"/>
          <w:lang w:val="en-US" w:eastAsia="zh-CN"/>
        </w:rPr>
        <w:t xml:space="preserve"> </w:t>
      </w:r>
      <w:r>
        <w:rPr>
          <w:rFonts w:hint="eastAsia" w:ascii="仿宋_GB2312" w:hAnsi="微软雅黑" w:eastAsia="仿宋_GB2312" w:cs="宋体"/>
          <w:color w:val="auto"/>
          <w:kern w:val="0"/>
          <w:sz w:val="32"/>
          <w:szCs w:val="32"/>
          <w:lang w:val="en-US" w:eastAsia="zh-CN" w:bidi="ar-SA"/>
        </w:rPr>
        <w:t>本办法自2024年1月1日起施行。《海南省医疗保障基金监管信用管理办法（试行）》（琼医保〔2021〕346号）同时废止。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insum">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NjY2NjMzOTE3MjNmZTQwNzJjYjk4YWQ4ZGFlOTMifQ=="/>
  </w:docVars>
  <w:rsids>
    <w:rsidRoot w:val="602406CA"/>
    <w:rsid w:val="6024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5">
    <w:name w:val="Strong"/>
    <w:qFormat/>
    <w:uiPriority w:val="22"/>
    <w:rPr>
      <w:rFonts w:ascii="Calibri" w:hAnsi="Calibri"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2023-08-18T07:10:00Z</dcterms:created>
  <dc:creator>梁妙秋</dc:creator>
  <cp:lastModifiedBy>梁妙秋</cp:lastModifiedBy>
  <dcterms:modified xsi:type="dcterms:W3CDTF">2023-08-18T07:10:38Z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F43975D541B04D2D96E64F82ED2405CD_11</vt:lpwstr>
  </property>
</Properties>
</file>