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9B2" w:rsidRDefault="009D0B7A">
      <w:pPr>
        <w:pStyle w:val="1"/>
      </w:pPr>
      <w:r>
        <w:rPr>
          <w:rFonts w:hint="eastAsia"/>
        </w:rPr>
        <w:t>山东省卫生健康非现场行政执法工作</w:t>
      </w:r>
      <w:r>
        <w:rPr>
          <w:rFonts w:hint="eastAsia"/>
        </w:rPr>
        <w:t>规范</w:t>
      </w:r>
      <w:r>
        <w:rPr>
          <w:rFonts w:ascii="楷体_GB2312" w:eastAsia="楷体_GB2312" w:hAnsi="楷体_GB2312" w:cs="楷体_GB2312" w:hint="eastAsia"/>
          <w:sz w:val="32"/>
        </w:rPr>
        <w:t>（试行）</w:t>
      </w:r>
      <w:bookmarkStart w:id="0" w:name="_GoBack"/>
      <w:bookmarkEnd w:id="0"/>
    </w:p>
    <w:p w:rsidR="00E869B2" w:rsidRDefault="009D0B7A">
      <w:pPr>
        <w:pStyle w:val="1"/>
        <w:rPr>
          <w:rFonts w:ascii="楷体_GB2312" w:eastAsia="楷体_GB2312" w:hAnsi="楷体_GB2312" w:cs="楷体_GB2312"/>
          <w:sz w:val="32"/>
        </w:rPr>
      </w:pPr>
      <w:r>
        <w:rPr>
          <w:rFonts w:ascii="楷体_GB2312" w:eastAsia="楷体_GB2312" w:hAnsi="楷体_GB2312" w:cs="楷体_GB2312" w:hint="eastAsia"/>
          <w:sz w:val="32"/>
        </w:rPr>
        <w:t>（征求意见稿）</w:t>
      </w:r>
    </w:p>
    <w:p w:rsidR="00E869B2" w:rsidRDefault="00E869B2">
      <w:pPr>
        <w:ind w:firstLineChars="200" w:firstLine="632"/>
      </w:pPr>
    </w:p>
    <w:p w:rsidR="00E869B2" w:rsidRDefault="009D0B7A">
      <w:pPr>
        <w:jc w:val="center"/>
        <w:rPr>
          <w:rFonts w:ascii="黑体" w:eastAsia="黑体" w:hAnsi="黑体" w:cs="黑体"/>
        </w:rPr>
      </w:pPr>
      <w:r>
        <w:rPr>
          <w:rFonts w:ascii="黑体" w:eastAsia="黑体" w:hAnsi="黑体" w:cs="黑体" w:hint="eastAsia"/>
        </w:rPr>
        <w:t>第一章</w:t>
      </w:r>
      <w:r>
        <w:rPr>
          <w:rFonts w:ascii="黑体" w:eastAsia="黑体" w:hAnsi="黑体" w:cs="黑体" w:hint="eastAsia"/>
        </w:rPr>
        <w:t xml:space="preserve">  </w:t>
      </w:r>
      <w:r>
        <w:rPr>
          <w:rFonts w:ascii="黑体" w:eastAsia="黑体" w:hAnsi="黑体" w:cs="黑体" w:hint="eastAsia"/>
        </w:rPr>
        <w:t>总则</w:t>
      </w:r>
    </w:p>
    <w:p w:rsidR="00E869B2" w:rsidRDefault="009D0B7A">
      <w:pPr>
        <w:ind w:firstLineChars="200" w:firstLine="632"/>
      </w:pPr>
      <w:r>
        <w:rPr>
          <w:rFonts w:hint="eastAsia"/>
        </w:rPr>
        <w:t>第一条</w:t>
      </w:r>
      <w:r>
        <w:rPr>
          <w:rFonts w:hint="eastAsia"/>
        </w:rPr>
        <w:t xml:space="preserve">  </w:t>
      </w:r>
      <w:r>
        <w:rPr>
          <w:rFonts w:hint="eastAsia"/>
        </w:rPr>
        <w:t>为</w:t>
      </w:r>
      <w:r>
        <w:rPr>
          <w:rFonts w:hint="eastAsia"/>
        </w:rPr>
        <w:t>优化营商环境，提高卫生健康行政执法效能</w:t>
      </w:r>
      <w:r>
        <w:rPr>
          <w:rFonts w:hint="eastAsia"/>
        </w:rPr>
        <w:t>，</w:t>
      </w:r>
      <w:r>
        <w:rPr>
          <w:rFonts w:hint="eastAsia"/>
        </w:rPr>
        <w:t>推进严格规范公正文明执法，</w:t>
      </w:r>
      <w:r>
        <w:rPr>
          <w:rFonts w:hint="eastAsia"/>
        </w:rPr>
        <w:t>依据《中华人民共和国行政处罚法》《中华人民共和国行政强制法》《优化营商环境条例》《卫生行政处罚程序》等</w:t>
      </w:r>
      <w:r>
        <w:rPr>
          <w:rFonts w:hint="eastAsia"/>
        </w:rPr>
        <w:t>法律法规</w:t>
      </w:r>
      <w:r>
        <w:rPr>
          <w:rFonts w:hint="eastAsia"/>
        </w:rPr>
        <w:t>规定，结合我省卫生健康</w:t>
      </w:r>
      <w:r>
        <w:rPr>
          <w:rFonts w:hint="eastAsia"/>
        </w:rPr>
        <w:t>行政执法工作实际，</w:t>
      </w:r>
      <w:r>
        <w:rPr>
          <w:rFonts w:hint="eastAsia"/>
        </w:rPr>
        <w:t>制定本</w:t>
      </w:r>
      <w:r>
        <w:rPr>
          <w:rFonts w:hint="eastAsia"/>
        </w:rPr>
        <w:t>规范</w:t>
      </w:r>
      <w:r>
        <w:rPr>
          <w:rFonts w:hint="eastAsia"/>
        </w:rPr>
        <w:t>。</w:t>
      </w:r>
    </w:p>
    <w:p w:rsidR="00E869B2" w:rsidRDefault="009D0B7A">
      <w:pPr>
        <w:ind w:firstLineChars="200" w:firstLine="632"/>
      </w:pPr>
      <w:r>
        <w:rPr>
          <w:rFonts w:hint="eastAsia"/>
        </w:rPr>
        <w:t>第二条</w:t>
      </w:r>
      <w:r>
        <w:rPr>
          <w:rFonts w:hint="eastAsia"/>
        </w:rPr>
        <w:t xml:space="preserve">  </w:t>
      </w:r>
      <w:r>
        <w:rPr>
          <w:rFonts w:hint="eastAsia"/>
        </w:rPr>
        <w:t>本省行政区域内卫生健康领域运用非现场执法方式</w:t>
      </w:r>
      <w:r>
        <w:rPr>
          <w:rFonts w:hint="eastAsia"/>
        </w:rPr>
        <w:t>开展行政检查、对违法行为立案查处的</w:t>
      </w:r>
      <w:r>
        <w:rPr>
          <w:rFonts w:hint="eastAsia"/>
        </w:rPr>
        <w:t>，适用本</w:t>
      </w:r>
      <w:r>
        <w:rPr>
          <w:rFonts w:hint="eastAsia"/>
        </w:rPr>
        <w:t>规范</w:t>
      </w:r>
      <w:r>
        <w:rPr>
          <w:rFonts w:hint="eastAsia"/>
        </w:rPr>
        <w:t>。</w:t>
      </w:r>
    </w:p>
    <w:p w:rsidR="00E869B2" w:rsidRDefault="009D0B7A">
      <w:pPr>
        <w:ind w:firstLineChars="200" w:firstLine="632"/>
      </w:pPr>
      <w:r>
        <w:rPr>
          <w:rFonts w:hint="eastAsia"/>
        </w:rPr>
        <w:t>本</w:t>
      </w:r>
      <w:r>
        <w:rPr>
          <w:rFonts w:hint="eastAsia"/>
        </w:rPr>
        <w:t>规范</w:t>
      </w:r>
      <w:r>
        <w:rPr>
          <w:rFonts w:hint="eastAsia"/>
        </w:rPr>
        <w:t>所称非现场行政执法是指我省各级卫生健康行政部门及其委托的卫生健康监督执法机构（统称执法机构）通过应用现代化技术或设备，以在线监测、在线监控、智能图像分析、大数据预警分析、在线视频</w:t>
      </w:r>
      <w:r>
        <w:rPr>
          <w:rFonts w:ascii="仿宋" w:eastAsia="仿宋" w:hAnsi="仿宋" w:cs="仿宋" w:hint="eastAsia"/>
        </w:rPr>
        <w:t>、报送资料</w:t>
      </w:r>
      <w:r>
        <w:rPr>
          <w:rFonts w:hint="eastAsia"/>
        </w:rPr>
        <w:t>等方式，采集数据、固定违法事实，辅助或全部完成行政检查、行政处罚等监管的非实地行政执法活动。</w:t>
      </w:r>
    </w:p>
    <w:p w:rsidR="00E869B2" w:rsidRDefault="009D0B7A">
      <w:pPr>
        <w:ind w:firstLineChars="200" w:firstLine="632"/>
      </w:pPr>
      <w:r>
        <w:rPr>
          <w:rFonts w:hint="eastAsia"/>
        </w:rPr>
        <w:t>第三条</w:t>
      </w:r>
      <w:r>
        <w:rPr>
          <w:rFonts w:hint="eastAsia"/>
        </w:rPr>
        <w:t xml:space="preserve">  </w:t>
      </w:r>
      <w:r>
        <w:rPr>
          <w:rFonts w:hint="eastAsia"/>
        </w:rPr>
        <w:t>非现场执法活动应当合法、公开、公正、高效、便民，坚持处罚与教育相结合的原则。违法行为轻微并及时改正，没有造成危害后果的，不予行政处罚。初次违法且危害后果轻微的，予以告知提醒，及时改正的，可以不予处罚。</w:t>
      </w:r>
    </w:p>
    <w:p w:rsidR="00E869B2" w:rsidRDefault="009D0B7A">
      <w:pPr>
        <w:ind w:firstLineChars="200" w:firstLine="632"/>
      </w:pPr>
      <w:r>
        <w:rPr>
          <w:rFonts w:hint="eastAsia"/>
        </w:rPr>
        <w:t>非现场执法方式存在</w:t>
      </w:r>
      <w:r>
        <w:rPr>
          <w:rFonts w:hint="eastAsia"/>
        </w:rPr>
        <w:t>实体或程序违法风险的，应结合现场执</w:t>
      </w:r>
      <w:r>
        <w:rPr>
          <w:rFonts w:hint="eastAsia"/>
        </w:rPr>
        <w:lastRenderedPageBreak/>
        <w:t>法，遵循法律法规规定的基本原则和程序完成行政执法，以保证合法、及时、全面、准确履行法定职责。</w:t>
      </w:r>
    </w:p>
    <w:p w:rsidR="00E869B2" w:rsidRDefault="009D0B7A">
      <w:pPr>
        <w:ind w:firstLineChars="200" w:firstLine="632"/>
      </w:pPr>
      <w:r>
        <w:rPr>
          <w:rFonts w:hint="eastAsia"/>
        </w:rPr>
        <w:t>第四条</w:t>
      </w:r>
      <w:r>
        <w:rPr>
          <w:rFonts w:hint="eastAsia"/>
        </w:rPr>
        <w:t xml:space="preserve">  </w:t>
      </w:r>
      <w:r>
        <w:rPr>
          <w:rFonts w:hint="eastAsia"/>
        </w:rPr>
        <w:t>执法机构应结合本地区实际制定具体实施办法，细化操作流程、明确岗位责任和工作制度，规范开展非现场执法工作。</w:t>
      </w:r>
    </w:p>
    <w:p w:rsidR="00E869B2" w:rsidRDefault="009D0B7A">
      <w:pPr>
        <w:jc w:val="center"/>
        <w:rPr>
          <w:rFonts w:ascii="黑体" w:eastAsia="黑体" w:hAnsi="黑体" w:cs="黑体"/>
        </w:rPr>
      </w:pPr>
      <w:r>
        <w:rPr>
          <w:rFonts w:ascii="黑体" w:eastAsia="黑体" w:hAnsi="黑体" w:cs="黑体" w:hint="eastAsia"/>
        </w:rPr>
        <w:t>第二章</w:t>
      </w:r>
      <w:r>
        <w:rPr>
          <w:rFonts w:ascii="黑体" w:eastAsia="黑体" w:hAnsi="黑体" w:cs="黑体" w:hint="eastAsia"/>
        </w:rPr>
        <w:t xml:space="preserve">  </w:t>
      </w:r>
      <w:r>
        <w:rPr>
          <w:rFonts w:ascii="黑体" w:eastAsia="黑体" w:hAnsi="黑体" w:cs="黑体" w:hint="eastAsia"/>
        </w:rPr>
        <w:t>设备安装要求</w:t>
      </w:r>
    </w:p>
    <w:p w:rsidR="00E869B2" w:rsidRDefault="009D0B7A">
      <w:pPr>
        <w:ind w:firstLineChars="200" w:firstLine="632"/>
      </w:pPr>
      <w:r>
        <w:rPr>
          <w:rFonts w:hint="eastAsia"/>
        </w:rPr>
        <w:t>第五条</w:t>
      </w:r>
      <w:r>
        <w:rPr>
          <w:rFonts w:hint="eastAsia"/>
        </w:rPr>
        <w:t xml:space="preserve">  </w:t>
      </w:r>
      <w:r>
        <w:rPr>
          <w:rFonts w:hint="eastAsia"/>
        </w:rPr>
        <w:t>执法机构设置电子技术监控设备应当遵循合法、科学、合理、必要的原则。安装点位由执法机构根据监管内容、适用范围、获取效果等标准确定设置的环节、场所，宾馆客房、公共宿舍、公共浴室、更衣室、卫生间、公共母婴室等涉及公民隐私的场所，不得设置电子技术监控设备。</w:t>
      </w:r>
    </w:p>
    <w:p w:rsidR="00E869B2" w:rsidRDefault="009D0B7A">
      <w:pPr>
        <w:ind w:firstLineChars="200" w:firstLine="632"/>
      </w:pPr>
      <w:r>
        <w:rPr>
          <w:rFonts w:hint="eastAsia"/>
        </w:rPr>
        <w:t>第六条</w:t>
      </w:r>
      <w:r>
        <w:rPr>
          <w:rFonts w:hint="eastAsia"/>
        </w:rPr>
        <w:t xml:space="preserve">  </w:t>
      </w:r>
      <w:r>
        <w:rPr>
          <w:rFonts w:hint="eastAsia"/>
        </w:rPr>
        <w:t>非现场监管设备安装或正式投入使用前，应与行政相对人签订设备安装确认书，明确告知安装设备记录的内容将作为执法依据，由行政相对人对安装及记录内容作出同意和认可的确认。设备安装及后续执法行为不得影响行政相对人的正常从业活动。设备安装后，行政相对人在设备安装场</w:t>
      </w:r>
      <w:r>
        <w:rPr>
          <w:rFonts w:hint="eastAsia"/>
        </w:rPr>
        <w:t>所进行公告明示。</w:t>
      </w:r>
    </w:p>
    <w:p w:rsidR="00E869B2" w:rsidRDefault="009D0B7A">
      <w:pPr>
        <w:ind w:firstLineChars="200" w:firstLine="632"/>
        <w:rPr>
          <w:rFonts w:ascii="仿宋" w:eastAsia="仿宋" w:hAnsi="仿宋" w:cs="仿宋"/>
        </w:rPr>
      </w:pPr>
      <w:r>
        <w:rPr>
          <w:rFonts w:ascii="仿宋" w:eastAsia="仿宋" w:hAnsi="仿宋" w:cs="仿宋" w:hint="eastAsia"/>
        </w:rPr>
        <w:t>任何机构和个人不得故意损毁、擅自移动、拆除非现场监管设备，不得故意影响设备正常运行。</w:t>
      </w:r>
    </w:p>
    <w:p w:rsidR="00E869B2" w:rsidRDefault="009D0B7A">
      <w:pPr>
        <w:ind w:firstLineChars="200" w:firstLine="632"/>
      </w:pPr>
      <w:r>
        <w:rPr>
          <w:rFonts w:hint="eastAsia"/>
        </w:rPr>
        <w:t>行政相对人未按约定故意损毁、擅自移动或者拆除非现场监管设备的，应承担恢复原状、赔偿损失等相应责任。</w:t>
      </w:r>
    </w:p>
    <w:p w:rsidR="00E869B2" w:rsidRDefault="009D0B7A">
      <w:pPr>
        <w:ind w:firstLineChars="200" w:firstLine="632"/>
      </w:pPr>
      <w:r>
        <w:rPr>
          <w:rFonts w:hint="eastAsia"/>
        </w:rPr>
        <w:t>第七条</w:t>
      </w:r>
      <w:r>
        <w:rPr>
          <w:rFonts w:hint="eastAsia"/>
        </w:rPr>
        <w:t xml:space="preserve">  </w:t>
      </w:r>
      <w:r>
        <w:rPr>
          <w:rFonts w:hint="eastAsia"/>
        </w:rPr>
        <w:t>非现场监管设备应满足与监管事项相适应、符合国家及行业标准规定的参数要求。</w:t>
      </w:r>
    </w:p>
    <w:p w:rsidR="00E869B2" w:rsidRDefault="009D0B7A">
      <w:pPr>
        <w:ind w:firstLineChars="200" w:firstLine="632"/>
      </w:pPr>
      <w:r>
        <w:rPr>
          <w:rFonts w:hint="eastAsia"/>
        </w:rPr>
        <w:lastRenderedPageBreak/>
        <w:t>第八条</w:t>
      </w:r>
      <w:r>
        <w:rPr>
          <w:rFonts w:hint="eastAsia"/>
        </w:rPr>
        <w:t xml:space="preserve">  </w:t>
      </w:r>
      <w:r>
        <w:rPr>
          <w:rFonts w:hint="eastAsia"/>
        </w:rPr>
        <w:t>执法机构在整合现有资源的基础上，按照各地执法实际需求，采取政府投资、市场主体投资、政府和社会资本合作投资等模式采购非现场执法所需的设备设施。</w:t>
      </w:r>
    </w:p>
    <w:p w:rsidR="00E869B2" w:rsidRDefault="009D0B7A">
      <w:pPr>
        <w:ind w:firstLineChars="200" w:firstLine="632"/>
      </w:pPr>
      <w:r>
        <w:rPr>
          <w:rFonts w:hint="eastAsia"/>
        </w:rPr>
        <w:t>第九条</w:t>
      </w:r>
      <w:r>
        <w:rPr>
          <w:rFonts w:hint="eastAsia"/>
        </w:rPr>
        <w:t xml:space="preserve">  </w:t>
      </w:r>
      <w:r>
        <w:rPr>
          <w:rFonts w:hint="eastAsia"/>
        </w:rPr>
        <w:t>为鼓励非现场执法方式的应用和创新，执法机构应为非现场执法所需的</w:t>
      </w:r>
      <w:r>
        <w:rPr>
          <w:rFonts w:hint="eastAsia"/>
        </w:rPr>
        <w:t>技术研发、设备采购和维护等非现场执法工作提供经费保障。</w:t>
      </w:r>
    </w:p>
    <w:p w:rsidR="00E869B2" w:rsidRDefault="009D0B7A">
      <w:pPr>
        <w:ind w:firstLineChars="200" w:firstLine="632"/>
      </w:pPr>
      <w:r>
        <w:rPr>
          <w:rFonts w:hint="eastAsia"/>
        </w:rPr>
        <w:t>第十条</w:t>
      </w:r>
      <w:r>
        <w:rPr>
          <w:rFonts w:hint="eastAsia"/>
        </w:rPr>
        <w:t xml:space="preserve">  </w:t>
      </w:r>
      <w:r>
        <w:rPr>
          <w:rFonts w:hint="eastAsia"/>
        </w:rPr>
        <w:t>为实现公平公正执法，推动自律自查与行政执法相结合的卫生健康监管体系建设，鼓励行政相对人安装非现场执法应用的数据采集等设备（统称非现场监管设备）。已安装非现场监管设备并落实自我监督主体责任的，利用非现场监管设备对行政相对人进行信用、风险等分析的结果，作为卫生健康领域信用分类分级监管的依据。</w:t>
      </w:r>
      <w:r>
        <w:rPr>
          <w:rFonts w:ascii="仿宋" w:eastAsia="仿宋" w:hAnsi="仿宋" w:cs="仿宋" w:hint="eastAsia"/>
        </w:rPr>
        <w:t>对于守法信用等级高的行政相对人，减少现场检查的频次。</w:t>
      </w:r>
    </w:p>
    <w:p w:rsidR="00E869B2" w:rsidRDefault="009D0B7A">
      <w:pPr>
        <w:jc w:val="center"/>
        <w:rPr>
          <w:rFonts w:ascii="黑体" w:eastAsia="黑体" w:hAnsi="黑体" w:cs="黑体"/>
        </w:rPr>
      </w:pPr>
      <w:r>
        <w:rPr>
          <w:rFonts w:ascii="黑体" w:eastAsia="黑体" w:hAnsi="黑体" w:cs="黑体" w:hint="eastAsia"/>
        </w:rPr>
        <w:t>第三章</w:t>
      </w:r>
      <w:r>
        <w:rPr>
          <w:rFonts w:ascii="黑体" w:eastAsia="黑体" w:hAnsi="黑体" w:cs="黑体" w:hint="eastAsia"/>
        </w:rPr>
        <w:t xml:space="preserve">  </w:t>
      </w:r>
      <w:r>
        <w:rPr>
          <w:rFonts w:ascii="黑体" w:eastAsia="黑体" w:hAnsi="黑体" w:cs="黑体" w:hint="eastAsia"/>
        </w:rPr>
        <w:t>数据采集应用</w:t>
      </w:r>
    </w:p>
    <w:p w:rsidR="00E869B2" w:rsidRDefault="009D0B7A">
      <w:pPr>
        <w:ind w:firstLineChars="200" w:firstLine="632"/>
      </w:pPr>
      <w:r>
        <w:rPr>
          <w:rFonts w:hint="eastAsia"/>
        </w:rPr>
        <w:t>第十一条</w:t>
      </w:r>
      <w:r>
        <w:rPr>
          <w:rFonts w:hint="eastAsia"/>
        </w:rPr>
        <w:t xml:space="preserve">  </w:t>
      </w:r>
      <w:r>
        <w:rPr>
          <w:rFonts w:hint="eastAsia"/>
        </w:rPr>
        <w:t>非现场执法中应强化涉嫌违法信息收集，综合运用数据分析、图像识别、行为</w:t>
      </w:r>
      <w:r>
        <w:rPr>
          <w:rFonts w:hint="eastAsia"/>
        </w:rPr>
        <w:t>分析，建立智能预警机制，提升信息审核和分析技术水平，捕捉苗头性、趋势性风险信号，提高风险预警能力和监管效能。</w:t>
      </w:r>
    </w:p>
    <w:p w:rsidR="00E869B2" w:rsidRDefault="009D0B7A">
      <w:pPr>
        <w:ind w:firstLineChars="200" w:firstLine="632"/>
      </w:pPr>
      <w:r>
        <w:rPr>
          <w:rFonts w:hint="eastAsia"/>
        </w:rPr>
        <w:t>第十二条</w:t>
      </w:r>
      <w:r>
        <w:rPr>
          <w:rFonts w:hint="eastAsia"/>
        </w:rPr>
        <w:t xml:space="preserve">  </w:t>
      </w:r>
      <w:r>
        <w:rPr>
          <w:rFonts w:hint="eastAsia"/>
        </w:rPr>
        <w:t>非现场执法各环节均应按照法律法规等规定的实体和程序要件开展执法活动，符合执法的法定要件。</w:t>
      </w:r>
    </w:p>
    <w:p w:rsidR="00E869B2" w:rsidRDefault="009D0B7A">
      <w:pPr>
        <w:ind w:firstLineChars="200" w:firstLine="632"/>
      </w:pPr>
      <w:r>
        <w:rPr>
          <w:rFonts w:hint="eastAsia"/>
        </w:rPr>
        <w:t>第十三条</w:t>
      </w:r>
      <w:r>
        <w:rPr>
          <w:rFonts w:hint="eastAsia"/>
        </w:rPr>
        <w:t xml:space="preserve">  </w:t>
      </w:r>
      <w:r>
        <w:rPr>
          <w:rFonts w:hint="eastAsia"/>
        </w:rPr>
        <w:t>建立行政相对人自律信息提取、保留、报送机制，行政相对人主动报送自我监管、接受检查等信息，并对信息真实</w:t>
      </w:r>
      <w:r>
        <w:rPr>
          <w:rFonts w:hint="eastAsia"/>
        </w:rPr>
        <w:lastRenderedPageBreak/>
        <w:t>性做出书面承诺。执法单位可通过书面审查等非现场执法的方式完成日常检查、行政处罚证据搜集等过程。</w:t>
      </w:r>
    </w:p>
    <w:p w:rsidR="00E869B2" w:rsidRDefault="009D0B7A">
      <w:pPr>
        <w:ind w:firstLineChars="200" w:firstLine="632"/>
      </w:pPr>
      <w:r>
        <w:rPr>
          <w:rFonts w:hint="eastAsia"/>
        </w:rPr>
        <w:t>第十四条</w:t>
      </w:r>
      <w:r>
        <w:rPr>
          <w:rFonts w:hint="eastAsia"/>
        </w:rPr>
        <w:t xml:space="preserve">  </w:t>
      </w:r>
      <w:r>
        <w:rPr>
          <w:rFonts w:hint="eastAsia"/>
        </w:rPr>
        <w:t>执法单位对报送或调取的电子数据的证据应进行全面审查，证据应符合合法性、客观性、关</w:t>
      </w:r>
      <w:r>
        <w:rPr>
          <w:rFonts w:hint="eastAsia"/>
        </w:rPr>
        <w:t>联性要求，并记录客观事件的发生时间、地点、人物、表现形式等构成要素。</w:t>
      </w:r>
    </w:p>
    <w:p w:rsidR="00E869B2" w:rsidRDefault="009D0B7A">
      <w:pPr>
        <w:ind w:firstLineChars="200" w:firstLine="632"/>
      </w:pPr>
      <w:r>
        <w:rPr>
          <w:rFonts w:hint="eastAsia"/>
        </w:rPr>
        <w:t>不得伪造、剪接、删改、销毁原始的视频、音频记录。</w:t>
      </w:r>
    </w:p>
    <w:p w:rsidR="00E869B2" w:rsidRDefault="009D0B7A">
      <w:pPr>
        <w:ind w:firstLineChars="200" w:firstLine="632"/>
      </w:pPr>
      <w:r>
        <w:rPr>
          <w:rFonts w:hint="eastAsia"/>
        </w:rPr>
        <w:t>第十五条</w:t>
      </w:r>
      <w:r>
        <w:rPr>
          <w:rFonts w:hint="eastAsia"/>
        </w:rPr>
        <w:t xml:space="preserve">  </w:t>
      </w:r>
      <w:r>
        <w:rPr>
          <w:rFonts w:hint="eastAsia"/>
        </w:rPr>
        <w:t>通过数据、传输的视频、音频或系统分析发现违法违规行为的，应及时采集相关视频、音频或数据固定执法依据，同时通过短信、电话或询问等方式告知行政相对人，获取行政相对人的确认，保障行政相对人的法律权利。</w:t>
      </w:r>
    </w:p>
    <w:p w:rsidR="00E869B2" w:rsidRDefault="009D0B7A">
      <w:pPr>
        <w:ind w:firstLineChars="200" w:firstLine="632"/>
      </w:pPr>
      <w:r>
        <w:rPr>
          <w:rFonts w:hint="eastAsia"/>
        </w:rPr>
        <w:t>第十六条</w:t>
      </w:r>
      <w:r>
        <w:rPr>
          <w:rFonts w:hint="eastAsia"/>
        </w:rPr>
        <w:t xml:space="preserve">  </w:t>
      </w:r>
      <w:r>
        <w:rPr>
          <w:rFonts w:hint="eastAsia"/>
        </w:rPr>
        <w:t>非现场执法获取的证据所证明的违法行为，经审查符合立案标准，应在规定时间内立案。</w:t>
      </w:r>
    </w:p>
    <w:p w:rsidR="00E869B2" w:rsidRDefault="009D0B7A">
      <w:pPr>
        <w:ind w:firstLineChars="200" w:firstLine="632"/>
      </w:pPr>
      <w:r>
        <w:rPr>
          <w:rFonts w:hint="eastAsia"/>
        </w:rPr>
        <w:t>符合《中华人民共和国行政处罚法》关于当场作出行政处罚决定条件的，可直接出具执法文书。不能当场作出行政处罚决定的，</w:t>
      </w:r>
      <w:r>
        <w:rPr>
          <w:rFonts w:ascii="仿宋" w:eastAsia="仿宋" w:hAnsi="仿宋" w:cs="仿宋" w:hint="eastAsia"/>
        </w:rPr>
        <w:t>应履行线上或线下相结合的现场检查、检测、询问等执法程序进行调查取证，并根据《行政处罚法》《卫生行政处罚程序》规定的程序完成案件</w:t>
      </w:r>
      <w:r>
        <w:rPr>
          <w:rFonts w:hint="eastAsia"/>
        </w:rPr>
        <w:t>。</w:t>
      </w:r>
    </w:p>
    <w:p w:rsidR="00E869B2" w:rsidRDefault="009D0B7A">
      <w:pPr>
        <w:ind w:firstLineChars="200" w:firstLine="632"/>
      </w:pPr>
      <w:r>
        <w:rPr>
          <w:rFonts w:hint="eastAsia"/>
        </w:rPr>
        <w:t>第十</w:t>
      </w:r>
      <w:r>
        <w:rPr>
          <w:rFonts w:hint="eastAsia"/>
        </w:rPr>
        <w:t>七</w:t>
      </w:r>
      <w:r>
        <w:rPr>
          <w:rFonts w:hint="eastAsia"/>
        </w:rPr>
        <w:t>条</w:t>
      </w:r>
      <w:r>
        <w:rPr>
          <w:rFonts w:hint="eastAsia"/>
        </w:rPr>
        <w:t xml:space="preserve">  </w:t>
      </w:r>
      <w:r>
        <w:rPr>
          <w:rFonts w:ascii="仿宋" w:eastAsia="仿宋" w:hAnsi="仿宋" w:cs="仿宋" w:hint="eastAsia"/>
        </w:rPr>
        <w:t>作为证据使用的</w:t>
      </w:r>
      <w:r>
        <w:rPr>
          <w:rFonts w:hint="eastAsia"/>
        </w:rPr>
        <w:t>非现场执法的视音频资料保存期限不少于</w:t>
      </w:r>
      <w:r>
        <w:rPr>
          <w:rFonts w:hint="eastAsia"/>
        </w:rPr>
        <w:t>1</w:t>
      </w:r>
      <w:r>
        <w:rPr>
          <w:rFonts w:hint="eastAsia"/>
        </w:rPr>
        <w:t>年。作为案件证据使用的，应当刻录光盘，并随卷保存。</w:t>
      </w:r>
    </w:p>
    <w:p w:rsidR="00E869B2" w:rsidRDefault="009D0B7A">
      <w:pPr>
        <w:ind w:firstLineChars="200" w:firstLine="632"/>
      </w:pPr>
      <w:r>
        <w:rPr>
          <w:rFonts w:hint="eastAsia"/>
        </w:rPr>
        <w:t>非现场执法案卷生成后应按照档案管理要求及时做好归档工作。各地研究逐步建立规范化、标准化、信息化案卷体系。</w:t>
      </w:r>
    </w:p>
    <w:p w:rsidR="00E869B2" w:rsidRDefault="00E869B2">
      <w:pPr>
        <w:jc w:val="center"/>
        <w:rPr>
          <w:rFonts w:ascii="黑体" w:eastAsia="黑体" w:hAnsi="黑体" w:cs="黑体"/>
        </w:rPr>
      </w:pPr>
    </w:p>
    <w:p w:rsidR="00E869B2" w:rsidRDefault="009D0B7A">
      <w:pPr>
        <w:jc w:val="center"/>
        <w:rPr>
          <w:rFonts w:ascii="黑体" w:eastAsia="黑体" w:hAnsi="黑体" w:cs="黑体"/>
        </w:rPr>
      </w:pPr>
      <w:r>
        <w:rPr>
          <w:rFonts w:ascii="黑体" w:eastAsia="黑体" w:hAnsi="黑体" w:cs="黑体" w:hint="eastAsia"/>
        </w:rPr>
        <w:t>第四章</w:t>
      </w:r>
      <w:r>
        <w:rPr>
          <w:rFonts w:ascii="黑体" w:eastAsia="黑体" w:hAnsi="黑体" w:cs="黑体" w:hint="eastAsia"/>
        </w:rPr>
        <w:t xml:space="preserve">  </w:t>
      </w:r>
      <w:r>
        <w:rPr>
          <w:rFonts w:ascii="黑体" w:eastAsia="黑体" w:hAnsi="黑体" w:cs="黑体" w:hint="eastAsia"/>
        </w:rPr>
        <w:t>责任追究</w:t>
      </w:r>
    </w:p>
    <w:p w:rsidR="00E869B2" w:rsidRDefault="009D0B7A">
      <w:pPr>
        <w:ind w:firstLineChars="200" w:firstLine="632"/>
      </w:pPr>
      <w:r>
        <w:rPr>
          <w:rFonts w:hint="eastAsia"/>
        </w:rPr>
        <w:t>第十</w:t>
      </w:r>
      <w:r>
        <w:rPr>
          <w:rFonts w:hint="eastAsia"/>
        </w:rPr>
        <w:t>八</w:t>
      </w:r>
      <w:r>
        <w:rPr>
          <w:rFonts w:hint="eastAsia"/>
        </w:rPr>
        <w:t>条</w:t>
      </w:r>
      <w:r>
        <w:rPr>
          <w:rFonts w:hint="eastAsia"/>
        </w:rPr>
        <w:t xml:space="preserve">  </w:t>
      </w:r>
      <w:r>
        <w:rPr>
          <w:rFonts w:hint="eastAsia"/>
        </w:rPr>
        <w:t>执法机构及其执法人员已经掌握非现场监管设备获取的违法线索（信息），应当开展执法而未开展执法的，或未履行本</w:t>
      </w:r>
      <w:r>
        <w:rPr>
          <w:rFonts w:hint="eastAsia"/>
        </w:rPr>
        <w:t>规范</w:t>
      </w:r>
      <w:r>
        <w:rPr>
          <w:rFonts w:hint="eastAsia"/>
        </w:rPr>
        <w:t>及相关法律法规规定的法定程序开展执法活动，造成危害后果或不良影响的，依法承担相应法律责任。</w:t>
      </w:r>
    </w:p>
    <w:p w:rsidR="00E869B2" w:rsidRDefault="009D0B7A">
      <w:pPr>
        <w:ind w:firstLineChars="200" w:firstLine="632"/>
      </w:pPr>
      <w:r>
        <w:rPr>
          <w:rFonts w:hint="eastAsia"/>
        </w:rPr>
        <w:t>第</w:t>
      </w:r>
      <w:r>
        <w:rPr>
          <w:rFonts w:hint="eastAsia"/>
        </w:rPr>
        <w:t>十九</w:t>
      </w:r>
      <w:r>
        <w:rPr>
          <w:rFonts w:hint="eastAsia"/>
        </w:rPr>
        <w:t>条</w:t>
      </w:r>
      <w:r>
        <w:rPr>
          <w:rFonts w:hint="eastAsia"/>
        </w:rPr>
        <w:t xml:space="preserve">  </w:t>
      </w:r>
      <w:r>
        <w:rPr>
          <w:rFonts w:hint="eastAsia"/>
        </w:rPr>
        <w:t>严格依照本</w:t>
      </w:r>
      <w:r>
        <w:rPr>
          <w:rFonts w:hint="eastAsia"/>
        </w:rPr>
        <w:t>规范</w:t>
      </w:r>
      <w:r>
        <w:rPr>
          <w:rFonts w:hint="eastAsia"/>
        </w:rPr>
        <w:t>规定的非现场执法程序、方式等开展执法活动，未能实现全面监管从而造成危害后果或不良影响的，按照《山东省卫生健康行政执法责任制规定》等相关规定处理。</w:t>
      </w:r>
    </w:p>
    <w:p w:rsidR="00E869B2" w:rsidRDefault="009D0B7A">
      <w:pPr>
        <w:ind w:firstLineChars="200" w:firstLine="632"/>
      </w:pPr>
      <w:r>
        <w:rPr>
          <w:rFonts w:hint="eastAsia"/>
        </w:rPr>
        <w:t>第二十条</w:t>
      </w:r>
      <w:r>
        <w:rPr>
          <w:rFonts w:hint="eastAsia"/>
        </w:rPr>
        <w:t xml:space="preserve">  </w:t>
      </w:r>
      <w:r>
        <w:rPr>
          <w:rFonts w:hint="eastAsia"/>
        </w:rPr>
        <w:t>行政相对人提供虚假信息、瞒报谎报信息、擅自改动设备及图像等信息影响非现场执法的，按照信用监管规定进行相应处理，同时，纳入执法机构</w:t>
      </w:r>
      <w:r>
        <w:rPr>
          <w:rFonts w:hint="eastAsia"/>
        </w:rPr>
        <w:t>重点监管范围。</w:t>
      </w:r>
    </w:p>
    <w:p w:rsidR="00E869B2" w:rsidRDefault="00E869B2">
      <w:pPr>
        <w:jc w:val="center"/>
        <w:rPr>
          <w:rFonts w:ascii="黑体" w:eastAsia="黑体" w:hAnsi="黑体" w:cs="黑体"/>
        </w:rPr>
      </w:pPr>
    </w:p>
    <w:p w:rsidR="00E869B2" w:rsidRDefault="009D0B7A">
      <w:pPr>
        <w:jc w:val="center"/>
        <w:rPr>
          <w:rFonts w:ascii="黑体" w:eastAsia="黑体" w:hAnsi="黑体" w:cs="黑体"/>
        </w:rPr>
      </w:pPr>
      <w:r>
        <w:rPr>
          <w:rFonts w:ascii="黑体" w:eastAsia="黑体" w:hAnsi="黑体" w:cs="黑体" w:hint="eastAsia"/>
        </w:rPr>
        <w:t>第五章</w:t>
      </w:r>
      <w:r>
        <w:rPr>
          <w:rFonts w:ascii="黑体" w:eastAsia="黑体" w:hAnsi="黑体" w:cs="黑体" w:hint="eastAsia"/>
        </w:rPr>
        <w:t xml:space="preserve">  </w:t>
      </w:r>
      <w:r>
        <w:rPr>
          <w:rFonts w:ascii="黑体" w:eastAsia="黑体" w:hAnsi="黑体" w:cs="黑体" w:hint="eastAsia"/>
        </w:rPr>
        <w:t>附则</w:t>
      </w:r>
    </w:p>
    <w:p w:rsidR="00E869B2" w:rsidRDefault="009D0B7A">
      <w:pPr>
        <w:ind w:firstLineChars="200" w:firstLine="632"/>
      </w:pPr>
      <w:r>
        <w:rPr>
          <w:rFonts w:hint="eastAsia"/>
        </w:rPr>
        <w:t>第二十</w:t>
      </w:r>
      <w:r>
        <w:rPr>
          <w:rFonts w:hint="eastAsia"/>
        </w:rPr>
        <w:t>一</w:t>
      </w:r>
      <w:r>
        <w:rPr>
          <w:rFonts w:hint="eastAsia"/>
        </w:rPr>
        <w:t>条</w:t>
      </w:r>
      <w:r>
        <w:rPr>
          <w:rFonts w:hint="eastAsia"/>
        </w:rPr>
        <w:t xml:space="preserve">  </w:t>
      </w:r>
      <w:r>
        <w:rPr>
          <w:rFonts w:hint="eastAsia"/>
        </w:rPr>
        <w:t>本</w:t>
      </w:r>
      <w:r>
        <w:rPr>
          <w:rFonts w:hint="eastAsia"/>
        </w:rPr>
        <w:t>规范</w:t>
      </w:r>
      <w:r>
        <w:rPr>
          <w:rFonts w:hint="eastAsia"/>
        </w:rPr>
        <w:t>未规定的，按</w:t>
      </w:r>
      <w:r>
        <w:rPr>
          <w:rFonts w:hint="eastAsia"/>
        </w:rPr>
        <w:t>照有关法律、法规、规章、规范执行</w:t>
      </w:r>
      <w:r>
        <w:rPr>
          <w:rFonts w:hint="eastAsia"/>
        </w:rPr>
        <w:t>。</w:t>
      </w:r>
    </w:p>
    <w:p w:rsidR="00E869B2" w:rsidRDefault="009D0B7A">
      <w:pPr>
        <w:ind w:firstLineChars="200" w:firstLine="632"/>
      </w:pPr>
      <w:r>
        <w:rPr>
          <w:rFonts w:hint="eastAsia"/>
        </w:rPr>
        <w:t>第二十</w:t>
      </w:r>
      <w:r>
        <w:rPr>
          <w:rFonts w:hint="eastAsia"/>
        </w:rPr>
        <w:t>二</w:t>
      </w:r>
      <w:r>
        <w:rPr>
          <w:rFonts w:hint="eastAsia"/>
        </w:rPr>
        <w:t>条</w:t>
      </w:r>
      <w:r>
        <w:rPr>
          <w:rFonts w:hint="eastAsia"/>
        </w:rPr>
        <w:t xml:space="preserve">  </w:t>
      </w:r>
      <w:r>
        <w:rPr>
          <w:rFonts w:hint="eastAsia"/>
        </w:rPr>
        <w:t>本</w:t>
      </w:r>
      <w:r>
        <w:rPr>
          <w:rFonts w:hint="eastAsia"/>
        </w:rPr>
        <w:t>规范</w:t>
      </w:r>
      <w:r>
        <w:rPr>
          <w:rFonts w:hint="eastAsia"/>
        </w:rPr>
        <w:t>自</w:t>
      </w:r>
      <w:r>
        <w:rPr>
          <w:rFonts w:hint="eastAsia"/>
        </w:rPr>
        <w:t>20</w:t>
      </w:r>
      <w:r>
        <w:rPr>
          <w:rFonts w:hint="eastAsia"/>
        </w:rPr>
        <w:t>23</w:t>
      </w:r>
      <w:r>
        <w:rPr>
          <w:rFonts w:hint="eastAsia"/>
        </w:rPr>
        <w:t>年</w:t>
      </w:r>
      <w:r>
        <w:rPr>
          <w:rFonts w:hint="eastAsia"/>
        </w:rPr>
        <w:t>8</w:t>
      </w:r>
      <w:r>
        <w:rPr>
          <w:rFonts w:hint="eastAsia"/>
        </w:rPr>
        <w:t>月</w:t>
      </w:r>
      <w:r>
        <w:rPr>
          <w:rFonts w:hint="eastAsia"/>
        </w:rPr>
        <w:t>1</w:t>
      </w:r>
      <w:r>
        <w:rPr>
          <w:rFonts w:hint="eastAsia"/>
        </w:rPr>
        <w:t>日起施行，有效期至</w:t>
      </w:r>
      <w:r>
        <w:rPr>
          <w:rFonts w:hint="eastAsia"/>
        </w:rPr>
        <w:t>202</w:t>
      </w:r>
      <w:r>
        <w:rPr>
          <w:rFonts w:hint="eastAsia"/>
        </w:rPr>
        <w:t>5</w:t>
      </w:r>
      <w:r>
        <w:rPr>
          <w:rFonts w:hint="eastAsia"/>
        </w:rPr>
        <w:t>年</w:t>
      </w:r>
      <w:r>
        <w:rPr>
          <w:rFonts w:hint="eastAsia"/>
        </w:rPr>
        <w:t>7</w:t>
      </w:r>
      <w:r>
        <w:rPr>
          <w:rFonts w:hint="eastAsia"/>
        </w:rPr>
        <w:t>月</w:t>
      </w:r>
      <w:r>
        <w:rPr>
          <w:rFonts w:hint="eastAsia"/>
        </w:rPr>
        <w:t>3</w:t>
      </w:r>
      <w:r>
        <w:rPr>
          <w:rFonts w:hint="eastAsia"/>
        </w:rPr>
        <w:t>1</w:t>
      </w:r>
      <w:r>
        <w:rPr>
          <w:rFonts w:hint="eastAsia"/>
        </w:rPr>
        <w:t>日。</w:t>
      </w:r>
    </w:p>
    <w:sectPr w:rsidR="00E869B2">
      <w:pgSz w:w="11906" w:h="16838"/>
      <w:pgMar w:top="1984" w:right="1531" w:bottom="1701" w:left="1531" w:header="851" w:footer="992" w:gutter="0"/>
      <w:cols w:space="0"/>
      <w:docGrid w:type="linesAndChars" w:linePitch="59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B7A" w:rsidRDefault="009D0B7A" w:rsidP="009D0B7A">
      <w:r>
        <w:separator/>
      </w:r>
    </w:p>
  </w:endnote>
  <w:endnote w:type="continuationSeparator" w:id="0">
    <w:p w:rsidR="009D0B7A" w:rsidRDefault="009D0B7A" w:rsidP="009D0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B7A" w:rsidRDefault="009D0B7A" w:rsidP="009D0B7A">
      <w:r>
        <w:separator/>
      </w:r>
    </w:p>
  </w:footnote>
  <w:footnote w:type="continuationSeparator" w:id="0">
    <w:p w:rsidR="009D0B7A" w:rsidRDefault="009D0B7A" w:rsidP="009D0B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iMDFhMjgxN2IyNTJkMDY0M2E3NTMwMzhmYzE4ZWMifQ=="/>
  </w:docVars>
  <w:rsids>
    <w:rsidRoot w:val="4F8B21A2"/>
    <w:rsid w:val="DDFCCD4F"/>
    <w:rsid w:val="009D0B7A"/>
    <w:rsid w:val="00E869B2"/>
    <w:rsid w:val="06EC1753"/>
    <w:rsid w:val="07B76CEE"/>
    <w:rsid w:val="07D65F6C"/>
    <w:rsid w:val="0C536971"/>
    <w:rsid w:val="0D9C3D38"/>
    <w:rsid w:val="100349A5"/>
    <w:rsid w:val="1A643927"/>
    <w:rsid w:val="1F3C0761"/>
    <w:rsid w:val="1F5B29F7"/>
    <w:rsid w:val="20B72EEA"/>
    <w:rsid w:val="249A4129"/>
    <w:rsid w:val="2BDA4AF7"/>
    <w:rsid w:val="412C5C81"/>
    <w:rsid w:val="4F8B21A2"/>
    <w:rsid w:val="4FCF8CE7"/>
    <w:rsid w:val="5CA607F8"/>
    <w:rsid w:val="605B5F9F"/>
    <w:rsid w:val="636E5C98"/>
    <w:rsid w:val="74F94660"/>
    <w:rsid w:val="7D77CC98"/>
    <w:rsid w:val="7EF12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BB0280BB-6F5E-4440-AAB0-CCB7F5C37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仿宋_GB2312" w:eastAsia="仿宋_GB2312" w:hAnsi="仿宋_GB2312" w:cs="仿宋_GB2312"/>
      <w:kern w:val="2"/>
      <w:sz w:val="32"/>
      <w:szCs w:val="32"/>
    </w:rPr>
  </w:style>
  <w:style w:type="paragraph" w:styleId="1">
    <w:name w:val="heading 1"/>
    <w:basedOn w:val="a"/>
    <w:next w:val="a"/>
    <w:qFormat/>
    <w:pPr>
      <w:snapToGrid w:val="0"/>
      <w:jc w:val="center"/>
      <w:outlineLvl w:val="0"/>
    </w:pPr>
    <w:rPr>
      <w:rFonts w:eastAsia="方正小标宋简体"/>
      <w:kern w:val="44"/>
      <w:sz w:val="44"/>
    </w:rPr>
  </w:style>
  <w:style w:type="paragraph" w:styleId="2">
    <w:name w:val="heading 2"/>
    <w:basedOn w:val="a"/>
    <w:next w:val="a"/>
    <w:semiHidden/>
    <w:unhideWhenUsed/>
    <w:qFormat/>
    <w:pPr>
      <w:ind w:leftChars="200" w:left="200"/>
      <w:outlineLvl w:val="1"/>
    </w:pPr>
    <w:rPr>
      <w:rFonts w:eastAsia="黑体" w:cs="Times New Roman"/>
      <w:szCs w:val="21"/>
    </w:rPr>
  </w:style>
  <w:style w:type="paragraph" w:styleId="3">
    <w:name w:val="heading 3"/>
    <w:basedOn w:val="a"/>
    <w:next w:val="a"/>
    <w:semiHidden/>
    <w:unhideWhenUsed/>
    <w:qFormat/>
    <w:pPr>
      <w:ind w:leftChars="200" w:left="200"/>
      <w:outlineLvl w:val="2"/>
    </w:pPr>
    <w:rPr>
      <w:rFonts w:ascii="楷体_GB2312" w:eastAsia="楷体_GB2312" w:hAnsi="楷体_GB2312" w:cs="楷体_GB231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D0B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D0B7A"/>
    <w:rPr>
      <w:rFonts w:ascii="仿宋_GB2312" w:eastAsia="仿宋_GB2312" w:hAnsi="仿宋_GB2312" w:cs="仿宋_GB2312"/>
      <w:kern w:val="2"/>
      <w:sz w:val="18"/>
      <w:szCs w:val="18"/>
    </w:rPr>
  </w:style>
  <w:style w:type="paragraph" w:styleId="a4">
    <w:name w:val="footer"/>
    <w:basedOn w:val="a"/>
    <w:link w:val="Char0"/>
    <w:rsid w:val="009D0B7A"/>
    <w:pPr>
      <w:tabs>
        <w:tab w:val="center" w:pos="4153"/>
        <w:tab w:val="right" w:pos="8306"/>
      </w:tabs>
      <w:snapToGrid w:val="0"/>
      <w:jc w:val="left"/>
    </w:pPr>
    <w:rPr>
      <w:sz w:val="18"/>
      <w:szCs w:val="18"/>
    </w:rPr>
  </w:style>
  <w:style w:type="character" w:customStyle="1" w:styleId="Char0">
    <w:name w:val="页脚 Char"/>
    <w:basedOn w:val="a0"/>
    <w:link w:val="a4"/>
    <w:rsid w:val="009D0B7A"/>
    <w:rPr>
      <w:rFonts w:ascii="仿宋_GB2312" w:eastAsia="仿宋_GB2312" w:hAnsi="仿宋_GB2312" w:cs="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364</Words>
  <Characters>2077</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dc:creator>
  <cp:lastModifiedBy>admin</cp:lastModifiedBy>
  <cp:revision>2</cp:revision>
  <cp:lastPrinted>2023-08-01T09:23:00Z</cp:lastPrinted>
  <dcterms:created xsi:type="dcterms:W3CDTF">2023-05-07T02:12:00Z</dcterms:created>
  <dcterms:modified xsi:type="dcterms:W3CDTF">2023-08-01T02:58:00Z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5460ECA1EF724DD9A99B0256B5245DEA_11</vt:lpwstr>
  </property>
</Properties>
</file>