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0522"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1DE390C4"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3E358302" w14:textId="77777777" w:rsidR="00E33F5C" w:rsidRDefault="00F4422B">
      <w:pPr>
        <w:snapToGrid w:val="0"/>
        <w:ind w:firstLineChars="62" w:firstLine="298"/>
        <w:jc w:val="center"/>
        <w:rPr>
          <w:rFonts w:eastAsia="方正小标宋简体" w:cs="Times New Roman"/>
          <w:sz w:val="48"/>
          <w:szCs w:val="48"/>
        </w:rPr>
      </w:pPr>
      <w:r>
        <w:rPr>
          <w:rFonts w:eastAsia="方正小标宋简体" w:cs="Times New Roman" w:hint="eastAsia"/>
          <w:sz w:val="48"/>
          <w:szCs w:val="48"/>
        </w:rPr>
        <w:t>乙酰半胱氨酸颗粒生物等效性研究</w:t>
      </w:r>
    </w:p>
    <w:p w14:paraId="25EFA913" w14:textId="77777777" w:rsidR="00E33F5C" w:rsidRDefault="00F4422B">
      <w:pPr>
        <w:snapToGrid w:val="0"/>
        <w:ind w:firstLineChars="62" w:firstLine="298"/>
        <w:jc w:val="center"/>
        <w:rPr>
          <w:rFonts w:eastAsia="方正小标宋简体" w:cs="Times New Roman"/>
          <w:sz w:val="48"/>
          <w:szCs w:val="48"/>
        </w:rPr>
      </w:pPr>
      <w:r>
        <w:rPr>
          <w:rFonts w:eastAsia="方正小标宋简体" w:cs="Times New Roman" w:hint="eastAsia"/>
          <w:sz w:val="48"/>
          <w:szCs w:val="48"/>
        </w:rPr>
        <w:t>技术指导原则</w:t>
      </w:r>
    </w:p>
    <w:p w14:paraId="763608AE" w14:textId="77777777" w:rsidR="00E33F5C" w:rsidRDefault="00F4422B">
      <w:pPr>
        <w:snapToGrid w:val="0"/>
        <w:ind w:firstLineChars="62" w:firstLine="298"/>
        <w:jc w:val="center"/>
        <w:rPr>
          <w:rFonts w:eastAsia="方正小标宋简体" w:cs="Times New Roman"/>
          <w:sz w:val="48"/>
          <w:szCs w:val="48"/>
        </w:rPr>
      </w:pPr>
      <w:bookmarkStart w:id="0" w:name="OLE_LINK1"/>
      <w:r>
        <w:rPr>
          <w:rFonts w:eastAsia="方正小标宋简体" w:cs="Times New Roman" w:hint="eastAsia"/>
          <w:sz w:val="48"/>
          <w:szCs w:val="48"/>
        </w:rPr>
        <w:t>（征求意见稿）</w:t>
      </w:r>
    </w:p>
    <w:bookmarkEnd w:id="0"/>
    <w:p w14:paraId="11F7DFB1"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6D4D531A"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4A7A096D"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46C8738A" w14:textId="77777777" w:rsidR="00E33F5C" w:rsidRDefault="00E33F5C">
      <w:pPr>
        <w:spacing w:afterLines="50" w:after="190" w:line="240" w:lineRule="atLeast"/>
        <w:ind w:firstLine="960"/>
        <w:jc w:val="center"/>
        <w:rPr>
          <w:rFonts w:ascii="方正小标宋简体" w:eastAsia="方正小标宋简体" w:hAnsi="宋体" w:cs="Times New Roman"/>
          <w:bCs/>
          <w:color w:val="FF0000"/>
          <w:sz w:val="48"/>
          <w:szCs w:val="32"/>
        </w:rPr>
      </w:pPr>
    </w:p>
    <w:p w14:paraId="13053FEA" w14:textId="52D35050" w:rsidR="00E33F5C" w:rsidRDefault="00F4422B">
      <w:pPr>
        <w:ind w:firstLine="640"/>
        <w:jc w:val="center"/>
        <w:rPr>
          <w:rFonts w:eastAsia="黑体" w:cs="Times New Roman"/>
          <w:sz w:val="32"/>
        </w:rPr>
      </w:pPr>
      <w:r>
        <w:rPr>
          <w:rFonts w:eastAsia="黑体" w:cs="Times New Roman"/>
          <w:sz w:val="32"/>
        </w:rPr>
        <w:t>2023</w:t>
      </w:r>
      <w:r>
        <w:rPr>
          <w:rFonts w:eastAsia="黑体" w:cs="Times New Roman"/>
          <w:sz w:val="32"/>
        </w:rPr>
        <w:t>年</w:t>
      </w:r>
      <w:r w:rsidR="00D42300">
        <w:rPr>
          <w:rFonts w:eastAsia="黑体" w:cs="Times New Roman"/>
          <w:sz w:val="32"/>
        </w:rPr>
        <w:t>7</w:t>
      </w:r>
      <w:r>
        <w:rPr>
          <w:rFonts w:eastAsia="黑体" w:cs="Times New Roman"/>
          <w:sz w:val="32"/>
        </w:rPr>
        <w:t>月</w:t>
      </w:r>
    </w:p>
    <w:p w14:paraId="4B71B21F" w14:textId="77777777" w:rsidR="00E33F5C" w:rsidRDefault="00E33F5C">
      <w:pPr>
        <w:ind w:firstLine="480"/>
        <w:jc w:val="center"/>
        <w:rPr>
          <w:rFonts w:cs="Times New Roman"/>
        </w:rPr>
      </w:pPr>
    </w:p>
    <w:p w14:paraId="63CB3F5A" w14:textId="77777777" w:rsidR="00E33F5C" w:rsidRDefault="00E33F5C">
      <w:pPr>
        <w:ind w:firstLine="480"/>
        <w:jc w:val="center"/>
        <w:rPr>
          <w:rFonts w:cs="Times New Roman"/>
        </w:rPr>
        <w:sectPr w:rsidR="00E33F5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595" w:footer="992" w:gutter="0"/>
          <w:cols w:space="425"/>
          <w:docGrid w:type="linesAndChars" w:linePitch="381"/>
        </w:sectPr>
      </w:pPr>
    </w:p>
    <w:p w14:paraId="074A55B6" w14:textId="77777777" w:rsidR="00E33F5C" w:rsidRDefault="00F4422B">
      <w:pPr>
        <w:ind w:firstLineChars="0" w:firstLine="0"/>
        <w:jc w:val="center"/>
        <w:rPr>
          <w:rFonts w:eastAsia="方正小标宋简体" w:cs="Times New Roman"/>
          <w:sz w:val="36"/>
          <w:szCs w:val="36"/>
        </w:rPr>
      </w:pPr>
      <w:r>
        <w:rPr>
          <w:rFonts w:eastAsia="方正小标宋简体" w:cs="Times New Roman"/>
          <w:sz w:val="36"/>
          <w:szCs w:val="36"/>
        </w:rPr>
        <w:lastRenderedPageBreak/>
        <w:t>目</w:t>
      </w:r>
      <w:r>
        <w:rPr>
          <w:rFonts w:eastAsia="方正小标宋简体" w:cs="Times New Roman"/>
          <w:sz w:val="36"/>
          <w:szCs w:val="36"/>
        </w:rPr>
        <w:t xml:space="preserve">  </w:t>
      </w:r>
      <w:r>
        <w:rPr>
          <w:rFonts w:eastAsia="方正小标宋简体" w:cs="Times New Roman"/>
          <w:sz w:val="36"/>
          <w:szCs w:val="36"/>
        </w:rPr>
        <w:t>录</w:t>
      </w:r>
    </w:p>
    <w:p w14:paraId="49C6DDD1" w14:textId="77777777" w:rsidR="00E33F5C" w:rsidRDefault="00F4422B">
      <w:pPr>
        <w:pStyle w:val="11"/>
        <w:rPr>
          <w:rFonts w:ascii="仿宋_GB2312" w:eastAsia="仿宋_GB2312" w:hAnsiTheme="minorHAnsi"/>
          <w:sz w:val="32"/>
          <w:szCs w:val="32"/>
          <w14:ligatures w14:val="standardContextual"/>
        </w:rPr>
      </w:pPr>
      <w:r>
        <w:rPr>
          <w:sz w:val="32"/>
          <w:szCs w:val="32"/>
        </w:rPr>
        <w:fldChar w:fldCharType="begin"/>
      </w:r>
      <w:r>
        <w:rPr>
          <w:sz w:val="32"/>
          <w:szCs w:val="32"/>
        </w:rPr>
        <w:instrText xml:space="preserve"> TOC \o "1-3" \h \z \u </w:instrText>
      </w:r>
      <w:r>
        <w:rPr>
          <w:sz w:val="32"/>
          <w:szCs w:val="32"/>
        </w:rPr>
        <w:fldChar w:fldCharType="separate"/>
      </w:r>
      <w:hyperlink w:anchor="_Toc134087999" w:history="1">
        <w:r>
          <w:rPr>
            <w:rStyle w:val="ac"/>
            <w:rFonts w:ascii="仿宋_GB2312" w:eastAsia="仿宋_GB2312" w:hint="eastAsia"/>
            <w:sz w:val="32"/>
            <w:szCs w:val="32"/>
          </w:rPr>
          <w:t>一、概述</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_Toc134087999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D386554" w14:textId="77777777" w:rsidR="00E33F5C" w:rsidRDefault="00D3343B">
      <w:pPr>
        <w:pStyle w:val="11"/>
        <w:rPr>
          <w:rFonts w:ascii="仿宋_GB2312" w:eastAsia="仿宋_GB2312" w:hAnsiTheme="minorHAnsi"/>
          <w:sz w:val="32"/>
          <w:szCs w:val="32"/>
          <w14:ligatures w14:val="standardContextual"/>
        </w:rPr>
      </w:pPr>
      <w:hyperlink w:anchor="_Toc134088000" w:history="1">
        <w:r w:rsidR="00F4422B">
          <w:rPr>
            <w:rStyle w:val="ac"/>
            <w:rFonts w:ascii="仿宋_GB2312" w:eastAsia="仿宋_GB2312" w:hint="eastAsia"/>
            <w:sz w:val="32"/>
            <w:szCs w:val="32"/>
          </w:rPr>
          <w:t>二、人体生物等效性研究设计</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_Toc134088000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27942F85"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1" w:history="1">
        <w:r w:rsidR="00F4422B">
          <w:rPr>
            <w:rStyle w:val="ac"/>
            <w:rFonts w:ascii="仿宋_GB2312" w:eastAsia="仿宋_GB2312" w:cs="Times New Roman" w:hint="eastAsia"/>
            <w:sz w:val="32"/>
            <w:szCs w:val="32"/>
          </w:rPr>
          <w:t>（一）研究类型</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_Toc134088001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7AEFB949"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2" w:history="1">
        <w:r w:rsidR="00F4422B">
          <w:rPr>
            <w:rStyle w:val="ac"/>
            <w:rFonts w:ascii="仿宋_GB2312" w:eastAsia="仿宋_GB2312" w:cs="Times New Roman" w:hint="eastAsia"/>
            <w:sz w:val="32"/>
            <w:szCs w:val="32"/>
          </w:rPr>
          <w:t>（二）受试人群</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_Toc134088002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59A419A8"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3" w:history="1">
        <w:r w:rsidR="00F4422B">
          <w:rPr>
            <w:rStyle w:val="ac"/>
            <w:rFonts w:ascii="仿宋_GB2312" w:eastAsia="仿宋_GB2312" w:cs="Times New Roman" w:hint="eastAsia"/>
            <w:sz w:val="32"/>
            <w:szCs w:val="32"/>
          </w:rPr>
          <w:t>（三）给药剂量</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_Toc134088003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077930DB"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4" w:history="1">
        <w:r w:rsidR="00F4422B">
          <w:rPr>
            <w:rStyle w:val="ac"/>
            <w:rFonts w:ascii="仿宋_GB2312" w:eastAsia="仿宋_GB2312" w:cs="Times New Roman" w:hint="eastAsia"/>
            <w:sz w:val="32"/>
            <w:szCs w:val="32"/>
          </w:rPr>
          <w:t>（四）给药方法</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_Toc134088004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4F53E779"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5" w:history="1">
        <w:r w:rsidR="00F4422B">
          <w:rPr>
            <w:rStyle w:val="ac"/>
            <w:rFonts w:ascii="仿宋_GB2312" w:eastAsia="仿宋_GB2312" w:cs="Times New Roman" w:hint="eastAsia"/>
            <w:sz w:val="32"/>
            <w:szCs w:val="32"/>
          </w:rPr>
          <w:t>（五）血样采集</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_Toc134088005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1</w:t>
        </w:r>
        <w:r w:rsidR="00F4422B">
          <w:rPr>
            <w:rFonts w:ascii="仿宋_GB2312" w:eastAsia="仿宋_GB2312" w:hint="eastAsia"/>
            <w:sz w:val="32"/>
            <w:szCs w:val="32"/>
          </w:rPr>
          <w:fldChar w:fldCharType="end"/>
        </w:r>
      </w:hyperlink>
    </w:p>
    <w:p w14:paraId="60E3E359"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6" w:history="1">
        <w:r w:rsidR="00F4422B">
          <w:rPr>
            <w:rStyle w:val="ac"/>
            <w:rFonts w:ascii="仿宋_GB2312" w:eastAsia="仿宋_GB2312" w:cs="Times New Roman" w:hint="eastAsia"/>
            <w:sz w:val="32"/>
            <w:szCs w:val="32"/>
          </w:rPr>
          <w:t>（六）检测物质</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_Toc134088006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2</w:t>
        </w:r>
        <w:r w:rsidR="00F4422B">
          <w:rPr>
            <w:rFonts w:ascii="仿宋_GB2312" w:eastAsia="仿宋_GB2312" w:hint="eastAsia"/>
            <w:sz w:val="32"/>
            <w:szCs w:val="32"/>
          </w:rPr>
          <w:fldChar w:fldCharType="end"/>
        </w:r>
      </w:hyperlink>
    </w:p>
    <w:p w14:paraId="2195B7BB" w14:textId="77777777" w:rsidR="00E33F5C" w:rsidRDefault="00D3343B">
      <w:pPr>
        <w:pStyle w:val="21"/>
        <w:tabs>
          <w:tab w:val="right" w:leader="dot" w:pos="8302"/>
        </w:tabs>
        <w:ind w:left="480" w:firstLine="480"/>
        <w:rPr>
          <w:rFonts w:ascii="仿宋_GB2312" w:eastAsia="仿宋_GB2312" w:hAnsiTheme="minorHAnsi"/>
          <w:sz w:val="32"/>
          <w:szCs w:val="32"/>
          <w14:ligatures w14:val="standardContextual"/>
        </w:rPr>
      </w:pPr>
      <w:hyperlink w:anchor="_Toc134088007" w:history="1">
        <w:r w:rsidR="00F4422B">
          <w:rPr>
            <w:rStyle w:val="ac"/>
            <w:rFonts w:ascii="仿宋_GB2312" w:eastAsia="仿宋_GB2312" w:cs="Times New Roman" w:hint="eastAsia"/>
            <w:sz w:val="32"/>
            <w:szCs w:val="32"/>
          </w:rPr>
          <w:t>（七）生物等效性评价</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_Toc134088007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2</w:t>
        </w:r>
        <w:r w:rsidR="00F4422B">
          <w:rPr>
            <w:rFonts w:ascii="仿宋_GB2312" w:eastAsia="仿宋_GB2312" w:hint="eastAsia"/>
            <w:sz w:val="32"/>
            <w:szCs w:val="32"/>
          </w:rPr>
          <w:fldChar w:fldCharType="end"/>
        </w:r>
      </w:hyperlink>
    </w:p>
    <w:p w14:paraId="07B65814" w14:textId="77777777" w:rsidR="00E33F5C" w:rsidRDefault="00D3343B">
      <w:pPr>
        <w:pStyle w:val="11"/>
        <w:rPr>
          <w:rFonts w:ascii="仿宋_GB2312" w:eastAsia="仿宋_GB2312" w:hAnsiTheme="minorHAnsi"/>
          <w:sz w:val="32"/>
          <w:szCs w:val="32"/>
          <w14:ligatures w14:val="standardContextual"/>
        </w:rPr>
      </w:pPr>
      <w:hyperlink w:anchor="_Toc134088008" w:history="1">
        <w:r w:rsidR="00F4422B">
          <w:rPr>
            <w:rStyle w:val="ac"/>
            <w:rFonts w:ascii="仿宋_GB2312" w:eastAsia="仿宋_GB2312" w:hint="eastAsia"/>
            <w:sz w:val="32"/>
            <w:szCs w:val="32"/>
          </w:rPr>
          <w:t>三、人体生物等效性研究豁免</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_Toc134088008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2</w:t>
        </w:r>
        <w:r w:rsidR="00F4422B">
          <w:rPr>
            <w:rFonts w:ascii="仿宋_GB2312" w:eastAsia="仿宋_GB2312" w:hint="eastAsia"/>
            <w:sz w:val="32"/>
            <w:szCs w:val="32"/>
          </w:rPr>
          <w:fldChar w:fldCharType="end"/>
        </w:r>
      </w:hyperlink>
    </w:p>
    <w:p w14:paraId="795DB441" w14:textId="77777777" w:rsidR="00E33F5C" w:rsidRDefault="00D3343B">
      <w:pPr>
        <w:pStyle w:val="11"/>
        <w:rPr>
          <w:rFonts w:asciiTheme="minorHAnsi" w:eastAsiaTheme="minorEastAsia" w:hAnsiTheme="minorHAnsi"/>
          <w:sz w:val="21"/>
          <w14:ligatures w14:val="standardContextual"/>
        </w:rPr>
      </w:pPr>
      <w:hyperlink w:anchor="_Toc134088009" w:history="1">
        <w:r w:rsidR="00F4422B">
          <w:rPr>
            <w:rStyle w:val="ac"/>
            <w:rFonts w:ascii="仿宋_GB2312" w:eastAsia="仿宋_GB2312" w:hint="eastAsia"/>
            <w:sz w:val="32"/>
            <w:szCs w:val="32"/>
          </w:rPr>
          <w:t>四、参考文献</w:t>
        </w:r>
        <w:r w:rsidR="00F4422B">
          <w:rPr>
            <w:rFonts w:ascii="仿宋_GB2312" w:eastAsia="仿宋_GB2312" w:hint="eastAsia"/>
            <w:sz w:val="32"/>
            <w:szCs w:val="32"/>
          </w:rPr>
          <w:tab/>
        </w:r>
        <w:r w:rsidR="00F4422B">
          <w:rPr>
            <w:rFonts w:ascii="仿宋_GB2312" w:eastAsia="仿宋_GB2312" w:hint="eastAsia"/>
            <w:sz w:val="32"/>
            <w:szCs w:val="32"/>
          </w:rPr>
          <w:fldChar w:fldCharType="begin"/>
        </w:r>
        <w:r w:rsidR="00F4422B">
          <w:rPr>
            <w:rFonts w:ascii="仿宋_GB2312" w:eastAsia="仿宋_GB2312" w:hint="eastAsia"/>
            <w:sz w:val="32"/>
            <w:szCs w:val="32"/>
          </w:rPr>
          <w:instrText xml:space="preserve"> PAGEREF _Toc134088009 \h </w:instrText>
        </w:r>
        <w:r w:rsidR="00F4422B">
          <w:rPr>
            <w:rFonts w:ascii="仿宋_GB2312" w:eastAsia="仿宋_GB2312" w:hint="eastAsia"/>
            <w:sz w:val="32"/>
            <w:szCs w:val="32"/>
          </w:rPr>
        </w:r>
        <w:r w:rsidR="00F4422B">
          <w:rPr>
            <w:rFonts w:ascii="仿宋_GB2312" w:eastAsia="仿宋_GB2312" w:hint="eastAsia"/>
            <w:sz w:val="32"/>
            <w:szCs w:val="32"/>
          </w:rPr>
          <w:fldChar w:fldCharType="separate"/>
        </w:r>
        <w:r w:rsidR="00F4422B">
          <w:rPr>
            <w:rFonts w:ascii="仿宋_GB2312" w:eastAsia="仿宋_GB2312" w:hint="eastAsia"/>
            <w:sz w:val="32"/>
            <w:szCs w:val="32"/>
          </w:rPr>
          <w:t>2</w:t>
        </w:r>
        <w:r w:rsidR="00F4422B">
          <w:rPr>
            <w:rFonts w:ascii="仿宋_GB2312" w:eastAsia="仿宋_GB2312" w:hint="eastAsia"/>
            <w:sz w:val="32"/>
            <w:szCs w:val="32"/>
          </w:rPr>
          <w:fldChar w:fldCharType="end"/>
        </w:r>
      </w:hyperlink>
    </w:p>
    <w:p w14:paraId="1AD91C46" w14:textId="77777777" w:rsidR="00E33F5C" w:rsidRDefault="00F4422B">
      <w:pPr>
        <w:snapToGrid w:val="0"/>
        <w:ind w:firstLine="640"/>
        <w:rPr>
          <w:rFonts w:eastAsia="仿宋_GB2312" w:cs="Times New Roman"/>
          <w:sz w:val="32"/>
        </w:rPr>
      </w:pPr>
      <w:r>
        <w:rPr>
          <w:rFonts w:eastAsia="仿宋_GB2312" w:cs="Times New Roman"/>
          <w:sz w:val="32"/>
          <w:szCs w:val="32"/>
        </w:rPr>
        <w:fldChar w:fldCharType="end"/>
      </w:r>
    </w:p>
    <w:p w14:paraId="161E6A3F" w14:textId="77777777" w:rsidR="00E33F5C" w:rsidRDefault="00E33F5C">
      <w:pPr>
        <w:ind w:firstLine="480"/>
        <w:rPr>
          <w:rFonts w:cs="Times New Roman"/>
        </w:rPr>
      </w:pPr>
    </w:p>
    <w:p w14:paraId="27DEAAEF" w14:textId="77777777" w:rsidR="00E33F5C" w:rsidRDefault="00E33F5C">
      <w:pPr>
        <w:ind w:firstLine="480"/>
        <w:rPr>
          <w:rFonts w:cs="Times New Roman"/>
        </w:rPr>
      </w:pPr>
    </w:p>
    <w:p w14:paraId="24506792" w14:textId="77777777" w:rsidR="00E33F5C" w:rsidRDefault="00E33F5C">
      <w:pPr>
        <w:ind w:firstLine="480"/>
        <w:rPr>
          <w:rFonts w:cs="Times New Roman"/>
        </w:rPr>
      </w:pPr>
    </w:p>
    <w:p w14:paraId="3BA21039" w14:textId="77777777" w:rsidR="00E33F5C" w:rsidRDefault="00E33F5C">
      <w:pPr>
        <w:ind w:firstLine="480"/>
        <w:rPr>
          <w:rFonts w:cs="Times New Roman"/>
        </w:rPr>
      </w:pPr>
    </w:p>
    <w:p w14:paraId="53553FC9" w14:textId="77777777" w:rsidR="00E33F5C" w:rsidRDefault="00E33F5C">
      <w:pPr>
        <w:ind w:firstLine="480"/>
        <w:rPr>
          <w:rFonts w:cs="Times New Roman"/>
        </w:rPr>
        <w:sectPr w:rsidR="00E33F5C">
          <w:pgSz w:w="11906" w:h="16838"/>
          <w:pgMar w:top="1440" w:right="1797" w:bottom="1440" w:left="1797" w:header="595" w:footer="992" w:gutter="0"/>
          <w:cols w:space="425"/>
          <w:docGrid w:type="linesAndChars" w:linePitch="381"/>
        </w:sectPr>
      </w:pPr>
    </w:p>
    <w:p w14:paraId="087CDD23" w14:textId="77777777" w:rsidR="00E33F5C" w:rsidRDefault="00F4422B">
      <w:pPr>
        <w:ind w:firstLineChars="0" w:firstLine="0"/>
        <w:jc w:val="center"/>
        <w:rPr>
          <w:rFonts w:eastAsia="方正小标宋简体" w:cs="Times New Roman"/>
          <w:sz w:val="36"/>
        </w:rPr>
      </w:pPr>
      <w:bookmarkStart w:id="1" w:name="_Hlk138081278"/>
      <w:r>
        <w:rPr>
          <w:rFonts w:eastAsia="方正小标宋简体" w:cs="Times New Roman" w:hint="eastAsia"/>
          <w:sz w:val="36"/>
        </w:rPr>
        <w:lastRenderedPageBreak/>
        <w:t>乙酰半胱氨酸颗粒</w:t>
      </w:r>
      <w:r>
        <w:rPr>
          <w:rFonts w:eastAsia="方正小标宋简体" w:cs="Times New Roman"/>
          <w:sz w:val="36"/>
        </w:rPr>
        <w:t>生物等效性研究</w:t>
      </w:r>
    </w:p>
    <w:p w14:paraId="393C3665" w14:textId="77777777" w:rsidR="00E33F5C" w:rsidRDefault="00F4422B">
      <w:pPr>
        <w:ind w:firstLineChars="0" w:firstLine="0"/>
        <w:jc w:val="center"/>
        <w:rPr>
          <w:rFonts w:eastAsia="方正小标宋简体" w:cs="Times New Roman"/>
          <w:sz w:val="36"/>
        </w:rPr>
      </w:pPr>
      <w:r>
        <w:rPr>
          <w:rFonts w:eastAsia="方正小标宋简体" w:cs="Times New Roman"/>
          <w:sz w:val="36"/>
        </w:rPr>
        <w:t>技术指导原则</w:t>
      </w:r>
    </w:p>
    <w:p w14:paraId="55FFA0C0" w14:textId="77777777" w:rsidR="00E33F5C" w:rsidRDefault="00F4422B">
      <w:pPr>
        <w:pStyle w:val="af"/>
        <w:keepNext w:val="0"/>
        <w:keepLines w:val="0"/>
        <w:spacing w:before="0" w:line="360" w:lineRule="auto"/>
        <w:rPr>
          <w:b w:val="0"/>
        </w:rPr>
      </w:pPr>
      <w:bookmarkStart w:id="2" w:name="_Toc134087999"/>
      <w:bookmarkStart w:id="3" w:name="_Hlk138081297"/>
      <w:bookmarkEnd w:id="1"/>
      <w:r>
        <w:rPr>
          <w:b w:val="0"/>
        </w:rPr>
        <w:t>一、概述</w:t>
      </w:r>
      <w:bookmarkEnd w:id="2"/>
    </w:p>
    <w:p w14:paraId="4AC6BA58" w14:textId="77777777" w:rsidR="00E33F5C" w:rsidRPr="00F4422B" w:rsidRDefault="00F4422B" w:rsidP="00FD56E5">
      <w:pPr>
        <w:snapToGrid w:val="0"/>
        <w:ind w:firstLine="640"/>
        <w:rPr>
          <w:rFonts w:eastAsia="仿宋_GB2312" w:cs="Times New Roman"/>
          <w:color w:val="FF0000"/>
          <w:sz w:val="32"/>
        </w:rPr>
      </w:pPr>
      <w:r>
        <w:rPr>
          <w:rFonts w:eastAsia="仿宋_GB2312" w:cs="Times New Roman" w:hint="eastAsia"/>
          <w:color w:val="000000" w:themeColor="text1"/>
          <w:sz w:val="32"/>
        </w:rPr>
        <w:t>乙酰半胱氨酸颗粒（</w:t>
      </w:r>
      <w:r>
        <w:rPr>
          <w:rFonts w:eastAsia="仿宋_GB2312" w:cs="Times New Roman"/>
          <w:color w:val="000000" w:themeColor="text1"/>
          <w:sz w:val="32"/>
        </w:rPr>
        <w:t>Acetylcysteine Granules</w:t>
      </w:r>
      <w:r>
        <w:rPr>
          <w:rFonts w:eastAsia="仿宋_GB2312" w:cs="Times New Roman" w:hint="eastAsia"/>
          <w:color w:val="000000" w:themeColor="text1"/>
          <w:sz w:val="32"/>
        </w:rPr>
        <w:t>）为祛痰药</w:t>
      </w:r>
      <w:r>
        <w:rPr>
          <w:rFonts w:eastAsia="仿宋_GB2312" w:cs="Times New Roman" w:hint="eastAsia"/>
          <w:sz w:val="32"/>
        </w:rPr>
        <w:t>，其化学结构中的巯基可使粘蛋白的双硫键断裂，降低</w:t>
      </w:r>
      <w:proofErr w:type="gramStart"/>
      <w:r>
        <w:rPr>
          <w:rFonts w:eastAsia="仿宋_GB2312" w:cs="Times New Roman" w:hint="eastAsia"/>
          <w:sz w:val="32"/>
        </w:rPr>
        <w:t>痰</w:t>
      </w:r>
      <w:proofErr w:type="gramEnd"/>
      <w:r>
        <w:rPr>
          <w:rFonts w:eastAsia="仿宋_GB2312" w:cs="Times New Roman" w:hint="eastAsia"/>
          <w:sz w:val="32"/>
        </w:rPr>
        <w:t>粘度，使</w:t>
      </w:r>
      <w:proofErr w:type="gramStart"/>
      <w:r>
        <w:rPr>
          <w:rFonts w:eastAsia="仿宋_GB2312" w:cs="Times New Roman" w:hint="eastAsia"/>
          <w:sz w:val="32"/>
        </w:rPr>
        <w:t>痰容易</w:t>
      </w:r>
      <w:proofErr w:type="gramEnd"/>
      <w:r>
        <w:rPr>
          <w:rFonts w:eastAsia="仿宋_GB2312" w:cs="Times New Roman" w:hint="eastAsia"/>
          <w:sz w:val="32"/>
        </w:rPr>
        <w:t>咳出。</w:t>
      </w:r>
      <w:r>
        <w:rPr>
          <w:rFonts w:eastAsia="仿宋_GB2312" w:cs="Times New Roman"/>
          <w:sz w:val="32"/>
        </w:rPr>
        <w:t>临床上用于</w:t>
      </w:r>
      <w:r>
        <w:rPr>
          <w:rFonts w:eastAsia="仿宋_GB2312" w:cs="Times New Roman" w:hint="eastAsia"/>
          <w:sz w:val="32"/>
        </w:rPr>
        <w:t>慢性支气管炎等咳嗽有粘痰而不易咳出的患者。乙酰半胱氨酸为内源性物质，但体内浓度较低。</w:t>
      </w:r>
    </w:p>
    <w:p w14:paraId="44E79E95" w14:textId="7389E149" w:rsidR="00E33F5C" w:rsidRDefault="00F4422B">
      <w:pPr>
        <w:snapToGrid w:val="0"/>
        <w:ind w:firstLine="640"/>
        <w:rPr>
          <w:rFonts w:eastAsia="仿宋_GB2312" w:cs="Times New Roman"/>
          <w:kern w:val="0"/>
          <w:sz w:val="32"/>
          <w:szCs w:val="24"/>
        </w:rPr>
      </w:pPr>
      <w:r>
        <w:rPr>
          <w:rFonts w:eastAsia="仿宋_GB2312" w:cs="Times New Roman" w:hint="eastAsia"/>
          <w:sz w:val="32"/>
        </w:rPr>
        <w:t>乙酰半胱氨酸颗粒</w:t>
      </w:r>
      <w:r>
        <w:rPr>
          <w:rFonts w:eastAsia="仿宋_GB2312" w:cs="Times New Roman"/>
          <w:kern w:val="0"/>
          <w:sz w:val="32"/>
          <w:szCs w:val="24"/>
        </w:rPr>
        <w:t>生物等效性研究应符合本指导原则</w:t>
      </w:r>
      <w:r w:rsidR="00455915">
        <w:rPr>
          <w:rFonts w:eastAsia="仿宋_GB2312" w:cs="Times New Roman" w:hint="eastAsia"/>
          <w:kern w:val="0"/>
          <w:sz w:val="32"/>
          <w:szCs w:val="24"/>
        </w:rPr>
        <w:t>要求</w:t>
      </w:r>
      <w:r>
        <w:rPr>
          <w:rFonts w:eastAsia="仿宋_GB2312" w:cs="Times New Roman"/>
          <w:kern w:val="0"/>
          <w:sz w:val="32"/>
          <w:szCs w:val="24"/>
        </w:rPr>
        <w:t>，还应参照《以药动学参数为终点评价指标的化学药物仿制药人体生物等效性研究技术指导原则》、《生物等效性研究的统计学指导原则》等指导原则。</w:t>
      </w:r>
    </w:p>
    <w:p w14:paraId="2854035C" w14:textId="77777777" w:rsidR="00E33F5C" w:rsidRDefault="00F4422B">
      <w:pPr>
        <w:pStyle w:val="af"/>
        <w:keepNext w:val="0"/>
        <w:keepLines w:val="0"/>
        <w:snapToGrid w:val="0"/>
        <w:spacing w:before="0" w:line="360" w:lineRule="auto"/>
        <w:rPr>
          <w:b w:val="0"/>
        </w:rPr>
      </w:pPr>
      <w:bookmarkStart w:id="4" w:name="_Toc134088000"/>
      <w:r>
        <w:rPr>
          <w:b w:val="0"/>
        </w:rPr>
        <w:t>二、人体生物等效性研究设计</w:t>
      </w:r>
      <w:bookmarkEnd w:id="4"/>
    </w:p>
    <w:p w14:paraId="3A119625" w14:textId="77777777" w:rsidR="00E33F5C" w:rsidRDefault="00F4422B">
      <w:pPr>
        <w:pStyle w:val="2"/>
        <w:snapToGrid w:val="0"/>
        <w:ind w:firstLine="640"/>
        <w:rPr>
          <w:rFonts w:ascii="Times New Roman" w:eastAsia="楷体_GB2312" w:hAnsi="Times New Roman" w:cs="Times New Roman"/>
          <w:b w:val="0"/>
          <w:sz w:val="32"/>
        </w:rPr>
      </w:pPr>
      <w:bookmarkStart w:id="5" w:name="_Toc134088001"/>
      <w:r>
        <w:rPr>
          <w:rFonts w:ascii="Times New Roman" w:eastAsia="楷体_GB2312" w:hAnsi="Times New Roman" w:cs="Times New Roman"/>
          <w:b w:val="0"/>
          <w:sz w:val="32"/>
        </w:rPr>
        <w:t>（一）研究类型</w:t>
      </w:r>
      <w:bookmarkEnd w:id="5"/>
    </w:p>
    <w:p w14:paraId="4FB9EC59" w14:textId="18631F4A" w:rsidR="00E33F5C" w:rsidRDefault="00F4422B">
      <w:pPr>
        <w:snapToGrid w:val="0"/>
        <w:ind w:firstLine="640"/>
        <w:rPr>
          <w:rFonts w:eastAsia="仿宋_GB2312" w:cs="Times New Roman"/>
          <w:sz w:val="32"/>
        </w:rPr>
      </w:pPr>
      <w:r>
        <w:rPr>
          <w:rFonts w:eastAsia="仿宋_GB2312" w:cs="Times New Roman"/>
          <w:sz w:val="32"/>
        </w:rPr>
        <w:t>采用两制剂、两周期、两序列交叉设计，</w:t>
      </w:r>
      <w:r w:rsidR="00344CC1">
        <w:rPr>
          <w:rFonts w:eastAsia="仿宋_GB2312" w:cs="Times New Roman" w:hint="eastAsia"/>
          <w:sz w:val="32"/>
        </w:rPr>
        <w:t>进行</w:t>
      </w:r>
      <w:r w:rsidR="00344CC1">
        <w:rPr>
          <w:rFonts w:eastAsia="仿宋_GB2312" w:cs="Times New Roman"/>
          <w:sz w:val="32"/>
        </w:rPr>
        <w:t>空腹</w:t>
      </w:r>
      <w:r w:rsidR="00344CC1">
        <w:rPr>
          <w:rFonts w:eastAsia="仿宋_GB2312" w:cs="Times New Roman" w:hint="eastAsia"/>
          <w:sz w:val="32"/>
        </w:rPr>
        <w:t>和餐后条件下</w:t>
      </w:r>
      <w:r>
        <w:rPr>
          <w:rFonts w:eastAsia="仿宋_GB2312" w:cs="Times New Roman"/>
          <w:sz w:val="32"/>
        </w:rPr>
        <w:t>单次给药的</w:t>
      </w:r>
      <w:r w:rsidR="00344CC1">
        <w:rPr>
          <w:rFonts w:eastAsia="仿宋_GB2312" w:cs="Times New Roman" w:hint="eastAsia"/>
          <w:sz w:val="32"/>
        </w:rPr>
        <w:t>人体</w:t>
      </w:r>
      <w:r>
        <w:rPr>
          <w:rFonts w:eastAsia="仿宋_GB2312" w:cs="Times New Roman"/>
          <w:sz w:val="32"/>
        </w:rPr>
        <w:t>生物等效性研究。</w:t>
      </w:r>
    </w:p>
    <w:p w14:paraId="4594352D" w14:textId="77777777" w:rsidR="00E33F5C" w:rsidRDefault="00F4422B">
      <w:pPr>
        <w:pStyle w:val="2"/>
        <w:snapToGrid w:val="0"/>
        <w:ind w:firstLine="640"/>
        <w:rPr>
          <w:rFonts w:ascii="Times New Roman" w:eastAsia="楷体_GB2312" w:hAnsi="Times New Roman" w:cs="Times New Roman"/>
          <w:b w:val="0"/>
          <w:sz w:val="32"/>
        </w:rPr>
      </w:pPr>
      <w:bookmarkStart w:id="6" w:name="_Toc134088002"/>
      <w:r>
        <w:rPr>
          <w:rFonts w:ascii="Times New Roman" w:eastAsia="楷体_GB2312" w:hAnsi="Times New Roman" w:cs="Times New Roman"/>
          <w:b w:val="0"/>
          <w:sz w:val="32"/>
        </w:rPr>
        <w:t>（二）受试人群</w:t>
      </w:r>
      <w:bookmarkEnd w:id="6"/>
    </w:p>
    <w:p w14:paraId="61C8D48A" w14:textId="6A5F59A7" w:rsidR="00E33F5C" w:rsidRDefault="00F4422B">
      <w:pPr>
        <w:snapToGrid w:val="0"/>
        <w:ind w:firstLine="640"/>
        <w:rPr>
          <w:rFonts w:eastAsia="仿宋_GB2312" w:cs="Times New Roman"/>
          <w:sz w:val="32"/>
        </w:rPr>
      </w:pPr>
      <w:r>
        <w:rPr>
          <w:rFonts w:eastAsia="仿宋_GB2312" w:cs="Times New Roman"/>
          <w:sz w:val="32"/>
        </w:rPr>
        <w:t>健康</w:t>
      </w:r>
      <w:r w:rsidR="0037265C">
        <w:rPr>
          <w:rFonts w:eastAsia="仿宋_GB2312" w:cs="Times New Roman" w:hint="eastAsia"/>
          <w:sz w:val="32"/>
        </w:rPr>
        <w:t>成人</w:t>
      </w:r>
      <w:r>
        <w:rPr>
          <w:rFonts w:eastAsia="仿宋_GB2312" w:cs="Times New Roman"/>
          <w:sz w:val="32"/>
        </w:rPr>
        <w:t>受试者。</w:t>
      </w:r>
    </w:p>
    <w:p w14:paraId="708EA020" w14:textId="77777777" w:rsidR="00E33F5C" w:rsidRDefault="00F4422B">
      <w:pPr>
        <w:pStyle w:val="2"/>
        <w:snapToGrid w:val="0"/>
        <w:ind w:firstLine="640"/>
        <w:rPr>
          <w:rFonts w:ascii="Times New Roman" w:eastAsia="楷体_GB2312" w:hAnsi="Times New Roman" w:cs="Times New Roman"/>
          <w:b w:val="0"/>
          <w:sz w:val="32"/>
        </w:rPr>
      </w:pPr>
      <w:bookmarkStart w:id="7" w:name="_Toc134088003"/>
      <w:r>
        <w:rPr>
          <w:rFonts w:ascii="Times New Roman" w:eastAsia="楷体_GB2312" w:hAnsi="Times New Roman" w:cs="Times New Roman"/>
          <w:b w:val="0"/>
          <w:sz w:val="32"/>
        </w:rPr>
        <w:t>（三）给药</w:t>
      </w:r>
      <w:r>
        <w:rPr>
          <w:rFonts w:ascii="Times New Roman" w:eastAsia="楷体_GB2312" w:hAnsi="Times New Roman" w:cs="Times New Roman" w:hint="eastAsia"/>
          <w:b w:val="0"/>
          <w:sz w:val="32"/>
        </w:rPr>
        <w:t>剂量</w:t>
      </w:r>
      <w:bookmarkEnd w:id="7"/>
    </w:p>
    <w:p w14:paraId="2AA1DE58" w14:textId="77777777" w:rsidR="00E33F5C" w:rsidRDefault="00F4422B">
      <w:pPr>
        <w:snapToGrid w:val="0"/>
        <w:ind w:firstLine="640"/>
        <w:rPr>
          <w:rFonts w:eastAsia="仿宋_GB2312" w:cs="Times New Roman"/>
          <w:sz w:val="32"/>
        </w:rPr>
      </w:pPr>
      <w:r>
        <w:rPr>
          <w:rFonts w:eastAsia="仿宋_GB2312" w:cs="Times New Roman" w:hint="eastAsia"/>
          <w:sz w:val="32"/>
        </w:rPr>
        <w:t>建议采用申报的最高规格，最大给药剂量不超过</w:t>
      </w:r>
      <w:r>
        <w:rPr>
          <w:rFonts w:eastAsia="仿宋_GB2312" w:cs="Times New Roman" w:hint="eastAsia"/>
          <w:sz w:val="32"/>
        </w:rPr>
        <w:t>0.6g</w:t>
      </w:r>
      <w:r>
        <w:rPr>
          <w:rFonts w:eastAsia="仿宋_GB2312" w:cs="Times New Roman" w:hint="eastAsia"/>
          <w:sz w:val="32"/>
        </w:rPr>
        <w:t>。</w:t>
      </w:r>
    </w:p>
    <w:p w14:paraId="1EDB8D0B" w14:textId="77777777" w:rsidR="00E33F5C" w:rsidRDefault="00F4422B">
      <w:pPr>
        <w:pStyle w:val="2"/>
        <w:snapToGrid w:val="0"/>
        <w:ind w:firstLine="640"/>
        <w:rPr>
          <w:rFonts w:ascii="Times New Roman" w:eastAsia="楷体_GB2312" w:hAnsi="Times New Roman" w:cs="Times New Roman"/>
          <w:b w:val="0"/>
          <w:sz w:val="32"/>
        </w:rPr>
      </w:pPr>
      <w:bookmarkStart w:id="8" w:name="_Toc134088004"/>
      <w:r>
        <w:rPr>
          <w:rFonts w:ascii="Times New Roman" w:eastAsia="楷体_GB2312" w:hAnsi="Times New Roman" w:cs="Times New Roman" w:hint="eastAsia"/>
          <w:b w:val="0"/>
          <w:sz w:val="32"/>
        </w:rPr>
        <w:t>（四）给药方法</w:t>
      </w:r>
      <w:bookmarkEnd w:id="8"/>
    </w:p>
    <w:p w14:paraId="67BEA5E0" w14:textId="77777777" w:rsidR="00E33F5C" w:rsidRDefault="00F4422B">
      <w:pPr>
        <w:snapToGrid w:val="0"/>
        <w:ind w:firstLine="640"/>
        <w:rPr>
          <w:rFonts w:eastAsia="仿宋_GB2312" w:cs="Times New Roman"/>
          <w:sz w:val="32"/>
        </w:rPr>
      </w:pPr>
      <w:r>
        <w:rPr>
          <w:rFonts w:eastAsia="仿宋_GB2312" w:cs="Times New Roman" w:hint="eastAsia"/>
          <w:sz w:val="32"/>
        </w:rPr>
        <w:t>口服给药。</w:t>
      </w:r>
    </w:p>
    <w:p w14:paraId="17EE7C23" w14:textId="77777777" w:rsidR="00E33F5C" w:rsidRDefault="00F4422B">
      <w:pPr>
        <w:pStyle w:val="2"/>
        <w:snapToGrid w:val="0"/>
        <w:ind w:firstLine="640"/>
        <w:rPr>
          <w:rFonts w:ascii="Times New Roman" w:eastAsia="楷体_GB2312" w:hAnsi="Times New Roman" w:cs="Times New Roman"/>
          <w:b w:val="0"/>
          <w:sz w:val="32"/>
        </w:rPr>
      </w:pPr>
      <w:bookmarkStart w:id="9" w:name="_Toc134088005"/>
      <w:r>
        <w:rPr>
          <w:rFonts w:ascii="Times New Roman" w:eastAsia="楷体_GB2312" w:hAnsi="Times New Roman" w:cs="Times New Roman"/>
          <w:b w:val="0"/>
          <w:sz w:val="32"/>
        </w:rPr>
        <w:lastRenderedPageBreak/>
        <w:t>（</w:t>
      </w:r>
      <w:r>
        <w:rPr>
          <w:rFonts w:ascii="Times New Roman" w:eastAsia="楷体_GB2312" w:hAnsi="Times New Roman" w:cs="Times New Roman" w:hint="eastAsia"/>
          <w:b w:val="0"/>
          <w:sz w:val="32"/>
        </w:rPr>
        <w:t>五</w:t>
      </w:r>
      <w:r>
        <w:rPr>
          <w:rFonts w:ascii="Times New Roman" w:eastAsia="楷体_GB2312" w:hAnsi="Times New Roman" w:cs="Times New Roman"/>
          <w:b w:val="0"/>
          <w:sz w:val="32"/>
        </w:rPr>
        <w:t>）血样采集</w:t>
      </w:r>
      <w:bookmarkEnd w:id="9"/>
    </w:p>
    <w:p w14:paraId="331D0490" w14:textId="6B45804F" w:rsidR="00E33F5C" w:rsidRPr="00F4422B" w:rsidRDefault="00F4422B">
      <w:pPr>
        <w:snapToGrid w:val="0"/>
        <w:ind w:firstLine="640"/>
        <w:rPr>
          <w:rFonts w:eastAsia="仿宋_GB2312" w:cs="Times New Roman"/>
          <w:color w:val="FF0000"/>
          <w:sz w:val="32"/>
        </w:rPr>
      </w:pPr>
      <w:r>
        <w:rPr>
          <w:rFonts w:eastAsia="仿宋_GB2312" w:cs="Times New Roman"/>
          <w:sz w:val="32"/>
        </w:rPr>
        <w:t>合理设计样品采集时间，</w:t>
      </w:r>
      <w:r>
        <w:rPr>
          <w:rFonts w:eastAsia="仿宋_GB2312" w:cs="Times New Roman" w:hint="eastAsia"/>
          <w:sz w:val="32"/>
        </w:rPr>
        <w:t>使其包含吸收、分布及消除相，同时在</w:t>
      </w:r>
      <w:r>
        <w:rPr>
          <w:rFonts w:eastAsia="仿宋_GB2312" w:cs="Times New Roman"/>
          <w:sz w:val="32"/>
        </w:rPr>
        <w:t>给药前</w:t>
      </w:r>
      <w:r>
        <w:rPr>
          <w:rFonts w:eastAsia="仿宋_GB2312" w:cs="Times New Roman" w:hint="eastAsia"/>
          <w:sz w:val="32"/>
        </w:rPr>
        <w:t>采集基线样品。</w:t>
      </w:r>
      <w:bookmarkStart w:id="10" w:name="_Hlk138082381"/>
    </w:p>
    <w:p w14:paraId="7B44C47A" w14:textId="77777777" w:rsidR="00E33F5C" w:rsidRDefault="00F4422B">
      <w:pPr>
        <w:pStyle w:val="2"/>
        <w:snapToGrid w:val="0"/>
        <w:ind w:firstLine="640"/>
        <w:rPr>
          <w:rFonts w:ascii="Times New Roman" w:eastAsia="楷体_GB2312" w:hAnsi="Times New Roman" w:cs="Times New Roman"/>
          <w:b w:val="0"/>
          <w:sz w:val="32"/>
        </w:rPr>
      </w:pPr>
      <w:bookmarkStart w:id="11" w:name="_Toc134088006"/>
      <w:bookmarkEnd w:id="10"/>
      <w:r>
        <w:rPr>
          <w:rFonts w:ascii="Times New Roman" w:eastAsia="楷体_GB2312" w:hAnsi="Times New Roman" w:cs="Times New Roman"/>
          <w:b w:val="0"/>
          <w:sz w:val="32"/>
        </w:rPr>
        <w:t>（</w:t>
      </w:r>
      <w:r>
        <w:rPr>
          <w:rFonts w:ascii="Times New Roman" w:eastAsia="楷体_GB2312" w:hAnsi="Times New Roman" w:cs="Times New Roman" w:hint="eastAsia"/>
          <w:b w:val="0"/>
          <w:sz w:val="32"/>
        </w:rPr>
        <w:t>六</w:t>
      </w:r>
      <w:r>
        <w:rPr>
          <w:rFonts w:ascii="Times New Roman" w:eastAsia="楷体_GB2312" w:hAnsi="Times New Roman" w:cs="Times New Roman"/>
          <w:b w:val="0"/>
          <w:sz w:val="32"/>
        </w:rPr>
        <w:t>）检测物质</w:t>
      </w:r>
      <w:bookmarkEnd w:id="11"/>
    </w:p>
    <w:p w14:paraId="1832770E" w14:textId="77777777" w:rsidR="00E33F5C" w:rsidRDefault="00F4422B">
      <w:pPr>
        <w:snapToGrid w:val="0"/>
        <w:ind w:firstLine="640"/>
        <w:rPr>
          <w:rFonts w:eastAsia="仿宋_GB2312" w:cs="Times New Roman"/>
          <w:sz w:val="32"/>
        </w:rPr>
      </w:pPr>
      <w:r>
        <w:rPr>
          <w:rFonts w:eastAsia="仿宋_GB2312" w:cs="Times New Roman"/>
          <w:sz w:val="32"/>
        </w:rPr>
        <w:t>血浆中的</w:t>
      </w:r>
      <w:r>
        <w:rPr>
          <w:rFonts w:eastAsia="仿宋_GB2312" w:cs="Times New Roman" w:hint="eastAsia"/>
          <w:sz w:val="32"/>
        </w:rPr>
        <w:t>乙酰半胱氨酸</w:t>
      </w:r>
      <w:r>
        <w:rPr>
          <w:rFonts w:eastAsia="仿宋_GB2312" w:cs="Times New Roman"/>
          <w:sz w:val="32"/>
        </w:rPr>
        <w:t>。</w:t>
      </w:r>
    </w:p>
    <w:p w14:paraId="630E1BF1" w14:textId="77777777" w:rsidR="00E33F5C" w:rsidRDefault="00F4422B">
      <w:pPr>
        <w:pStyle w:val="2"/>
        <w:snapToGrid w:val="0"/>
        <w:ind w:firstLine="640"/>
        <w:rPr>
          <w:rFonts w:ascii="Times New Roman" w:eastAsia="楷体_GB2312" w:hAnsi="Times New Roman" w:cs="Times New Roman"/>
          <w:b w:val="0"/>
          <w:sz w:val="32"/>
        </w:rPr>
      </w:pPr>
      <w:bookmarkStart w:id="12" w:name="_Toc134088007"/>
      <w:r>
        <w:rPr>
          <w:rFonts w:ascii="Times New Roman" w:eastAsia="楷体_GB2312" w:hAnsi="Times New Roman" w:cs="Times New Roman"/>
          <w:b w:val="0"/>
          <w:sz w:val="32"/>
        </w:rPr>
        <w:t>（</w:t>
      </w:r>
      <w:r>
        <w:rPr>
          <w:rFonts w:ascii="Times New Roman" w:eastAsia="楷体_GB2312" w:hAnsi="Times New Roman" w:cs="Times New Roman" w:hint="eastAsia"/>
          <w:b w:val="0"/>
          <w:sz w:val="32"/>
        </w:rPr>
        <w:t>七</w:t>
      </w:r>
      <w:r>
        <w:rPr>
          <w:rFonts w:ascii="Times New Roman" w:eastAsia="楷体_GB2312" w:hAnsi="Times New Roman" w:cs="Times New Roman"/>
          <w:b w:val="0"/>
          <w:sz w:val="32"/>
        </w:rPr>
        <w:t>）生物等效性评价</w:t>
      </w:r>
      <w:bookmarkEnd w:id="12"/>
    </w:p>
    <w:p w14:paraId="2F52CDCF" w14:textId="634A9962" w:rsidR="00E33F5C" w:rsidRDefault="00F4422B">
      <w:pPr>
        <w:snapToGrid w:val="0"/>
        <w:ind w:firstLine="640"/>
        <w:rPr>
          <w:rFonts w:eastAsia="仿宋_GB2312" w:cs="Times New Roman"/>
          <w:sz w:val="32"/>
        </w:rPr>
      </w:pPr>
      <w:r>
        <w:rPr>
          <w:rFonts w:eastAsia="仿宋_GB2312" w:cs="Times New Roman" w:hint="eastAsia"/>
          <w:sz w:val="32"/>
        </w:rPr>
        <w:t>以乙酰半胱氨酸</w:t>
      </w:r>
      <w:r w:rsidR="00096E37">
        <w:rPr>
          <w:rFonts w:eastAsia="仿宋_GB2312" w:cs="Times New Roman" w:hint="eastAsia"/>
          <w:sz w:val="32"/>
        </w:rPr>
        <w:t>的</w:t>
      </w:r>
      <w:proofErr w:type="spellStart"/>
      <w:r>
        <w:rPr>
          <w:rFonts w:eastAsia="仿宋_GB2312" w:cs="Times New Roman"/>
          <w:sz w:val="32"/>
        </w:rPr>
        <w:t>C</w:t>
      </w:r>
      <w:r>
        <w:rPr>
          <w:rFonts w:eastAsia="仿宋_GB2312" w:cs="Times New Roman"/>
          <w:sz w:val="32"/>
          <w:vertAlign w:val="subscript"/>
        </w:rPr>
        <w:t>max</w:t>
      </w:r>
      <w:proofErr w:type="spellEnd"/>
      <w:r>
        <w:rPr>
          <w:rFonts w:eastAsia="仿宋_GB2312" w:cs="Times New Roman"/>
          <w:sz w:val="32"/>
        </w:rPr>
        <w:t>、</w:t>
      </w:r>
      <w:r>
        <w:rPr>
          <w:rFonts w:eastAsia="仿宋_GB2312" w:cs="Times New Roman"/>
          <w:sz w:val="32"/>
        </w:rPr>
        <w:t>AUC</w:t>
      </w:r>
      <w:r>
        <w:rPr>
          <w:rFonts w:eastAsia="仿宋_GB2312" w:cs="Times New Roman"/>
          <w:sz w:val="32"/>
          <w:vertAlign w:val="subscript"/>
        </w:rPr>
        <w:t>0-t</w:t>
      </w:r>
      <w:r>
        <w:rPr>
          <w:rFonts w:eastAsia="仿宋_GB2312" w:cs="Times New Roman"/>
          <w:sz w:val="32"/>
        </w:rPr>
        <w:t>和</w:t>
      </w:r>
      <w:r>
        <w:rPr>
          <w:rFonts w:eastAsia="仿宋_GB2312" w:cs="Times New Roman"/>
          <w:sz w:val="32"/>
        </w:rPr>
        <w:t>AUC</w:t>
      </w:r>
      <w:r>
        <w:rPr>
          <w:rFonts w:eastAsia="仿宋_GB2312" w:cs="Times New Roman"/>
          <w:sz w:val="32"/>
          <w:vertAlign w:val="subscript"/>
        </w:rPr>
        <w:t>0-∞</w:t>
      </w:r>
      <w:r w:rsidR="00A3208B">
        <w:rPr>
          <w:rFonts w:eastAsia="仿宋_GB2312" w:cs="Times New Roman" w:hint="eastAsia"/>
          <w:sz w:val="32"/>
        </w:rPr>
        <w:t>作为生物等效性</w:t>
      </w:r>
      <w:r w:rsidRPr="003D2242">
        <w:rPr>
          <w:rFonts w:eastAsia="仿宋_GB2312" w:cs="Times New Roman" w:hint="eastAsia"/>
          <w:sz w:val="32"/>
        </w:rPr>
        <w:t>评价指标</w:t>
      </w:r>
      <w:r w:rsidR="00D42300">
        <w:rPr>
          <w:rFonts w:eastAsia="仿宋_GB2312" w:cs="Times New Roman" w:hint="eastAsia"/>
          <w:sz w:val="32"/>
        </w:rPr>
        <w:t>。</w:t>
      </w:r>
      <w:r w:rsidR="00D42300" w:rsidRPr="00D42300">
        <w:rPr>
          <w:rFonts w:eastAsia="仿宋_GB2312" w:cs="Times New Roman" w:hint="eastAsia"/>
          <w:sz w:val="32"/>
        </w:rPr>
        <w:t>采用平均生物等效性（</w:t>
      </w:r>
      <w:r w:rsidR="00D42300" w:rsidRPr="00D42300">
        <w:rPr>
          <w:rFonts w:eastAsia="仿宋_GB2312" w:cs="Times New Roman" w:hint="eastAsia"/>
          <w:sz w:val="32"/>
        </w:rPr>
        <w:t>Average bioequivalence, ABE</w:t>
      </w:r>
      <w:r w:rsidR="00D42300" w:rsidRPr="00D42300">
        <w:rPr>
          <w:rFonts w:eastAsia="仿宋_GB2312" w:cs="Times New Roman" w:hint="eastAsia"/>
          <w:sz w:val="32"/>
        </w:rPr>
        <w:t>）方法进行评价，</w:t>
      </w:r>
      <w:r>
        <w:rPr>
          <w:rFonts w:eastAsia="仿宋_GB2312" w:cs="Times New Roman"/>
          <w:sz w:val="32"/>
        </w:rPr>
        <w:t>生物等效性接受标准为受试制剂与参比制剂的</w:t>
      </w:r>
      <w:proofErr w:type="spellStart"/>
      <w:r>
        <w:rPr>
          <w:rFonts w:eastAsia="仿宋_GB2312" w:cs="Times New Roman"/>
          <w:sz w:val="32"/>
        </w:rPr>
        <w:t>C</w:t>
      </w:r>
      <w:r>
        <w:rPr>
          <w:rFonts w:eastAsia="仿宋_GB2312" w:cs="Times New Roman"/>
          <w:sz w:val="32"/>
          <w:vertAlign w:val="subscript"/>
        </w:rPr>
        <w:t>max</w:t>
      </w:r>
      <w:proofErr w:type="spellEnd"/>
      <w:r>
        <w:rPr>
          <w:rFonts w:eastAsia="仿宋_GB2312" w:cs="Times New Roman"/>
          <w:sz w:val="32"/>
        </w:rPr>
        <w:t>、</w:t>
      </w:r>
      <w:r>
        <w:rPr>
          <w:rFonts w:eastAsia="仿宋_GB2312" w:cs="Times New Roman"/>
          <w:sz w:val="32"/>
        </w:rPr>
        <w:t>AUC</w:t>
      </w:r>
      <w:r>
        <w:rPr>
          <w:rFonts w:eastAsia="仿宋_GB2312" w:cs="Times New Roman"/>
          <w:sz w:val="32"/>
          <w:vertAlign w:val="subscript"/>
        </w:rPr>
        <w:t>0-t</w:t>
      </w:r>
      <w:r>
        <w:rPr>
          <w:rFonts w:eastAsia="仿宋_GB2312" w:cs="Times New Roman"/>
          <w:sz w:val="32"/>
        </w:rPr>
        <w:t>和</w:t>
      </w:r>
      <w:bookmarkStart w:id="13" w:name="_GoBack"/>
      <w:bookmarkEnd w:id="13"/>
      <w:r>
        <w:rPr>
          <w:rFonts w:eastAsia="仿宋_GB2312" w:cs="Times New Roman"/>
          <w:sz w:val="32"/>
        </w:rPr>
        <w:t>AUC</w:t>
      </w:r>
      <w:r>
        <w:rPr>
          <w:rFonts w:eastAsia="仿宋_GB2312" w:cs="Times New Roman"/>
          <w:sz w:val="32"/>
          <w:vertAlign w:val="subscript"/>
        </w:rPr>
        <w:t>0-∞</w:t>
      </w:r>
      <w:r>
        <w:rPr>
          <w:rFonts w:eastAsia="仿宋_GB2312" w:cs="Times New Roman"/>
          <w:sz w:val="32"/>
        </w:rPr>
        <w:t>的几何均值比的</w:t>
      </w:r>
      <w:r>
        <w:rPr>
          <w:rFonts w:eastAsia="仿宋_GB2312" w:cs="Times New Roman"/>
          <w:sz w:val="32"/>
        </w:rPr>
        <w:t>90%</w:t>
      </w:r>
      <w:r>
        <w:rPr>
          <w:rFonts w:eastAsia="仿宋_GB2312" w:cs="Times New Roman"/>
          <w:sz w:val="32"/>
        </w:rPr>
        <w:t>置信区间在</w:t>
      </w:r>
      <w:r>
        <w:rPr>
          <w:rFonts w:eastAsia="仿宋_GB2312" w:cs="Times New Roman"/>
          <w:sz w:val="32"/>
        </w:rPr>
        <w:t>80.00%~125.00%</w:t>
      </w:r>
      <w:r>
        <w:rPr>
          <w:rFonts w:eastAsia="仿宋_GB2312" w:cs="Times New Roman"/>
          <w:sz w:val="32"/>
        </w:rPr>
        <w:t>范围内。</w:t>
      </w:r>
    </w:p>
    <w:p w14:paraId="38211891" w14:textId="77777777" w:rsidR="00E33F5C" w:rsidRDefault="00F4422B">
      <w:pPr>
        <w:snapToGrid w:val="0"/>
        <w:ind w:firstLine="640"/>
        <w:rPr>
          <w:rFonts w:eastAsia="仿宋_GB2312" w:cs="Times New Roman"/>
          <w:sz w:val="32"/>
        </w:rPr>
      </w:pPr>
      <w:r>
        <w:rPr>
          <w:rFonts w:eastAsia="仿宋_GB2312" w:cs="Times New Roman" w:hint="eastAsia"/>
          <w:sz w:val="32"/>
        </w:rPr>
        <w:t>基于乙酰半胱氨酸基线浓度较低且稳定，如基线浓度不超过</w:t>
      </w:r>
      <w:proofErr w:type="spellStart"/>
      <w:r>
        <w:rPr>
          <w:rFonts w:eastAsia="仿宋_GB2312" w:cs="Times New Roman" w:hint="eastAsia"/>
          <w:sz w:val="32"/>
        </w:rPr>
        <w:t>C</w:t>
      </w:r>
      <w:r w:rsidRPr="00F4422B">
        <w:rPr>
          <w:rFonts w:eastAsia="仿宋_GB2312" w:cs="Times New Roman"/>
          <w:sz w:val="32"/>
          <w:vertAlign w:val="subscript"/>
        </w:rPr>
        <w:t>max</w:t>
      </w:r>
      <w:proofErr w:type="spellEnd"/>
      <w:r>
        <w:rPr>
          <w:rFonts w:eastAsia="仿宋_GB2312" w:cs="Times New Roman" w:hint="eastAsia"/>
          <w:sz w:val="32"/>
        </w:rPr>
        <w:t>的</w:t>
      </w:r>
      <w:r>
        <w:rPr>
          <w:rFonts w:eastAsia="仿宋_GB2312" w:cs="Times New Roman" w:hint="eastAsia"/>
          <w:sz w:val="32"/>
        </w:rPr>
        <w:t>5%</w:t>
      </w:r>
      <w:r>
        <w:rPr>
          <w:rFonts w:eastAsia="仿宋_GB2312" w:cs="Times New Roman" w:hint="eastAsia"/>
          <w:sz w:val="32"/>
        </w:rPr>
        <w:t>，可不考虑基线带来的影响。</w:t>
      </w:r>
    </w:p>
    <w:p w14:paraId="68B83FA0" w14:textId="77777777" w:rsidR="00E33F5C" w:rsidRDefault="00F4422B">
      <w:pPr>
        <w:pStyle w:val="af"/>
        <w:keepNext w:val="0"/>
        <w:keepLines w:val="0"/>
        <w:snapToGrid w:val="0"/>
        <w:spacing w:before="0" w:line="360" w:lineRule="auto"/>
        <w:rPr>
          <w:b w:val="0"/>
          <w:bCs w:val="0"/>
        </w:rPr>
      </w:pPr>
      <w:bookmarkStart w:id="14" w:name="_Toc134088008"/>
      <w:r>
        <w:rPr>
          <w:b w:val="0"/>
          <w:bCs w:val="0"/>
        </w:rPr>
        <w:t>三、人体生物等效性研究豁免</w:t>
      </w:r>
      <w:bookmarkEnd w:id="14"/>
    </w:p>
    <w:p w14:paraId="7F6DCBDE" w14:textId="77777777" w:rsidR="00E33F5C" w:rsidRDefault="00F4422B">
      <w:pPr>
        <w:pStyle w:val="af"/>
        <w:keepNext w:val="0"/>
        <w:keepLines w:val="0"/>
        <w:snapToGrid w:val="0"/>
        <w:spacing w:before="0" w:line="360" w:lineRule="auto"/>
        <w:outlineLvl w:val="9"/>
        <w:rPr>
          <w:rFonts w:eastAsia="仿宋_GB2312"/>
          <w:b w:val="0"/>
          <w:bCs w:val="0"/>
          <w:color w:val="auto"/>
          <w:kern w:val="2"/>
          <w:szCs w:val="22"/>
        </w:rPr>
      </w:pPr>
      <w:r>
        <w:rPr>
          <w:rFonts w:eastAsia="仿宋_GB2312" w:hint="eastAsia"/>
          <w:b w:val="0"/>
          <w:bCs w:val="0"/>
          <w:color w:val="auto"/>
          <w:kern w:val="2"/>
          <w:szCs w:val="22"/>
        </w:rPr>
        <w:t>若同时满足以下条件，可</w:t>
      </w:r>
      <w:proofErr w:type="gramStart"/>
      <w:r>
        <w:rPr>
          <w:rFonts w:eastAsia="仿宋_GB2312" w:hint="eastAsia"/>
          <w:b w:val="0"/>
          <w:bCs w:val="0"/>
          <w:color w:val="auto"/>
          <w:kern w:val="2"/>
          <w:szCs w:val="22"/>
        </w:rPr>
        <w:t>豁免低</w:t>
      </w:r>
      <w:proofErr w:type="gramEnd"/>
      <w:r>
        <w:rPr>
          <w:rFonts w:eastAsia="仿宋_GB2312" w:hint="eastAsia"/>
          <w:b w:val="0"/>
          <w:bCs w:val="0"/>
          <w:color w:val="auto"/>
          <w:kern w:val="2"/>
          <w:szCs w:val="22"/>
        </w:rPr>
        <w:t>规格制剂的人体生物等效性研究：（</w:t>
      </w:r>
      <w:r>
        <w:rPr>
          <w:rFonts w:eastAsia="仿宋_GB2312" w:hint="eastAsia"/>
          <w:b w:val="0"/>
          <w:bCs w:val="0"/>
          <w:color w:val="auto"/>
          <w:kern w:val="2"/>
          <w:szCs w:val="22"/>
        </w:rPr>
        <w:t>1</w:t>
      </w:r>
      <w:r>
        <w:rPr>
          <w:rFonts w:eastAsia="仿宋_GB2312" w:hint="eastAsia"/>
          <w:b w:val="0"/>
          <w:bCs w:val="0"/>
          <w:color w:val="auto"/>
          <w:kern w:val="2"/>
          <w:szCs w:val="22"/>
        </w:rPr>
        <w:t>）申报的最高规格制剂符合生物等效性要求；（</w:t>
      </w:r>
      <w:r>
        <w:rPr>
          <w:rFonts w:eastAsia="仿宋_GB2312" w:hint="eastAsia"/>
          <w:b w:val="0"/>
          <w:bCs w:val="0"/>
          <w:color w:val="auto"/>
          <w:kern w:val="2"/>
          <w:szCs w:val="22"/>
        </w:rPr>
        <w:t>2</w:t>
      </w:r>
      <w:r>
        <w:rPr>
          <w:rFonts w:eastAsia="仿宋_GB2312" w:hint="eastAsia"/>
          <w:b w:val="0"/>
          <w:bCs w:val="0"/>
          <w:color w:val="auto"/>
          <w:kern w:val="2"/>
          <w:szCs w:val="22"/>
        </w:rPr>
        <w:t>）</w:t>
      </w:r>
      <w:r>
        <w:rPr>
          <w:rFonts w:eastAsia="仿宋_GB2312" w:hint="eastAsia"/>
          <w:b w:val="0"/>
          <w:bCs w:val="0"/>
          <w:color w:val="000000" w:themeColor="text1"/>
          <w:kern w:val="2"/>
          <w:szCs w:val="22"/>
        </w:rPr>
        <w:t>各规格制剂在不同</w:t>
      </w:r>
      <w:r>
        <w:rPr>
          <w:rFonts w:eastAsia="仿宋_GB2312" w:hint="eastAsia"/>
          <w:b w:val="0"/>
          <w:bCs w:val="0"/>
          <w:color w:val="000000" w:themeColor="text1"/>
          <w:kern w:val="2"/>
          <w:szCs w:val="22"/>
        </w:rPr>
        <w:t>pH</w:t>
      </w:r>
      <w:r>
        <w:rPr>
          <w:rFonts w:eastAsia="仿宋_GB2312" w:hint="eastAsia"/>
          <w:b w:val="0"/>
          <w:bCs w:val="0"/>
          <w:color w:val="000000" w:themeColor="text1"/>
          <w:kern w:val="2"/>
          <w:szCs w:val="22"/>
        </w:rPr>
        <w:t>介质中体外溶出曲线相似；</w:t>
      </w:r>
      <w:r>
        <w:rPr>
          <w:rFonts w:eastAsia="仿宋_GB2312" w:hint="eastAsia"/>
          <w:b w:val="0"/>
          <w:bCs w:val="0"/>
          <w:color w:val="auto"/>
          <w:kern w:val="2"/>
          <w:szCs w:val="22"/>
        </w:rPr>
        <w:t>（</w:t>
      </w:r>
      <w:r>
        <w:rPr>
          <w:rFonts w:eastAsia="仿宋_GB2312" w:hint="eastAsia"/>
          <w:b w:val="0"/>
          <w:bCs w:val="0"/>
          <w:color w:val="auto"/>
          <w:kern w:val="2"/>
          <w:szCs w:val="22"/>
        </w:rPr>
        <w:t>3</w:t>
      </w:r>
      <w:r>
        <w:rPr>
          <w:rFonts w:eastAsia="仿宋_GB2312" w:hint="eastAsia"/>
          <w:b w:val="0"/>
          <w:bCs w:val="0"/>
          <w:color w:val="auto"/>
          <w:kern w:val="2"/>
          <w:szCs w:val="22"/>
        </w:rPr>
        <w:t>）各规格制剂的处方比例相似。</w:t>
      </w:r>
    </w:p>
    <w:p w14:paraId="3232EF52" w14:textId="77777777" w:rsidR="00E33F5C" w:rsidRDefault="00F4422B">
      <w:pPr>
        <w:pStyle w:val="af"/>
        <w:keepNext w:val="0"/>
        <w:keepLines w:val="0"/>
        <w:snapToGrid w:val="0"/>
        <w:spacing w:before="0" w:line="360" w:lineRule="auto"/>
        <w:rPr>
          <w:b w:val="0"/>
          <w:bCs w:val="0"/>
        </w:rPr>
      </w:pPr>
      <w:bookmarkStart w:id="15" w:name="_Toc134088009"/>
      <w:r>
        <w:rPr>
          <w:b w:val="0"/>
          <w:bCs w:val="0"/>
        </w:rPr>
        <w:t>四、参考文献</w:t>
      </w:r>
      <w:bookmarkEnd w:id="15"/>
    </w:p>
    <w:p w14:paraId="6713F760" w14:textId="77777777" w:rsidR="00E33F5C" w:rsidRDefault="00F4422B">
      <w:pPr>
        <w:snapToGrid w:val="0"/>
        <w:ind w:firstLine="640"/>
        <w:rPr>
          <w:rFonts w:cs="Times New Roman"/>
          <w:kern w:val="0"/>
          <w:sz w:val="32"/>
        </w:rPr>
      </w:pPr>
      <w:r>
        <w:rPr>
          <w:rFonts w:cs="Times New Roman"/>
          <w:kern w:val="0"/>
          <w:sz w:val="32"/>
        </w:rPr>
        <w:t>1.</w:t>
      </w:r>
      <w:r>
        <w:rPr>
          <w:rFonts w:cs="Times New Roman"/>
          <w:color w:val="000000" w:themeColor="text1"/>
          <w:sz w:val="32"/>
        </w:rPr>
        <w:t xml:space="preserve"> </w:t>
      </w:r>
      <w:r>
        <w:rPr>
          <w:rFonts w:eastAsia="仿宋_GB2312" w:cs="Times New Roman"/>
          <w:kern w:val="0"/>
          <w:sz w:val="32"/>
        </w:rPr>
        <w:t>国家药品监督管理局</w:t>
      </w:r>
      <w:r>
        <w:rPr>
          <w:rFonts w:eastAsia="仿宋_GB2312" w:cs="Times New Roman"/>
          <w:kern w:val="0"/>
          <w:sz w:val="32"/>
        </w:rPr>
        <w:t>.</w:t>
      </w:r>
      <w:r>
        <w:rPr>
          <w:rFonts w:eastAsia="仿宋_GB2312" w:cs="Times New Roman" w:hint="eastAsia"/>
          <w:kern w:val="0"/>
          <w:sz w:val="32"/>
        </w:rPr>
        <w:t>乙酰半胱氨酸颗粒</w:t>
      </w:r>
      <w:r>
        <w:rPr>
          <w:rFonts w:eastAsia="仿宋_GB2312" w:cs="Times New Roman"/>
          <w:kern w:val="0"/>
          <w:sz w:val="32"/>
        </w:rPr>
        <w:t>说明书</w:t>
      </w:r>
      <w:r>
        <w:rPr>
          <w:rFonts w:eastAsia="仿宋_GB2312" w:cs="Times New Roman"/>
          <w:kern w:val="0"/>
          <w:sz w:val="32"/>
        </w:rPr>
        <w:t>. 2020.</w:t>
      </w:r>
    </w:p>
    <w:p w14:paraId="04060EDF" w14:textId="77777777" w:rsidR="00E33F5C" w:rsidRDefault="00F4422B">
      <w:pPr>
        <w:snapToGrid w:val="0"/>
        <w:ind w:firstLine="640"/>
        <w:rPr>
          <w:rFonts w:cs="Times New Roman"/>
          <w:kern w:val="0"/>
          <w:sz w:val="32"/>
        </w:rPr>
      </w:pPr>
      <w:r>
        <w:rPr>
          <w:rFonts w:cs="Times New Roman"/>
          <w:kern w:val="0"/>
          <w:sz w:val="32"/>
        </w:rPr>
        <w:t>2.</w:t>
      </w:r>
      <w:r>
        <w:rPr>
          <w:rFonts w:cs="Times New Roman"/>
          <w:color w:val="000000" w:themeColor="text1"/>
          <w:sz w:val="32"/>
        </w:rPr>
        <w:t xml:space="preserve"> </w:t>
      </w:r>
      <w:r>
        <w:rPr>
          <w:rFonts w:eastAsia="仿宋_GB2312" w:cs="Times New Roman"/>
          <w:kern w:val="0"/>
          <w:sz w:val="32"/>
        </w:rPr>
        <w:t>国家药品监督管理局</w:t>
      </w:r>
      <w:r>
        <w:rPr>
          <w:rFonts w:eastAsia="仿宋_GB2312" w:cs="Times New Roman"/>
          <w:kern w:val="0"/>
          <w:sz w:val="32"/>
        </w:rPr>
        <w:t>.</w:t>
      </w:r>
      <w:r>
        <w:rPr>
          <w:rFonts w:eastAsia="仿宋_GB2312" w:cs="Times New Roman"/>
          <w:kern w:val="0"/>
          <w:sz w:val="32"/>
        </w:rPr>
        <w:t>《以药动学参数为终点评价指标的化学药物仿制药人体生物等效性研究技术指导原则》</w:t>
      </w:r>
      <w:r>
        <w:rPr>
          <w:rFonts w:eastAsia="仿宋_GB2312" w:cs="Times New Roman"/>
          <w:kern w:val="0"/>
          <w:sz w:val="32"/>
        </w:rPr>
        <w:t xml:space="preserve">. </w:t>
      </w:r>
      <w:r>
        <w:rPr>
          <w:rFonts w:eastAsia="仿宋_GB2312" w:cs="Times New Roman"/>
          <w:kern w:val="0"/>
          <w:sz w:val="32"/>
        </w:rPr>
        <w:lastRenderedPageBreak/>
        <w:t>2016.</w:t>
      </w:r>
    </w:p>
    <w:p w14:paraId="77753130" w14:textId="77777777" w:rsidR="00E33F5C" w:rsidRDefault="00F4422B">
      <w:pPr>
        <w:pStyle w:val="22"/>
        <w:widowControl w:val="0"/>
        <w:snapToGrid w:val="0"/>
        <w:spacing w:line="360" w:lineRule="auto"/>
        <w:rPr>
          <w:rFonts w:cs="Times New Roman"/>
        </w:rPr>
      </w:pPr>
      <w:r>
        <w:rPr>
          <w:rFonts w:cs="Times New Roman"/>
        </w:rPr>
        <w:t>3.</w:t>
      </w:r>
      <w:r>
        <w:rPr>
          <w:rFonts w:cs="Times New Roman"/>
          <w:color w:val="000000" w:themeColor="text1"/>
        </w:rPr>
        <w:t xml:space="preserve"> </w:t>
      </w:r>
      <w:r>
        <w:rPr>
          <w:rFonts w:cs="Times New Roman"/>
        </w:rPr>
        <w:t>国家药品监督管理局</w:t>
      </w:r>
      <w:r>
        <w:rPr>
          <w:rFonts w:cs="Times New Roman"/>
        </w:rPr>
        <w:t>.</w:t>
      </w:r>
      <w:r>
        <w:rPr>
          <w:rFonts w:cs="Times New Roman"/>
        </w:rPr>
        <w:t>《生物等效性研究的统计学指导原则》</w:t>
      </w:r>
      <w:r>
        <w:rPr>
          <w:rFonts w:cs="Times New Roman"/>
        </w:rPr>
        <w:t>. 2018.</w:t>
      </w:r>
    </w:p>
    <w:p w14:paraId="65ECF6C5" w14:textId="77777777" w:rsidR="00E33F5C" w:rsidRDefault="00F4422B">
      <w:pPr>
        <w:snapToGrid w:val="0"/>
        <w:ind w:firstLine="640"/>
        <w:rPr>
          <w:rFonts w:cs="Times New Roman"/>
          <w:sz w:val="32"/>
        </w:rPr>
      </w:pPr>
      <w:r>
        <w:rPr>
          <w:rFonts w:cs="Times New Roman"/>
          <w:kern w:val="0"/>
          <w:sz w:val="32"/>
        </w:rPr>
        <w:t>4.</w:t>
      </w:r>
      <w:r>
        <w:rPr>
          <w:rFonts w:cs="Times New Roman"/>
          <w:color w:val="000000" w:themeColor="text1"/>
          <w:sz w:val="32"/>
        </w:rPr>
        <w:t xml:space="preserve"> </w:t>
      </w:r>
      <w:r>
        <w:rPr>
          <w:rFonts w:cs="Times New Roman"/>
          <w:kern w:val="0"/>
          <w:sz w:val="32"/>
        </w:rPr>
        <w:t xml:space="preserve">U.S. Food and Drug Administration. </w:t>
      </w:r>
      <w:r>
        <w:rPr>
          <w:rFonts w:cs="Times New Roman"/>
          <w:color w:val="000000" w:themeColor="text1"/>
          <w:sz w:val="32"/>
        </w:rPr>
        <w:t>Draft Guidance on Acetylcysteine</w:t>
      </w:r>
      <w:r>
        <w:rPr>
          <w:rFonts w:cs="Times New Roman"/>
          <w:i/>
          <w:color w:val="000000" w:themeColor="text1"/>
          <w:sz w:val="32"/>
        </w:rPr>
        <w:t>.</w:t>
      </w:r>
      <w:r>
        <w:rPr>
          <w:rFonts w:cs="Times New Roman"/>
          <w:color w:val="000000" w:themeColor="text1"/>
          <w:sz w:val="32"/>
        </w:rPr>
        <w:t xml:space="preserve"> 2017.</w:t>
      </w:r>
      <w:bookmarkEnd w:id="3"/>
    </w:p>
    <w:sectPr w:rsidR="00E33F5C">
      <w:footerReference w:type="default" r:id="rId14"/>
      <w:pgSz w:w="11906" w:h="16838"/>
      <w:pgMar w:top="1440" w:right="1797" w:bottom="1440" w:left="1797" w:header="595" w:footer="992" w:gutter="0"/>
      <w:lnNumType w:countBy="1" w:restart="newSection"/>
      <w:pgNumType w:start="1"/>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47BF" w14:textId="77777777" w:rsidR="00D3343B" w:rsidRDefault="00D3343B">
      <w:pPr>
        <w:spacing w:line="240" w:lineRule="auto"/>
        <w:ind w:firstLine="480"/>
      </w:pPr>
      <w:r>
        <w:separator/>
      </w:r>
    </w:p>
  </w:endnote>
  <w:endnote w:type="continuationSeparator" w:id="0">
    <w:p w14:paraId="3199AEEB" w14:textId="77777777" w:rsidR="00D3343B" w:rsidRDefault="00D3343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FF51" w14:textId="77777777" w:rsidR="00E33F5C" w:rsidRDefault="00E33F5C">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CA65" w14:textId="77777777" w:rsidR="00E33F5C" w:rsidRDefault="00E33F5C">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818922"/>
      <w:docPartObj>
        <w:docPartGallery w:val="AutoText"/>
      </w:docPartObj>
    </w:sdtPr>
    <w:sdtEndPr/>
    <w:sdtContent>
      <w:p w14:paraId="4E83B7ED" w14:textId="423EA8A3" w:rsidR="00E33F5C" w:rsidRDefault="00F4422B">
        <w:pPr>
          <w:pStyle w:val="a5"/>
          <w:ind w:firstLine="360"/>
          <w:jc w:val="center"/>
        </w:pPr>
        <w:r>
          <w:fldChar w:fldCharType="begin"/>
        </w:r>
        <w:r>
          <w:instrText>PAGE   \* MERGEFORMAT</w:instrText>
        </w:r>
        <w:r>
          <w:fldChar w:fldCharType="separate"/>
        </w:r>
        <w:r w:rsidR="00C74C5E" w:rsidRPr="00C74C5E">
          <w:rPr>
            <w:noProof/>
            <w:lang w:val="zh-CN"/>
          </w:rPr>
          <w:t>1</w:t>
        </w:r>
        <w:r>
          <w:fldChar w:fldCharType="end"/>
        </w:r>
      </w:p>
    </w:sdtContent>
  </w:sdt>
  <w:p w14:paraId="2E33CE86" w14:textId="77777777" w:rsidR="00E33F5C" w:rsidRDefault="00E33F5C">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52166"/>
      <w:docPartObj>
        <w:docPartGallery w:val="AutoText"/>
      </w:docPartObj>
    </w:sdtPr>
    <w:sdtEndPr/>
    <w:sdtContent>
      <w:p w14:paraId="0E879283" w14:textId="16264FB3" w:rsidR="00E33F5C" w:rsidRDefault="00F4422B">
        <w:pPr>
          <w:pStyle w:val="a5"/>
          <w:ind w:firstLine="360"/>
          <w:jc w:val="center"/>
        </w:pPr>
        <w:r>
          <w:rPr>
            <w:sz w:val="24"/>
            <w:szCs w:val="24"/>
          </w:rPr>
          <w:fldChar w:fldCharType="begin"/>
        </w:r>
        <w:r>
          <w:rPr>
            <w:sz w:val="24"/>
            <w:szCs w:val="24"/>
          </w:rPr>
          <w:instrText>PAGE   \* MERGEFORMAT</w:instrText>
        </w:r>
        <w:r>
          <w:rPr>
            <w:sz w:val="24"/>
            <w:szCs w:val="24"/>
          </w:rPr>
          <w:fldChar w:fldCharType="separate"/>
        </w:r>
        <w:r w:rsidR="00C74C5E" w:rsidRPr="00C74C5E">
          <w:rPr>
            <w:noProof/>
            <w:sz w:val="24"/>
            <w:szCs w:val="24"/>
            <w:lang w:val="zh-CN"/>
          </w:rPr>
          <w:t>2</w:t>
        </w:r>
        <w:r>
          <w:rPr>
            <w:sz w:val="24"/>
            <w:szCs w:val="24"/>
          </w:rPr>
          <w:fldChar w:fldCharType="end"/>
        </w:r>
      </w:p>
    </w:sdtContent>
  </w:sdt>
  <w:p w14:paraId="020C6C1B" w14:textId="77777777" w:rsidR="00E33F5C" w:rsidRDefault="00E33F5C">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0999" w14:textId="77777777" w:rsidR="00D3343B" w:rsidRDefault="00D3343B">
      <w:pPr>
        <w:ind w:firstLine="480"/>
      </w:pPr>
      <w:r>
        <w:separator/>
      </w:r>
    </w:p>
  </w:footnote>
  <w:footnote w:type="continuationSeparator" w:id="0">
    <w:p w14:paraId="1587B90C" w14:textId="77777777" w:rsidR="00D3343B" w:rsidRDefault="00D3343B">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261C" w14:textId="77777777" w:rsidR="00E33F5C" w:rsidRDefault="00E33F5C">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B1E8" w14:textId="77777777" w:rsidR="00E33F5C" w:rsidRDefault="00E33F5C">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2C8A" w14:textId="77777777" w:rsidR="00E33F5C" w:rsidRDefault="00E33F5C">
    <w:pPr>
      <w:ind w:left="480" w:firstLineChars="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452D"/>
    <w:multiLevelType w:val="multilevel"/>
    <w:tmpl w:val="6B04452D"/>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5820C6"/>
    <w:rsid w:val="00000FAD"/>
    <w:rsid w:val="00003AA2"/>
    <w:rsid w:val="000043D1"/>
    <w:rsid w:val="00006CF6"/>
    <w:rsid w:val="00007734"/>
    <w:rsid w:val="0001194C"/>
    <w:rsid w:val="00011EEC"/>
    <w:rsid w:val="00011FCA"/>
    <w:rsid w:val="0001404D"/>
    <w:rsid w:val="00014460"/>
    <w:rsid w:val="00023946"/>
    <w:rsid w:val="0002444A"/>
    <w:rsid w:val="00026128"/>
    <w:rsid w:val="00026449"/>
    <w:rsid w:val="0002706B"/>
    <w:rsid w:val="0002714A"/>
    <w:rsid w:val="00031587"/>
    <w:rsid w:val="00031775"/>
    <w:rsid w:val="000319EB"/>
    <w:rsid w:val="00035400"/>
    <w:rsid w:val="00035CC6"/>
    <w:rsid w:val="00036701"/>
    <w:rsid w:val="0004137C"/>
    <w:rsid w:val="00041438"/>
    <w:rsid w:val="0004143E"/>
    <w:rsid w:val="000429AC"/>
    <w:rsid w:val="000432D9"/>
    <w:rsid w:val="00043B05"/>
    <w:rsid w:val="0004453F"/>
    <w:rsid w:val="00045553"/>
    <w:rsid w:val="00045770"/>
    <w:rsid w:val="00047AC7"/>
    <w:rsid w:val="00050B17"/>
    <w:rsid w:val="00050B94"/>
    <w:rsid w:val="000510C6"/>
    <w:rsid w:val="00051E71"/>
    <w:rsid w:val="00053ACA"/>
    <w:rsid w:val="00055945"/>
    <w:rsid w:val="000563AC"/>
    <w:rsid w:val="00056415"/>
    <w:rsid w:val="00056A47"/>
    <w:rsid w:val="0006109F"/>
    <w:rsid w:val="000622A7"/>
    <w:rsid w:val="0006241F"/>
    <w:rsid w:val="00062C04"/>
    <w:rsid w:val="00062D5A"/>
    <w:rsid w:val="00063496"/>
    <w:rsid w:val="00063EE2"/>
    <w:rsid w:val="0006472F"/>
    <w:rsid w:val="00065027"/>
    <w:rsid w:val="000660FF"/>
    <w:rsid w:val="00066D46"/>
    <w:rsid w:val="00071139"/>
    <w:rsid w:val="00072768"/>
    <w:rsid w:val="000727C5"/>
    <w:rsid w:val="00072D1C"/>
    <w:rsid w:val="00073945"/>
    <w:rsid w:val="0007566C"/>
    <w:rsid w:val="00075A08"/>
    <w:rsid w:val="00075EA1"/>
    <w:rsid w:val="000770CC"/>
    <w:rsid w:val="00077EA2"/>
    <w:rsid w:val="000821B0"/>
    <w:rsid w:val="00084102"/>
    <w:rsid w:val="000851F2"/>
    <w:rsid w:val="000908EF"/>
    <w:rsid w:val="00090D7E"/>
    <w:rsid w:val="000924A6"/>
    <w:rsid w:val="0009310B"/>
    <w:rsid w:val="000933A2"/>
    <w:rsid w:val="00094238"/>
    <w:rsid w:val="00094B31"/>
    <w:rsid w:val="000958DA"/>
    <w:rsid w:val="00095FC9"/>
    <w:rsid w:val="0009642A"/>
    <w:rsid w:val="00096D85"/>
    <w:rsid w:val="00096E37"/>
    <w:rsid w:val="000973EE"/>
    <w:rsid w:val="000A0E0B"/>
    <w:rsid w:val="000A0E20"/>
    <w:rsid w:val="000A218B"/>
    <w:rsid w:val="000B116F"/>
    <w:rsid w:val="000B2991"/>
    <w:rsid w:val="000B3156"/>
    <w:rsid w:val="000B3E03"/>
    <w:rsid w:val="000B4A0C"/>
    <w:rsid w:val="000B673B"/>
    <w:rsid w:val="000B69F0"/>
    <w:rsid w:val="000B72A5"/>
    <w:rsid w:val="000C046E"/>
    <w:rsid w:val="000C78F4"/>
    <w:rsid w:val="000D1E15"/>
    <w:rsid w:val="000D33ED"/>
    <w:rsid w:val="000D38B2"/>
    <w:rsid w:val="000D4216"/>
    <w:rsid w:val="000D7B15"/>
    <w:rsid w:val="000E21FF"/>
    <w:rsid w:val="000E506B"/>
    <w:rsid w:val="000E6601"/>
    <w:rsid w:val="000E7372"/>
    <w:rsid w:val="000E7B3A"/>
    <w:rsid w:val="000E7D3B"/>
    <w:rsid w:val="000E7F14"/>
    <w:rsid w:val="000F1924"/>
    <w:rsid w:val="000F2904"/>
    <w:rsid w:val="000F49EE"/>
    <w:rsid w:val="000F5FA7"/>
    <w:rsid w:val="000F7405"/>
    <w:rsid w:val="0010009B"/>
    <w:rsid w:val="001010B5"/>
    <w:rsid w:val="001014F0"/>
    <w:rsid w:val="00102346"/>
    <w:rsid w:val="001037BE"/>
    <w:rsid w:val="001074BC"/>
    <w:rsid w:val="0011036A"/>
    <w:rsid w:val="00111CFC"/>
    <w:rsid w:val="001130FA"/>
    <w:rsid w:val="00113D8D"/>
    <w:rsid w:val="00114524"/>
    <w:rsid w:val="00114CD5"/>
    <w:rsid w:val="00114FED"/>
    <w:rsid w:val="001154B6"/>
    <w:rsid w:val="00115B7B"/>
    <w:rsid w:val="0011626B"/>
    <w:rsid w:val="00117686"/>
    <w:rsid w:val="0012004C"/>
    <w:rsid w:val="001200B9"/>
    <w:rsid w:val="0012128A"/>
    <w:rsid w:val="00121A93"/>
    <w:rsid w:val="00122CE8"/>
    <w:rsid w:val="001249BC"/>
    <w:rsid w:val="001261FB"/>
    <w:rsid w:val="00127089"/>
    <w:rsid w:val="001272E8"/>
    <w:rsid w:val="001312F5"/>
    <w:rsid w:val="001313A0"/>
    <w:rsid w:val="00131AE2"/>
    <w:rsid w:val="001323FC"/>
    <w:rsid w:val="0013480A"/>
    <w:rsid w:val="00134DCB"/>
    <w:rsid w:val="001357CE"/>
    <w:rsid w:val="00136774"/>
    <w:rsid w:val="00137364"/>
    <w:rsid w:val="00137684"/>
    <w:rsid w:val="00141681"/>
    <w:rsid w:val="00141C19"/>
    <w:rsid w:val="00141F32"/>
    <w:rsid w:val="0014205F"/>
    <w:rsid w:val="0014207E"/>
    <w:rsid w:val="00142103"/>
    <w:rsid w:val="001435DA"/>
    <w:rsid w:val="00143D9F"/>
    <w:rsid w:val="0014572F"/>
    <w:rsid w:val="00145874"/>
    <w:rsid w:val="00146EED"/>
    <w:rsid w:val="00150DBD"/>
    <w:rsid w:val="001546D4"/>
    <w:rsid w:val="0015557E"/>
    <w:rsid w:val="00156B09"/>
    <w:rsid w:val="001603A2"/>
    <w:rsid w:val="00161232"/>
    <w:rsid w:val="00161606"/>
    <w:rsid w:val="00163277"/>
    <w:rsid w:val="0016482E"/>
    <w:rsid w:val="00164F42"/>
    <w:rsid w:val="00165229"/>
    <w:rsid w:val="00165240"/>
    <w:rsid w:val="00167557"/>
    <w:rsid w:val="00167A72"/>
    <w:rsid w:val="001723BB"/>
    <w:rsid w:val="00174338"/>
    <w:rsid w:val="001763B4"/>
    <w:rsid w:val="001768A4"/>
    <w:rsid w:val="00180B76"/>
    <w:rsid w:val="0018237E"/>
    <w:rsid w:val="00182AA0"/>
    <w:rsid w:val="00183B30"/>
    <w:rsid w:val="001841F1"/>
    <w:rsid w:val="0018473A"/>
    <w:rsid w:val="00185242"/>
    <w:rsid w:val="00187215"/>
    <w:rsid w:val="0018740F"/>
    <w:rsid w:val="0019007D"/>
    <w:rsid w:val="00190634"/>
    <w:rsid w:val="00190AAF"/>
    <w:rsid w:val="00191FC6"/>
    <w:rsid w:val="00195EFE"/>
    <w:rsid w:val="0019712D"/>
    <w:rsid w:val="001A1165"/>
    <w:rsid w:val="001A3B6D"/>
    <w:rsid w:val="001A3E69"/>
    <w:rsid w:val="001A4091"/>
    <w:rsid w:val="001A7910"/>
    <w:rsid w:val="001B1CBB"/>
    <w:rsid w:val="001B268C"/>
    <w:rsid w:val="001B490C"/>
    <w:rsid w:val="001B4CC7"/>
    <w:rsid w:val="001B684A"/>
    <w:rsid w:val="001B7C87"/>
    <w:rsid w:val="001C099F"/>
    <w:rsid w:val="001C0E90"/>
    <w:rsid w:val="001C4232"/>
    <w:rsid w:val="001C4F24"/>
    <w:rsid w:val="001C5709"/>
    <w:rsid w:val="001D041C"/>
    <w:rsid w:val="001D1DAF"/>
    <w:rsid w:val="001D37AD"/>
    <w:rsid w:val="001D4BBF"/>
    <w:rsid w:val="001D4BCA"/>
    <w:rsid w:val="001D69A8"/>
    <w:rsid w:val="001D6FAE"/>
    <w:rsid w:val="001D7C12"/>
    <w:rsid w:val="001E1F1B"/>
    <w:rsid w:val="001E3905"/>
    <w:rsid w:val="001E3E83"/>
    <w:rsid w:val="001E41CC"/>
    <w:rsid w:val="001E6E31"/>
    <w:rsid w:val="001E7699"/>
    <w:rsid w:val="001F2306"/>
    <w:rsid w:val="001F3E7A"/>
    <w:rsid w:val="001F4D96"/>
    <w:rsid w:val="001F671C"/>
    <w:rsid w:val="001F7185"/>
    <w:rsid w:val="001F765F"/>
    <w:rsid w:val="00200329"/>
    <w:rsid w:val="00203A97"/>
    <w:rsid w:val="00204751"/>
    <w:rsid w:val="00204A30"/>
    <w:rsid w:val="00205B2E"/>
    <w:rsid w:val="002105A1"/>
    <w:rsid w:val="00210873"/>
    <w:rsid w:val="0021112D"/>
    <w:rsid w:val="002118FE"/>
    <w:rsid w:val="00211E0A"/>
    <w:rsid w:val="00213624"/>
    <w:rsid w:val="00216DD3"/>
    <w:rsid w:val="00220CDB"/>
    <w:rsid w:val="00221618"/>
    <w:rsid w:val="00221899"/>
    <w:rsid w:val="00223E58"/>
    <w:rsid w:val="0022739C"/>
    <w:rsid w:val="00227C62"/>
    <w:rsid w:val="00232AAA"/>
    <w:rsid w:val="002343C5"/>
    <w:rsid w:val="0023520A"/>
    <w:rsid w:val="00237404"/>
    <w:rsid w:val="00240CCA"/>
    <w:rsid w:val="00240E5E"/>
    <w:rsid w:val="00247126"/>
    <w:rsid w:val="002478F1"/>
    <w:rsid w:val="0025011A"/>
    <w:rsid w:val="00250BEF"/>
    <w:rsid w:val="002517B1"/>
    <w:rsid w:val="00251C42"/>
    <w:rsid w:val="002551B4"/>
    <w:rsid w:val="00255448"/>
    <w:rsid w:val="00256501"/>
    <w:rsid w:val="00261AEB"/>
    <w:rsid w:val="002676C7"/>
    <w:rsid w:val="00267A12"/>
    <w:rsid w:val="002730A8"/>
    <w:rsid w:val="0027330D"/>
    <w:rsid w:val="002734EC"/>
    <w:rsid w:val="002743A7"/>
    <w:rsid w:val="00274BC8"/>
    <w:rsid w:val="0027658D"/>
    <w:rsid w:val="002765EF"/>
    <w:rsid w:val="002766A6"/>
    <w:rsid w:val="002816CE"/>
    <w:rsid w:val="002826C9"/>
    <w:rsid w:val="002837D6"/>
    <w:rsid w:val="00283BEA"/>
    <w:rsid w:val="00285EEE"/>
    <w:rsid w:val="00286907"/>
    <w:rsid w:val="002872E7"/>
    <w:rsid w:val="0029046F"/>
    <w:rsid w:val="00291483"/>
    <w:rsid w:val="0029152C"/>
    <w:rsid w:val="0029185A"/>
    <w:rsid w:val="00294042"/>
    <w:rsid w:val="0029602C"/>
    <w:rsid w:val="00296216"/>
    <w:rsid w:val="00296676"/>
    <w:rsid w:val="0029788A"/>
    <w:rsid w:val="002A2ADB"/>
    <w:rsid w:val="002A348C"/>
    <w:rsid w:val="002A5502"/>
    <w:rsid w:val="002A5C34"/>
    <w:rsid w:val="002B1AE3"/>
    <w:rsid w:val="002B3759"/>
    <w:rsid w:val="002B55FD"/>
    <w:rsid w:val="002B7ADD"/>
    <w:rsid w:val="002C0CFB"/>
    <w:rsid w:val="002C0D34"/>
    <w:rsid w:val="002C480C"/>
    <w:rsid w:val="002C5635"/>
    <w:rsid w:val="002C7E3E"/>
    <w:rsid w:val="002D082B"/>
    <w:rsid w:val="002D0A0F"/>
    <w:rsid w:val="002D292D"/>
    <w:rsid w:val="002D3174"/>
    <w:rsid w:val="002D3D08"/>
    <w:rsid w:val="002D4D34"/>
    <w:rsid w:val="002D56A0"/>
    <w:rsid w:val="002D5845"/>
    <w:rsid w:val="002D7BAD"/>
    <w:rsid w:val="002D7C23"/>
    <w:rsid w:val="002D7C5B"/>
    <w:rsid w:val="002E123C"/>
    <w:rsid w:val="002E1AB9"/>
    <w:rsid w:val="002E3DEF"/>
    <w:rsid w:val="002E3FC7"/>
    <w:rsid w:val="002E48E5"/>
    <w:rsid w:val="002E588A"/>
    <w:rsid w:val="002E6501"/>
    <w:rsid w:val="002F0364"/>
    <w:rsid w:val="002F1413"/>
    <w:rsid w:val="002F15C2"/>
    <w:rsid w:val="002F2B7D"/>
    <w:rsid w:val="002F4CDC"/>
    <w:rsid w:val="002F6795"/>
    <w:rsid w:val="00300BAC"/>
    <w:rsid w:val="00300CCE"/>
    <w:rsid w:val="003021DE"/>
    <w:rsid w:val="00305104"/>
    <w:rsid w:val="0030589F"/>
    <w:rsid w:val="00305B2C"/>
    <w:rsid w:val="0030600F"/>
    <w:rsid w:val="00306FE5"/>
    <w:rsid w:val="00310CDD"/>
    <w:rsid w:val="00311D46"/>
    <w:rsid w:val="00313E03"/>
    <w:rsid w:val="00314FB1"/>
    <w:rsid w:val="003177E7"/>
    <w:rsid w:val="0032025E"/>
    <w:rsid w:val="00321C2F"/>
    <w:rsid w:val="003241DF"/>
    <w:rsid w:val="00324693"/>
    <w:rsid w:val="00324E74"/>
    <w:rsid w:val="00325FB1"/>
    <w:rsid w:val="00327A19"/>
    <w:rsid w:val="00330A11"/>
    <w:rsid w:val="00330A37"/>
    <w:rsid w:val="0033119E"/>
    <w:rsid w:val="0033233D"/>
    <w:rsid w:val="00332DF5"/>
    <w:rsid w:val="00332F37"/>
    <w:rsid w:val="00334DE4"/>
    <w:rsid w:val="003350A8"/>
    <w:rsid w:val="00335A3D"/>
    <w:rsid w:val="00336929"/>
    <w:rsid w:val="00336D65"/>
    <w:rsid w:val="00337B66"/>
    <w:rsid w:val="00340219"/>
    <w:rsid w:val="00341153"/>
    <w:rsid w:val="003411A6"/>
    <w:rsid w:val="0034150E"/>
    <w:rsid w:val="0034231F"/>
    <w:rsid w:val="00344CC1"/>
    <w:rsid w:val="003505FE"/>
    <w:rsid w:val="00350E88"/>
    <w:rsid w:val="00351393"/>
    <w:rsid w:val="003521F9"/>
    <w:rsid w:val="00352415"/>
    <w:rsid w:val="00352DD9"/>
    <w:rsid w:val="00354D27"/>
    <w:rsid w:val="00354FEF"/>
    <w:rsid w:val="0035512A"/>
    <w:rsid w:val="003614FA"/>
    <w:rsid w:val="00361B30"/>
    <w:rsid w:val="00365CDB"/>
    <w:rsid w:val="00371BE7"/>
    <w:rsid w:val="0037265C"/>
    <w:rsid w:val="00373CEE"/>
    <w:rsid w:val="00374AFA"/>
    <w:rsid w:val="0038061A"/>
    <w:rsid w:val="003817B8"/>
    <w:rsid w:val="00383F98"/>
    <w:rsid w:val="00385C12"/>
    <w:rsid w:val="00390AE0"/>
    <w:rsid w:val="003915FE"/>
    <w:rsid w:val="003934D5"/>
    <w:rsid w:val="003A06D1"/>
    <w:rsid w:val="003A15E5"/>
    <w:rsid w:val="003A490A"/>
    <w:rsid w:val="003A5D70"/>
    <w:rsid w:val="003A7F69"/>
    <w:rsid w:val="003B1212"/>
    <w:rsid w:val="003B1577"/>
    <w:rsid w:val="003B1652"/>
    <w:rsid w:val="003B1C32"/>
    <w:rsid w:val="003B2815"/>
    <w:rsid w:val="003B3333"/>
    <w:rsid w:val="003B6B3E"/>
    <w:rsid w:val="003C0EF9"/>
    <w:rsid w:val="003C1BEC"/>
    <w:rsid w:val="003C4C15"/>
    <w:rsid w:val="003C5499"/>
    <w:rsid w:val="003C736C"/>
    <w:rsid w:val="003D0376"/>
    <w:rsid w:val="003D08E4"/>
    <w:rsid w:val="003D0B56"/>
    <w:rsid w:val="003D18E0"/>
    <w:rsid w:val="003D1F8E"/>
    <w:rsid w:val="003D2242"/>
    <w:rsid w:val="003D29C4"/>
    <w:rsid w:val="003D4909"/>
    <w:rsid w:val="003D4D96"/>
    <w:rsid w:val="003D7FDA"/>
    <w:rsid w:val="003E2D0F"/>
    <w:rsid w:val="003E65A1"/>
    <w:rsid w:val="003E6E10"/>
    <w:rsid w:val="003E7573"/>
    <w:rsid w:val="003E7D7A"/>
    <w:rsid w:val="003F1D02"/>
    <w:rsid w:val="003F2016"/>
    <w:rsid w:val="003F22BD"/>
    <w:rsid w:val="003F3240"/>
    <w:rsid w:val="003F6C9A"/>
    <w:rsid w:val="003F7453"/>
    <w:rsid w:val="00400BB3"/>
    <w:rsid w:val="00401043"/>
    <w:rsid w:val="00401BD6"/>
    <w:rsid w:val="00402885"/>
    <w:rsid w:val="004032F0"/>
    <w:rsid w:val="00403B62"/>
    <w:rsid w:val="00405BEC"/>
    <w:rsid w:val="0040628E"/>
    <w:rsid w:val="00406570"/>
    <w:rsid w:val="0041057C"/>
    <w:rsid w:val="00410B7E"/>
    <w:rsid w:val="00415310"/>
    <w:rsid w:val="004154CE"/>
    <w:rsid w:val="004158B7"/>
    <w:rsid w:val="0041779A"/>
    <w:rsid w:val="00423EAE"/>
    <w:rsid w:val="0042434A"/>
    <w:rsid w:val="00426F8C"/>
    <w:rsid w:val="0043024D"/>
    <w:rsid w:val="004332F2"/>
    <w:rsid w:val="00436A44"/>
    <w:rsid w:val="00437D9A"/>
    <w:rsid w:val="004400DF"/>
    <w:rsid w:val="004431D2"/>
    <w:rsid w:val="00444DDF"/>
    <w:rsid w:val="0044654A"/>
    <w:rsid w:val="00450122"/>
    <w:rsid w:val="004511C3"/>
    <w:rsid w:val="0045163C"/>
    <w:rsid w:val="004523F1"/>
    <w:rsid w:val="00452906"/>
    <w:rsid w:val="0045414C"/>
    <w:rsid w:val="00454701"/>
    <w:rsid w:val="00454918"/>
    <w:rsid w:val="00455915"/>
    <w:rsid w:val="00455D34"/>
    <w:rsid w:val="00462D49"/>
    <w:rsid w:val="00463248"/>
    <w:rsid w:val="00463E09"/>
    <w:rsid w:val="00463ED7"/>
    <w:rsid w:val="00463F31"/>
    <w:rsid w:val="00465918"/>
    <w:rsid w:val="00466E9B"/>
    <w:rsid w:val="0046718E"/>
    <w:rsid w:val="0046776E"/>
    <w:rsid w:val="00467D11"/>
    <w:rsid w:val="0047254C"/>
    <w:rsid w:val="0047306D"/>
    <w:rsid w:val="004736BE"/>
    <w:rsid w:val="00473996"/>
    <w:rsid w:val="0047470A"/>
    <w:rsid w:val="00475FC9"/>
    <w:rsid w:val="00477F26"/>
    <w:rsid w:val="00480F3C"/>
    <w:rsid w:val="00482B8B"/>
    <w:rsid w:val="00483229"/>
    <w:rsid w:val="00483B83"/>
    <w:rsid w:val="00491D9F"/>
    <w:rsid w:val="0049277C"/>
    <w:rsid w:val="004929AB"/>
    <w:rsid w:val="004943A4"/>
    <w:rsid w:val="00497891"/>
    <w:rsid w:val="004A20F7"/>
    <w:rsid w:val="004A21A4"/>
    <w:rsid w:val="004A2B3F"/>
    <w:rsid w:val="004A2D53"/>
    <w:rsid w:val="004A4DB9"/>
    <w:rsid w:val="004B10AB"/>
    <w:rsid w:val="004B17FA"/>
    <w:rsid w:val="004B24B1"/>
    <w:rsid w:val="004B26F6"/>
    <w:rsid w:val="004B5639"/>
    <w:rsid w:val="004C2481"/>
    <w:rsid w:val="004C2C3D"/>
    <w:rsid w:val="004C463F"/>
    <w:rsid w:val="004C4EDC"/>
    <w:rsid w:val="004C55EB"/>
    <w:rsid w:val="004C6366"/>
    <w:rsid w:val="004C6763"/>
    <w:rsid w:val="004C6CC8"/>
    <w:rsid w:val="004D0133"/>
    <w:rsid w:val="004D0E09"/>
    <w:rsid w:val="004D2D88"/>
    <w:rsid w:val="004D335F"/>
    <w:rsid w:val="004D446E"/>
    <w:rsid w:val="004D57FA"/>
    <w:rsid w:val="004D6131"/>
    <w:rsid w:val="004D71A6"/>
    <w:rsid w:val="004E1E7C"/>
    <w:rsid w:val="004E3B73"/>
    <w:rsid w:val="004E475C"/>
    <w:rsid w:val="004E66BA"/>
    <w:rsid w:val="004F1203"/>
    <w:rsid w:val="004F125D"/>
    <w:rsid w:val="004F28DA"/>
    <w:rsid w:val="004F4BF0"/>
    <w:rsid w:val="004F5522"/>
    <w:rsid w:val="00500D6D"/>
    <w:rsid w:val="00501EB5"/>
    <w:rsid w:val="00502CDC"/>
    <w:rsid w:val="0050689B"/>
    <w:rsid w:val="0050697A"/>
    <w:rsid w:val="00507ACD"/>
    <w:rsid w:val="00510108"/>
    <w:rsid w:val="00510D6A"/>
    <w:rsid w:val="005146F1"/>
    <w:rsid w:val="00516AB3"/>
    <w:rsid w:val="00521D81"/>
    <w:rsid w:val="00523356"/>
    <w:rsid w:val="00523F76"/>
    <w:rsid w:val="00524A08"/>
    <w:rsid w:val="005261F6"/>
    <w:rsid w:val="00526AFE"/>
    <w:rsid w:val="00527E77"/>
    <w:rsid w:val="00531BEB"/>
    <w:rsid w:val="00531FAF"/>
    <w:rsid w:val="005336AB"/>
    <w:rsid w:val="00533B61"/>
    <w:rsid w:val="00533DA0"/>
    <w:rsid w:val="00534FD7"/>
    <w:rsid w:val="00536295"/>
    <w:rsid w:val="00536BE5"/>
    <w:rsid w:val="00537E83"/>
    <w:rsid w:val="00540A91"/>
    <w:rsid w:val="00540E94"/>
    <w:rsid w:val="005434E9"/>
    <w:rsid w:val="00543C37"/>
    <w:rsid w:val="00546057"/>
    <w:rsid w:val="005513B8"/>
    <w:rsid w:val="00551A2E"/>
    <w:rsid w:val="00553C54"/>
    <w:rsid w:val="00556A80"/>
    <w:rsid w:val="00556ADA"/>
    <w:rsid w:val="00556BEA"/>
    <w:rsid w:val="00564BCB"/>
    <w:rsid w:val="00565E04"/>
    <w:rsid w:val="00566080"/>
    <w:rsid w:val="00566E86"/>
    <w:rsid w:val="00567257"/>
    <w:rsid w:val="0056737A"/>
    <w:rsid w:val="00570C75"/>
    <w:rsid w:val="00574795"/>
    <w:rsid w:val="005820C6"/>
    <w:rsid w:val="0058289B"/>
    <w:rsid w:val="005864EE"/>
    <w:rsid w:val="00586860"/>
    <w:rsid w:val="00586C4A"/>
    <w:rsid w:val="0058734C"/>
    <w:rsid w:val="005878B8"/>
    <w:rsid w:val="00591B6A"/>
    <w:rsid w:val="00591C93"/>
    <w:rsid w:val="00592439"/>
    <w:rsid w:val="00592E14"/>
    <w:rsid w:val="00593988"/>
    <w:rsid w:val="005A0B76"/>
    <w:rsid w:val="005A1E5F"/>
    <w:rsid w:val="005A230C"/>
    <w:rsid w:val="005A3360"/>
    <w:rsid w:val="005A3D38"/>
    <w:rsid w:val="005A3D88"/>
    <w:rsid w:val="005A41C8"/>
    <w:rsid w:val="005A48A0"/>
    <w:rsid w:val="005A6E71"/>
    <w:rsid w:val="005A726E"/>
    <w:rsid w:val="005B0108"/>
    <w:rsid w:val="005B0448"/>
    <w:rsid w:val="005B5F4C"/>
    <w:rsid w:val="005B7FF6"/>
    <w:rsid w:val="005C1EA1"/>
    <w:rsid w:val="005C2B26"/>
    <w:rsid w:val="005C3E74"/>
    <w:rsid w:val="005C525A"/>
    <w:rsid w:val="005C6CB3"/>
    <w:rsid w:val="005D0CD4"/>
    <w:rsid w:val="005D0F6B"/>
    <w:rsid w:val="005D28ED"/>
    <w:rsid w:val="005D296C"/>
    <w:rsid w:val="005D3749"/>
    <w:rsid w:val="005D5FEA"/>
    <w:rsid w:val="005E167B"/>
    <w:rsid w:val="005E3F55"/>
    <w:rsid w:val="005E62E9"/>
    <w:rsid w:val="005E7153"/>
    <w:rsid w:val="005E7B38"/>
    <w:rsid w:val="005F1C60"/>
    <w:rsid w:val="005F4FD3"/>
    <w:rsid w:val="005F514D"/>
    <w:rsid w:val="005F55F6"/>
    <w:rsid w:val="005F5BDB"/>
    <w:rsid w:val="005F6596"/>
    <w:rsid w:val="006010EA"/>
    <w:rsid w:val="00601C33"/>
    <w:rsid w:val="0060220C"/>
    <w:rsid w:val="00602A6A"/>
    <w:rsid w:val="00605113"/>
    <w:rsid w:val="00605A5E"/>
    <w:rsid w:val="00607981"/>
    <w:rsid w:val="00610CE6"/>
    <w:rsid w:val="0061320D"/>
    <w:rsid w:val="00613576"/>
    <w:rsid w:val="0061389A"/>
    <w:rsid w:val="00614A9E"/>
    <w:rsid w:val="00615B46"/>
    <w:rsid w:val="00616A68"/>
    <w:rsid w:val="00617919"/>
    <w:rsid w:val="00621384"/>
    <w:rsid w:val="0062185F"/>
    <w:rsid w:val="006230FA"/>
    <w:rsid w:val="00624352"/>
    <w:rsid w:val="006257E7"/>
    <w:rsid w:val="00625839"/>
    <w:rsid w:val="006307E7"/>
    <w:rsid w:val="00631D7E"/>
    <w:rsid w:val="00632BDB"/>
    <w:rsid w:val="006331D7"/>
    <w:rsid w:val="00633CB2"/>
    <w:rsid w:val="00634679"/>
    <w:rsid w:val="00635B6A"/>
    <w:rsid w:val="00636B14"/>
    <w:rsid w:val="006400FB"/>
    <w:rsid w:val="00640596"/>
    <w:rsid w:val="00640C23"/>
    <w:rsid w:val="006432FE"/>
    <w:rsid w:val="00645B3D"/>
    <w:rsid w:val="006462EA"/>
    <w:rsid w:val="006469F4"/>
    <w:rsid w:val="00647F25"/>
    <w:rsid w:val="00650233"/>
    <w:rsid w:val="00650722"/>
    <w:rsid w:val="00650C11"/>
    <w:rsid w:val="00650D18"/>
    <w:rsid w:val="006564F1"/>
    <w:rsid w:val="006609D1"/>
    <w:rsid w:val="00660AEC"/>
    <w:rsid w:val="00660B74"/>
    <w:rsid w:val="00661622"/>
    <w:rsid w:val="00663B8B"/>
    <w:rsid w:val="00665DC1"/>
    <w:rsid w:val="00666CE8"/>
    <w:rsid w:val="006677EE"/>
    <w:rsid w:val="00671A6A"/>
    <w:rsid w:val="00673CC0"/>
    <w:rsid w:val="00673D78"/>
    <w:rsid w:val="00680606"/>
    <w:rsid w:val="00684658"/>
    <w:rsid w:val="00690A21"/>
    <w:rsid w:val="00693783"/>
    <w:rsid w:val="00693A4B"/>
    <w:rsid w:val="00694575"/>
    <w:rsid w:val="00695F7E"/>
    <w:rsid w:val="006967DD"/>
    <w:rsid w:val="00696CC2"/>
    <w:rsid w:val="006976A6"/>
    <w:rsid w:val="006A0091"/>
    <w:rsid w:val="006A1DE7"/>
    <w:rsid w:val="006A3106"/>
    <w:rsid w:val="006A38CF"/>
    <w:rsid w:val="006A6501"/>
    <w:rsid w:val="006A7935"/>
    <w:rsid w:val="006A7C8F"/>
    <w:rsid w:val="006B45E5"/>
    <w:rsid w:val="006B5DCD"/>
    <w:rsid w:val="006B6D65"/>
    <w:rsid w:val="006B6FA8"/>
    <w:rsid w:val="006C0355"/>
    <w:rsid w:val="006C0410"/>
    <w:rsid w:val="006C0D73"/>
    <w:rsid w:val="006C1988"/>
    <w:rsid w:val="006C5B93"/>
    <w:rsid w:val="006C61FC"/>
    <w:rsid w:val="006C6601"/>
    <w:rsid w:val="006C6C1C"/>
    <w:rsid w:val="006C7C01"/>
    <w:rsid w:val="006C7E83"/>
    <w:rsid w:val="006D06EB"/>
    <w:rsid w:val="006D19C3"/>
    <w:rsid w:val="006D200C"/>
    <w:rsid w:val="006D225F"/>
    <w:rsid w:val="006D2E61"/>
    <w:rsid w:val="006D4C58"/>
    <w:rsid w:val="006D51E7"/>
    <w:rsid w:val="006D6428"/>
    <w:rsid w:val="006D766A"/>
    <w:rsid w:val="006E3433"/>
    <w:rsid w:val="006E4E84"/>
    <w:rsid w:val="006F01A4"/>
    <w:rsid w:val="006F1BD0"/>
    <w:rsid w:val="006F461E"/>
    <w:rsid w:val="00700358"/>
    <w:rsid w:val="00700AF4"/>
    <w:rsid w:val="00701434"/>
    <w:rsid w:val="00702AFA"/>
    <w:rsid w:val="0070307B"/>
    <w:rsid w:val="00704B04"/>
    <w:rsid w:val="007065E6"/>
    <w:rsid w:val="007111A7"/>
    <w:rsid w:val="00711A62"/>
    <w:rsid w:val="0071325A"/>
    <w:rsid w:val="00714C40"/>
    <w:rsid w:val="00714E22"/>
    <w:rsid w:val="00715176"/>
    <w:rsid w:val="00717CD5"/>
    <w:rsid w:val="00722C5D"/>
    <w:rsid w:val="00723ED5"/>
    <w:rsid w:val="00726EA1"/>
    <w:rsid w:val="00726F46"/>
    <w:rsid w:val="00727349"/>
    <w:rsid w:val="007329FA"/>
    <w:rsid w:val="00734A4D"/>
    <w:rsid w:val="00736967"/>
    <w:rsid w:val="00743656"/>
    <w:rsid w:val="007450A6"/>
    <w:rsid w:val="0074598B"/>
    <w:rsid w:val="00747E3A"/>
    <w:rsid w:val="00750917"/>
    <w:rsid w:val="00750D4B"/>
    <w:rsid w:val="007513F7"/>
    <w:rsid w:val="0075253B"/>
    <w:rsid w:val="007531DB"/>
    <w:rsid w:val="007549C6"/>
    <w:rsid w:val="007554C6"/>
    <w:rsid w:val="00756366"/>
    <w:rsid w:val="00756E5B"/>
    <w:rsid w:val="0075798C"/>
    <w:rsid w:val="00760244"/>
    <w:rsid w:val="007616AE"/>
    <w:rsid w:val="00763F4F"/>
    <w:rsid w:val="00763FC7"/>
    <w:rsid w:val="0076584A"/>
    <w:rsid w:val="007667FE"/>
    <w:rsid w:val="007712B2"/>
    <w:rsid w:val="00772CF4"/>
    <w:rsid w:val="00772ED4"/>
    <w:rsid w:val="007736E2"/>
    <w:rsid w:val="00773BE4"/>
    <w:rsid w:val="00775DAF"/>
    <w:rsid w:val="00776D91"/>
    <w:rsid w:val="007810F6"/>
    <w:rsid w:val="00782EF8"/>
    <w:rsid w:val="00783702"/>
    <w:rsid w:val="007857E3"/>
    <w:rsid w:val="007879E5"/>
    <w:rsid w:val="007904D2"/>
    <w:rsid w:val="007916C8"/>
    <w:rsid w:val="00791B59"/>
    <w:rsid w:val="00793C58"/>
    <w:rsid w:val="00794A17"/>
    <w:rsid w:val="00794C3A"/>
    <w:rsid w:val="0079754C"/>
    <w:rsid w:val="007978D2"/>
    <w:rsid w:val="00797989"/>
    <w:rsid w:val="007A0A30"/>
    <w:rsid w:val="007A1386"/>
    <w:rsid w:val="007A16C8"/>
    <w:rsid w:val="007A1E48"/>
    <w:rsid w:val="007A2685"/>
    <w:rsid w:val="007A29AD"/>
    <w:rsid w:val="007A3504"/>
    <w:rsid w:val="007A3F8D"/>
    <w:rsid w:val="007A5173"/>
    <w:rsid w:val="007A5542"/>
    <w:rsid w:val="007A5B61"/>
    <w:rsid w:val="007A6AB6"/>
    <w:rsid w:val="007B0548"/>
    <w:rsid w:val="007B0623"/>
    <w:rsid w:val="007B2D29"/>
    <w:rsid w:val="007B31D6"/>
    <w:rsid w:val="007B3666"/>
    <w:rsid w:val="007B4B0A"/>
    <w:rsid w:val="007B5C8D"/>
    <w:rsid w:val="007B5E33"/>
    <w:rsid w:val="007B6079"/>
    <w:rsid w:val="007C1E3F"/>
    <w:rsid w:val="007C300F"/>
    <w:rsid w:val="007C4207"/>
    <w:rsid w:val="007C6EAE"/>
    <w:rsid w:val="007C72CF"/>
    <w:rsid w:val="007D17E9"/>
    <w:rsid w:val="007D242B"/>
    <w:rsid w:val="007D3C6F"/>
    <w:rsid w:val="007D51F7"/>
    <w:rsid w:val="007D5C88"/>
    <w:rsid w:val="007D67FE"/>
    <w:rsid w:val="007E0D39"/>
    <w:rsid w:val="007E1A90"/>
    <w:rsid w:val="007E1B3E"/>
    <w:rsid w:val="007E1B70"/>
    <w:rsid w:val="007E304B"/>
    <w:rsid w:val="007E32AD"/>
    <w:rsid w:val="007E466F"/>
    <w:rsid w:val="007E4803"/>
    <w:rsid w:val="007E5202"/>
    <w:rsid w:val="007E605C"/>
    <w:rsid w:val="007E7D8B"/>
    <w:rsid w:val="007F0AE4"/>
    <w:rsid w:val="007F0C62"/>
    <w:rsid w:val="007F2073"/>
    <w:rsid w:val="007F21A5"/>
    <w:rsid w:val="007F3F1C"/>
    <w:rsid w:val="007F73CF"/>
    <w:rsid w:val="00800191"/>
    <w:rsid w:val="0080153F"/>
    <w:rsid w:val="00801D31"/>
    <w:rsid w:val="008025FD"/>
    <w:rsid w:val="008058A0"/>
    <w:rsid w:val="008110CF"/>
    <w:rsid w:val="00811832"/>
    <w:rsid w:val="0081184A"/>
    <w:rsid w:val="00813802"/>
    <w:rsid w:val="008166D3"/>
    <w:rsid w:val="00816FB9"/>
    <w:rsid w:val="00817A81"/>
    <w:rsid w:val="00820128"/>
    <w:rsid w:val="00820189"/>
    <w:rsid w:val="0082029C"/>
    <w:rsid w:val="008229DD"/>
    <w:rsid w:val="00824598"/>
    <w:rsid w:val="00824AA9"/>
    <w:rsid w:val="00824D24"/>
    <w:rsid w:val="008250F4"/>
    <w:rsid w:val="008253A1"/>
    <w:rsid w:val="00825F8F"/>
    <w:rsid w:val="008278DF"/>
    <w:rsid w:val="00833739"/>
    <w:rsid w:val="00834629"/>
    <w:rsid w:val="00840089"/>
    <w:rsid w:val="0084152A"/>
    <w:rsid w:val="00841883"/>
    <w:rsid w:val="00841BF7"/>
    <w:rsid w:val="00844F08"/>
    <w:rsid w:val="00845063"/>
    <w:rsid w:val="00847082"/>
    <w:rsid w:val="00850192"/>
    <w:rsid w:val="00850700"/>
    <w:rsid w:val="008517EA"/>
    <w:rsid w:val="0085184D"/>
    <w:rsid w:val="00851B5D"/>
    <w:rsid w:val="00852087"/>
    <w:rsid w:val="00852B6F"/>
    <w:rsid w:val="008570C2"/>
    <w:rsid w:val="00861C45"/>
    <w:rsid w:val="0086604F"/>
    <w:rsid w:val="00866B5B"/>
    <w:rsid w:val="00870CCE"/>
    <w:rsid w:val="008726FB"/>
    <w:rsid w:val="008742B1"/>
    <w:rsid w:val="00882FC4"/>
    <w:rsid w:val="00883BFB"/>
    <w:rsid w:val="00883D00"/>
    <w:rsid w:val="008843AB"/>
    <w:rsid w:val="008854B8"/>
    <w:rsid w:val="00885ECA"/>
    <w:rsid w:val="00886B0F"/>
    <w:rsid w:val="00890523"/>
    <w:rsid w:val="00890661"/>
    <w:rsid w:val="008933D0"/>
    <w:rsid w:val="00893C64"/>
    <w:rsid w:val="00894820"/>
    <w:rsid w:val="008956C0"/>
    <w:rsid w:val="00897CE7"/>
    <w:rsid w:val="00897D6E"/>
    <w:rsid w:val="008A0DF3"/>
    <w:rsid w:val="008A13AE"/>
    <w:rsid w:val="008A1E4A"/>
    <w:rsid w:val="008A3106"/>
    <w:rsid w:val="008A3F2E"/>
    <w:rsid w:val="008A471E"/>
    <w:rsid w:val="008A480B"/>
    <w:rsid w:val="008A4E7E"/>
    <w:rsid w:val="008B08FC"/>
    <w:rsid w:val="008B300D"/>
    <w:rsid w:val="008B53C0"/>
    <w:rsid w:val="008C1AE1"/>
    <w:rsid w:val="008C1EB0"/>
    <w:rsid w:val="008C2558"/>
    <w:rsid w:val="008C3FE9"/>
    <w:rsid w:val="008C5CE3"/>
    <w:rsid w:val="008C686A"/>
    <w:rsid w:val="008C6CCF"/>
    <w:rsid w:val="008D1B38"/>
    <w:rsid w:val="008D4ECD"/>
    <w:rsid w:val="008D54BA"/>
    <w:rsid w:val="008D56FF"/>
    <w:rsid w:val="008E0C02"/>
    <w:rsid w:val="008E1B9E"/>
    <w:rsid w:val="008E2135"/>
    <w:rsid w:val="008E280A"/>
    <w:rsid w:val="008E286F"/>
    <w:rsid w:val="008E30EB"/>
    <w:rsid w:val="008E3B51"/>
    <w:rsid w:val="008E4950"/>
    <w:rsid w:val="008E50B7"/>
    <w:rsid w:val="008E7967"/>
    <w:rsid w:val="008F20F1"/>
    <w:rsid w:val="008F2E9C"/>
    <w:rsid w:val="008F6147"/>
    <w:rsid w:val="008F617B"/>
    <w:rsid w:val="008F76F0"/>
    <w:rsid w:val="009011F4"/>
    <w:rsid w:val="009014D3"/>
    <w:rsid w:val="00902770"/>
    <w:rsid w:val="0090297C"/>
    <w:rsid w:val="00902C08"/>
    <w:rsid w:val="009033DA"/>
    <w:rsid w:val="00904975"/>
    <w:rsid w:val="00911443"/>
    <w:rsid w:val="009115D7"/>
    <w:rsid w:val="009117FA"/>
    <w:rsid w:val="00911B51"/>
    <w:rsid w:val="00912FCB"/>
    <w:rsid w:val="00915D3D"/>
    <w:rsid w:val="009160BC"/>
    <w:rsid w:val="00922772"/>
    <w:rsid w:val="00922C8B"/>
    <w:rsid w:val="00923066"/>
    <w:rsid w:val="009255AA"/>
    <w:rsid w:val="009258F3"/>
    <w:rsid w:val="00926FE2"/>
    <w:rsid w:val="00927DB2"/>
    <w:rsid w:val="0093155C"/>
    <w:rsid w:val="0093238C"/>
    <w:rsid w:val="00932940"/>
    <w:rsid w:val="0093308E"/>
    <w:rsid w:val="00934A7C"/>
    <w:rsid w:val="00934E06"/>
    <w:rsid w:val="0093574B"/>
    <w:rsid w:val="00935D24"/>
    <w:rsid w:val="009415FF"/>
    <w:rsid w:val="00941782"/>
    <w:rsid w:val="009422BF"/>
    <w:rsid w:val="00942364"/>
    <w:rsid w:val="00942C3D"/>
    <w:rsid w:val="00944036"/>
    <w:rsid w:val="0094588A"/>
    <w:rsid w:val="0094604F"/>
    <w:rsid w:val="00947C56"/>
    <w:rsid w:val="009510D9"/>
    <w:rsid w:val="009520E7"/>
    <w:rsid w:val="009535BA"/>
    <w:rsid w:val="00954239"/>
    <w:rsid w:val="00954981"/>
    <w:rsid w:val="00955167"/>
    <w:rsid w:val="009559BE"/>
    <w:rsid w:val="009561BB"/>
    <w:rsid w:val="00956838"/>
    <w:rsid w:val="009577A0"/>
    <w:rsid w:val="00957CE2"/>
    <w:rsid w:val="00957D03"/>
    <w:rsid w:val="00962D06"/>
    <w:rsid w:val="00965AB4"/>
    <w:rsid w:val="00965E10"/>
    <w:rsid w:val="00967EB7"/>
    <w:rsid w:val="009700BF"/>
    <w:rsid w:val="00971C09"/>
    <w:rsid w:val="00971EFB"/>
    <w:rsid w:val="0097280D"/>
    <w:rsid w:val="00975122"/>
    <w:rsid w:val="00975AD1"/>
    <w:rsid w:val="0097793A"/>
    <w:rsid w:val="00982530"/>
    <w:rsid w:val="009825B0"/>
    <w:rsid w:val="00983437"/>
    <w:rsid w:val="009834D6"/>
    <w:rsid w:val="009855F6"/>
    <w:rsid w:val="009861F0"/>
    <w:rsid w:val="00986FFA"/>
    <w:rsid w:val="00990DA6"/>
    <w:rsid w:val="00991B8C"/>
    <w:rsid w:val="00992FA9"/>
    <w:rsid w:val="00994B1D"/>
    <w:rsid w:val="009A1262"/>
    <w:rsid w:val="009A16DE"/>
    <w:rsid w:val="009A1C88"/>
    <w:rsid w:val="009A24AC"/>
    <w:rsid w:val="009A2DFD"/>
    <w:rsid w:val="009A65E9"/>
    <w:rsid w:val="009A6687"/>
    <w:rsid w:val="009A7004"/>
    <w:rsid w:val="009B24B9"/>
    <w:rsid w:val="009B54B9"/>
    <w:rsid w:val="009B56E4"/>
    <w:rsid w:val="009B7287"/>
    <w:rsid w:val="009B7A72"/>
    <w:rsid w:val="009C0A67"/>
    <w:rsid w:val="009C7FD2"/>
    <w:rsid w:val="009D15DC"/>
    <w:rsid w:val="009D226C"/>
    <w:rsid w:val="009D4487"/>
    <w:rsid w:val="009D4B09"/>
    <w:rsid w:val="009D4C2D"/>
    <w:rsid w:val="009D5870"/>
    <w:rsid w:val="009D6E27"/>
    <w:rsid w:val="009D727C"/>
    <w:rsid w:val="009D7490"/>
    <w:rsid w:val="009E3844"/>
    <w:rsid w:val="009E3C4B"/>
    <w:rsid w:val="009E401C"/>
    <w:rsid w:val="009E6061"/>
    <w:rsid w:val="009E62E1"/>
    <w:rsid w:val="009E76A9"/>
    <w:rsid w:val="009F01C3"/>
    <w:rsid w:val="009F2B4C"/>
    <w:rsid w:val="009F33F6"/>
    <w:rsid w:val="009F4533"/>
    <w:rsid w:val="009F5B0A"/>
    <w:rsid w:val="009F6AD5"/>
    <w:rsid w:val="009F7F85"/>
    <w:rsid w:val="00A00A07"/>
    <w:rsid w:val="00A0251F"/>
    <w:rsid w:val="00A03271"/>
    <w:rsid w:val="00A037C6"/>
    <w:rsid w:val="00A03E3D"/>
    <w:rsid w:val="00A03E9D"/>
    <w:rsid w:val="00A0426E"/>
    <w:rsid w:val="00A07327"/>
    <w:rsid w:val="00A10145"/>
    <w:rsid w:val="00A11EEE"/>
    <w:rsid w:val="00A12781"/>
    <w:rsid w:val="00A13BAE"/>
    <w:rsid w:val="00A143D4"/>
    <w:rsid w:val="00A14C89"/>
    <w:rsid w:val="00A14DF7"/>
    <w:rsid w:val="00A153FF"/>
    <w:rsid w:val="00A15A87"/>
    <w:rsid w:val="00A15AD9"/>
    <w:rsid w:val="00A16478"/>
    <w:rsid w:val="00A17557"/>
    <w:rsid w:val="00A201AF"/>
    <w:rsid w:val="00A21245"/>
    <w:rsid w:val="00A213C5"/>
    <w:rsid w:val="00A227DE"/>
    <w:rsid w:val="00A238DA"/>
    <w:rsid w:val="00A24526"/>
    <w:rsid w:val="00A261F9"/>
    <w:rsid w:val="00A27A93"/>
    <w:rsid w:val="00A305B9"/>
    <w:rsid w:val="00A3068D"/>
    <w:rsid w:val="00A30889"/>
    <w:rsid w:val="00A31719"/>
    <w:rsid w:val="00A3208B"/>
    <w:rsid w:val="00A32279"/>
    <w:rsid w:val="00A324C6"/>
    <w:rsid w:val="00A334BF"/>
    <w:rsid w:val="00A36C5B"/>
    <w:rsid w:val="00A370EF"/>
    <w:rsid w:val="00A374C1"/>
    <w:rsid w:val="00A4131A"/>
    <w:rsid w:val="00A42846"/>
    <w:rsid w:val="00A549A0"/>
    <w:rsid w:val="00A55DC1"/>
    <w:rsid w:val="00A574DF"/>
    <w:rsid w:val="00A5792D"/>
    <w:rsid w:val="00A63A59"/>
    <w:rsid w:val="00A64556"/>
    <w:rsid w:val="00A66D6A"/>
    <w:rsid w:val="00A66EB9"/>
    <w:rsid w:val="00A67718"/>
    <w:rsid w:val="00A75AA4"/>
    <w:rsid w:val="00A76EEB"/>
    <w:rsid w:val="00A82609"/>
    <w:rsid w:val="00A84E59"/>
    <w:rsid w:val="00A95357"/>
    <w:rsid w:val="00A9731D"/>
    <w:rsid w:val="00AA066B"/>
    <w:rsid w:val="00AA2122"/>
    <w:rsid w:val="00AA2E14"/>
    <w:rsid w:val="00AA2FD4"/>
    <w:rsid w:val="00AA407C"/>
    <w:rsid w:val="00AA69BF"/>
    <w:rsid w:val="00AA7473"/>
    <w:rsid w:val="00AA7C74"/>
    <w:rsid w:val="00AB0EB5"/>
    <w:rsid w:val="00AB63E5"/>
    <w:rsid w:val="00AB6645"/>
    <w:rsid w:val="00AC0098"/>
    <w:rsid w:val="00AC0F56"/>
    <w:rsid w:val="00AC4C68"/>
    <w:rsid w:val="00AC60AA"/>
    <w:rsid w:val="00AC619A"/>
    <w:rsid w:val="00AC6415"/>
    <w:rsid w:val="00AD3784"/>
    <w:rsid w:val="00AD3AAE"/>
    <w:rsid w:val="00AD3C3B"/>
    <w:rsid w:val="00AD5850"/>
    <w:rsid w:val="00AD5DFB"/>
    <w:rsid w:val="00AD6E2F"/>
    <w:rsid w:val="00AE1042"/>
    <w:rsid w:val="00AE4E4A"/>
    <w:rsid w:val="00AE74D1"/>
    <w:rsid w:val="00AE7E5F"/>
    <w:rsid w:val="00AF070A"/>
    <w:rsid w:val="00AF187B"/>
    <w:rsid w:val="00AF2D1C"/>
    <w:rsid w:val="00AF412B"/>
    <w:rsid w:val="00B008CC"/>
    <w:rsid w:val="00B02428"/>
    <w:rsid w:val="00B07480"/>
    <w:rsid w:val="00B0776A"/>
    <w:rsid w:val="00B11789"/>
    <w:rsid w:val="00B11A12"/>
    <w:rsid w:val="00B11C64"/>
    <w:rsid w:val="00B130C9"/>
    <w:rsid w:val="00B13BB7"/>
    <w:rsid w:val="00B15360"/>
    <w:rsid w:val="00B15943"/>
    <w:rsid w:val="00B15BD5"/>
    <w:rsid w:val="00B16780"/>
    <w:rsid w:val="00B174E2"/>
    <w:rsid w:val="00B22CE4"/>
    <w:rsid w:val="00B247B6"/>
    <w:rsid w:val="00B254A9"/>
    <w:rsid w:val="00B30033"/>
    <w:rsid w:val="00B3035F"/>
    <w:rsid w:val="00B31121"/>
    <w:rsid w:val="00B3114D"/>
    <w:rsid w:val="00B31DD9"/>
    <w:rsid w:val="00B321F3"/>
    <w:rsid w:val="00B33B07"/>
    <w:rsid w:val="00B33B41"/>
    <w:rsid w:val="00B36BFC"/>
    <w:rsid w:val="00B44185"/>
    <w:rsid w:val="00B45157"/>
    <w:rsid w:val="00B47A16"/>
    <w:rsid w:val="00B527D6"/>
    <w:rsid w:val="00B5403F"/>
    <w:rsid w:val="00B60051"/>
    <w:rsid w:val="00B6113F"/>
    <w:rsid w:val="00B619CD"/>
    <w:rsid w:val="00B61D85"/>
    <w:rsid w:val="00B66F19"/>
    <w:rsid w:val="00B67064"/>
    <w:rsid w:val="00B67E15"/>
    <w:rsid w:val="00B701F3"/>
    <w:rsid w:val="00B72CEF"/>
    <w:rsid w:val="00B74CE5"/>
    <w:rsid w:val="00B83A2A"/>
    <w:rsid w:val="00B86979"/>
    <w:rsid w:val="00B86AEC"/>
    <w:rsid w:val="00B879FC"/>
    <w:rsid w:val="00B87CA1"/>
    <w:rsid w:val="00B92633"/>
    <w:rsid w:val="00B940AD"/>
    <w:rsid w:val="00B955E0"/>
    <w:rsid w:val="00B9721C"/>
    <w:rsid w:val="00B97BA1"/>
    <w:rsid w:val="00BA0611"/>
    <w:rsid w:val="00BA279A"/>
    <w:rsid w:val="00BA4BB4"/>
    <w:rsid w:val="00BA518D"/>
    <w:rsid w:val="00BA5728"/>
    <w:rsid w:val="00BA7647"/>
    <w:rsid w:val="00BB112A"/>
    <w:rsid w:val="00BB215C"/>
    <w:rsid w:val="00BB336D"/>
    <w:rsid w:val="00BB504A"/>
    <w:rsid w:val="00BB5C0E"/>
    <w:rsid w:val="00BB5D1C"/>
    <w:rsid w:val="00BB6039"/>
    <w:rsid w:val="00BB7067"/>
    <w:rsid w:val="00BC047D"/>
    <w:rsid w:val="00BC0867"/>
    <w:rsid w:val="00BC0901"/>
    <w:rsid w:val="00BC117F"/>
    <w:rsid w:val="00BC2C1E"/>
    <w:rsid w:val="00BC331B"/>
    <w:rsid w:val="00BC3860"/>
    <w:rsid w:val="00BC6233"/>
    <w:rsid w:val="00BC7516"/>
    <w:rsid w:val="00BD0861"/>
    <w:rsid w:val="00BD18CE"/>
    <w:rsid w:val="00BD23E7"/>
    <w:rsid w:val="00BD47AB"/>
    <w:rsid w:val="00BD48F2"/>
    <w:rsid w:val="00BD4B87"/>
    <w:rsid w:val="00BD56C0"/>
    <w:rsid w:val="00BD61B7"/>
    <w:rsid w:val="00BD6788"/>
    <w:rsid w:val="00BD7173"/>
    <w:rsid w:val="00BE1EC2"/>
    <w:rsid w:val="00BE333D"/>
    <w:rsid w:val="00BE49EE"/>
    <w:rsid w:val="00BE516E"/>
    <w:rsid w:val="00BE520B"/>
    <w:rsid w:val="00BE52A4"/>
    <w:rsid w:val="00BF286C"/>
    <w:rsid w:val="00BF39A2"/>
    <w:rsid w:val="00BF3A51"/>
    <w:rsid w:val="00BF3A53"/>
    <w:rsid w:val="00BF3B60"/>
    <w:rsid w:val="00BF42A0"/>
    <w:rsid w:val="00BF600E"/>
    <w:rsid w:val="00BF7FD2"/>
    <w:rsid w:val="00C00577"/>
    <w:rsid w:val="00C01320"/>
    <w:rsid w:val="00C02A9A"/>
    <w:rsid w:val="00C03B88"/>
    <w:rsid w:val="00C03DFC"/>
    <w:rsid w:val="00C06E16"/>
    <w:rsid w:val="00C072EB"/>
    <w:rsid w:val="00C07945"/>
    <w:rsid w:val="00C0796B"/>
    <w:rsid w:val="00C1033C"/>
    <w:rsid w:val="00C10877"/>
    <w:rsid w:val="00C10B67"/>
    <w:rsid w:val="00C11436"/>
    <w:rsid w:val="00C1187F"/>
    <w:rsid w:val="00C139E0"/>
    <w:rsid w:val="00C1453B"/>
    <w:rsid w:val="00C15C2E"/>
    <w:rsid w:val="00C163AB"/>
    <w:rsid w:val="00C164A9"/>
    <w:rsid w:val="00C169DD"/>
    <w:rsid w:val="00C173C8"/>
    <w:rsid w:val="00C21CAD"/>
    <w:rsid w:val="00C2289F"/>
    <w:rsid w:val="00C23EB0"/>
    <w:rsid w:val="00C2740B"/>
    <w:rsid w:val="00C3045B"/>
    <w:rsid w:val="00C305EB"/>
    <w:rsid w:val="00C314D8"/>
    <w:rsid w:val="00C315F8"/>
    <w:rsid w:val="00C31707"/>
    <w:rsid w:val="00C3181A"/>
    <w:rsid w:val="00C31FE8"/>
    <w:rsid w:val="00C34009"/>
    <w:rsid w:val="00C36F83"/>
    <w:rsid w:val="00C37169"/>
    <w:rsid w:val="00C3729A"/>
    <w:rsid w:val="00C37A63"/>
    <w:rsid w:val="00C4165A"/>
    <w:rsid w:val="00C4249D"/>
    <w:rsid w:val="00C43C48"/>
    <w:rsid w:val="00C43F77"/>
    <w:rsid w:val="00C440A0"/>
    <w:rsid w:val="00C445A5"/>
    <w:rsid w:val="00C45C74"/>
    <w:rsid w:val="00C511A6"/>
    <w:rsid w:val="00C516CF"/>
    <w:rsid w:val="00C51B92"/>
    <w:rsid w:val="00C53068"/>
    <w:rsid w:val="00C5342F"/>
    <w:rsid w:val="00C55F1D"/>
    <w:rsid w:val="00C55F34"/>
    <w:rsid w:val="00C56C58"/>
    <w:rsid w:val="00C60E7C"/>
    <w:rsid w:val="00C61AB8"/>
    <w:rsid w:val="00C61B75"/>
    <w:rsid w:val="00C62843"/>
    <w:rsid w:val="00C63364"/>
    <w:rsid w:val="00C63C8E"/>
    <w:rsid w:val="00C63F1F"/>
    <w:rsid w:val="00C65CAB"/>
    <w:rsid w:val="00C66D7B"/>
    <w:rsid w:val="00C67BD1"/>
    <w:rsid w:val="00C70CEF"/>
    <w:rsid w:val="00C71737"/>
    <w:rsid w:val="00C718E6"/>
    <w:rsid w:val="00C719DF"/>
    <w:rsid w:val="00C733F8"/>
    <w:rsid w:val="00C7377E"/>
    <w:rsid w:val="00C7467B"/>
    <w:rsid w:val="00C74C5E"/>
    <w:rsid w:val="00C77820"/>
    <w:rsid w:val="00C77956"/>
    <w:rsid w:val="00C80649"/>
    <w:rsid w:val="00C8351E"/>
    <w:rsid w:val="00C83A06"/>
    <w:rsid w:val="00C8450D"/>
    <w:rsid w:val="00C87B18"/>
    <w:rsid w:val="00C90FF7"/>
    <w:rsid w:val="00C9141D"/>
    <w:rsid w:val="00C92292"/>
    <w:rsid w:val="00C94EE7"/>
    <w:rsid w:val="00C97CF1"/>
    <w:rsid w:val="00CA094B"/>
    <w:rsid w:val="00CA2B66"/>
    <w:rsid w:val="00CA3A5F"/>
    <w:rsid w:val="00CA52E0"/>
    <w:rsid w:val="00CA5E1E"/>
    <w:rsid w:val="00CA7A67"/>
    <w:rsid w:val="00CB0699"/>
    <w:rsid w:val="00CB0848"/>
    <w:rsid w:val="00CB0E5B"/>
    <w:rsid w:val="00CB0E84"/>
    <w:rsid w:val="00CB137A"/>
    <w:rsid w:val="00CB20DF"/>
    <w:rsid w:val="00CB2403"/>
    <w:rsid w:val="00CC0EEC"/>
    <w:rsid w:val="00CC1270"/>
    <w:rsid w:val="00CC1C5C"/>
    <w:rsid w:val="00CC1DD8"/>
    <w:rsid w:val="00CC203F"/>
    <w:rsid w:val="00CC25F5"/>
    <w:rsid w:val="00CC345A"/>
    <w:rsid w:val="00CC37E6"/>
    <w:rsid w:val="00CC3AA3"/>
    <w:rsid w:val="00CC44EB"/>
    <w:rsid w:val="00CC5A03"/>
    <w:rsid w:val="00CC677F"/>
    <w:rsid w:val="00CC7B84"/>
    <w:rsid w:val="00CD10AF"/>
    <w:rsid w:val="00CD1F3D"/>
    <w:rsid w:val="00CD24B8"/>
    <w:rsid w:val="00CD3EC3"/>
    <w:rsid w:val="00CE1ED4"/>
    <w:rsid w:val="00CE3613"/>
    <w:rsid w:val="00CE4034"/>
    <w:rsid w:val="00CE4856"/>
    <w:rsid w:val="00CE5EF0"/>
    <w:rsid w:val="00CE66D0"/>
    <w:rsid w:val="00CE73BD"/>
    <w:rsid w:val="00CF2386"/>
    <w:rsid w:val="00CF2D06"/>
    <w:rsid w:val="00CF5635"/>
    <w:rsid w:val="00D00F3A"/>
    <w:rsid w:val="00D00FC4"/>
    <w:rsid w:val="00D019ED"/>
    <w:rsid w:val="00D041BF"/>
    <w:rsid w:val="00D064B7"/>
    <w:rsid w:val="00D065A1"/>
    <w:rsid w:val="00D06A7F"/>
    <w:rsid w:val="00D13798"/>
    <w:rsid w:val="00D15ADE"/>
    <w:rsid w:val="00D1672C"/>
    <w:rsid w:val="00D16CE9"/>
    <w:rsid w:val="00D20F35"/>
    <w:rsid w:val="00D2221B"/>
    <w:rsid w:val="00D270E1"/>
    <w:rsid w:val="00D30326"/>
    <w:rsid w:val="00D30EBF"/>
    <w:rsid w:val="00D3343B"/>
    <w:rsid w:val="00D34672"/>
    <w:rsid w:val="00D35F14"/>
    <w:rsid w:val="00D3654A"/>
    <w:rsid w:val="00D42300"/>
    <w:rsid w:val="00D4395C"/>
    <w:rsid w:val="00D44650"/>
    <w:rsid w:val="00D461C3"/>
    <w:rsid w:val="00D463F7"/>
    <w:rsid w:val="00D5037D"/>
    <w:rsid w:val="00D53A1D"/>
    <w:rsid w:val="00D53DAD"/>
    <w:rsid w:val="00D542BC"/>
    <w:rsid w:val="00D564B6"/>
    <w:rsid w:val="00D56E1A"/>
    <w:rsid w:val="00D5736D"/>
    <w:rsid w:val="00D60181"/>
    <w:rsid w:val="00D6137C"/>
    <w:rsid w:val="00D618BC"/>
    <w:rsid w:val="00D62831"/>
    <w:rsid w:val="00D63106"/>
    <w:rsid w:val="00D63BFC"/>
    <w:rsid w:val="00D65201"/>
    <w:rsid w:val="00D66310"/>
    <w:rsid w:val="00D6640F"/>
    <w:rsid w:val="00D66D7D"/>
    <w:rsid w:val="00D6747A"/>
    <w:rsid w:val="00D67E34"/>
    <w:rsid w:val="00D70993"/>
    <w:rsid w:val="00D70D5E"/>
    <w:rsid w:val="00D71B13"/>
    <w:rsid w:val="00D728D5"/>
    <w:rsid w:val="00D74BB8"/>
    <w:rsid w:val="00D77D33"/>
    <w:rsid w:val="00D8001D"/>
    <w:rsid w:val="00D804F5"/>
    <w:rsid w:val="00D82351"/>
    <w:rsid w:val="00D91127"/>
    <w:rsid w:val="00D924D5"/>
    <w:rsid w:val="00D957E5"/>
    <w:rsid w:val="00D96593"/>
    <w:rsid w:val="00D97723"/>
    <w:rsid w:val="00DA0487"/>
    <w:rsid w:val="00DA2D80"/>
    <w:rsid w:val="00DA3D29"/>
    <w:rsid w:val="00DA5BB3"/>
    <w:rsid w:val="00DA7A1A"/>
    <w:rsid w:val="00DB071A"/>
    <w:rsid w:val="00DB074E"/>
    <w:rsid w:val="00DB35DB"/>
    <w:rsid w:val="00DB5DD4"/>
    <w:rsid w:val="00DB683B"/>
    <w:rsid w:val="00DB6F4B"/>
    <w:rsid w:val="00DC2331"/>
    <w:rsid w:val="00DC25DB"/>
    <w:rsid w:val="00DC29BA"/>
    <w:rsid w:val="00DC3C77"/>
    <w:rsid w:val="00DC47EC"/>
    <w:rsid w:val="00DC4EE6"/>
    <w:rsid w:val="00DC5350"/>
    <w:rsid w:val="00DC549B"/>
    <w:rsid w:val="00DC592E"/>
    <w:rsid w:val="00DC656E"/>
    <w:rsid w:val="00DD17C2"/>
    <w:rsid w:val="00DD2909"/>
    <w:rsid w:val="00DD35E3"/>
    <w:rsid w:val="00DD44D9"/>
    <w:rsid w:val="00DD58A1"/>
    <w:rsid w:val="00DE165F"/>
    <w:rsid w:val="00DE4737"/>
    <w:rsid w:val="00DE4F09"/>
    <w:rsid w:val="00DE737E"/>
    <w:rsid w:val="00DF07D3"/>
    <w:rsid w:val="00DF0F0C"/>
    <w:rsid w:val="00DF2657"/>
    <w:rsid w:val="00DF4EBF"/>
    <w:rsid w:val="00DF6D41"/>
    <w:rsid w:val="00DF7F3F"/>
    <w:rsid w:val="00DF7FE7"/>
    <w:rsid w:val="00E01013"/>
    <w:rsid w:val="00E0353A"/>
    <w:rsid w:val="00E04164"/>
    <w:rsid w:val="00E043A3"/>
    <w:rsid w:val="00E05994"/>
    <w:rsid w:val="00E07F7D"/>
    <w:rsid w:val="00E11DBE"/>
    <w:rsid w:val="00E11FFC"/>
    <w:rsid w:val="00E160B3"/>
    <w:rsid w:val="00E16C1F"/>
    <w:rsid w:val="00E202F3"/>
    <w:rsid w:val="00E2225E"/>
    <w:rsid w:val="00E25952"/>
    <w:rsid w:val="00E269FB"/>
    <w:rsid w:val="00E303E7"/>
    <w:rsid w:val="00E309EF"/>
    <w:rsid w:val="00E31556"/>
    <w:rsid w:val="00E32F79"/>
    <w:rsid w:val="00E33F5C"/>
    <w:rsid w:val="00E36005"/>
    <w:rsid w:val="00E41A75"/>
    <w:rsid w:val="00E41CEB"/>
    <w:rsid w:val="00E41EA6"/>
    <w:rsid w:val="00E426F9"/>
    <w:rsid w:val="00E42FEA"/>
    <w:rsid w:val="00E44C58"/>
    <w:rsid w:val="00E45474"/>
    <w:rsid w:val="00E5163A"/>
    <w:rsid w:val="00E52C44"/>
    <w:rsid w:val="00E52C99"/>
    <w:rsid w:val="00E537D7"/>
    <w:rsid w:val="00E542AB"/>
    <w:rsid w:val="00E54694"/>
    <w:rsid w:val="00E605E5"/>
    <w:rsid w:val="00E60871"/>
    <w:rsid w:val="00E60D1A"/>
    <w:rsid w:val="00E61DD7"/>
    <w:rsid w:val="00E65DFA"/>
    <w:rsid w:val="00E70DC8"/>
    <w:rsid w:val="00E765D1"/>
    <w:rsid w:val="00E76918"/>
    <w:rsid w:val="00E779E0"/>
    <w:rsid w:val="00E77F20"/>
    <w:rsid w:val="00E805EA"/>
    <w:rsid w:val="00E810A8"/>
    <w:rsid w:val="00E81411"/>
    <w:rsid w:val="00E833A1"/>
    <w:rsid w:val="00E847D9"/>
    <w:rsid w:val="00E860B3"/>
    <w:rsid w:val="00E908F8"/>
    <w:rsid w:val="00E924DF"/>
    <w:rsid w:val="00E92567"/>
    <w:rsid w:val="00E95245"/>
    <w:rsid w:val="00E968C1"/>
    <w:rsid w:val="00EA0B8F"/>
    <w:rsid w:val="00EA279C"/>
    <w:rsid w:val="00EA299F"/>
    <w:rsid w:val="00EA2D5A"/>
    <w:rsid w:val="00EA4F59"/>
    <w:rsid w:val="00EB0EED"/>
    <w:rsid w:val="00EB1E51"/>
    <w:rsid w:val="00EB2425"/>
    <w:rsid w:val="00EB2F6F"/>
    <w:rsid w:val="00EB321A"/>
    <w:rsid w:val="00EB3B70"/>
    <w:rsid w:val="00EB3BC3"/>
    <w:rsid w:val="00EB5711"/>
    <w:rsid w:val="00EB6B6D"/>
    <w:rsid w:val="00EB6F86"/>
    <w:rsid w:val="00EB7CA4"/>
    <w:rsid w:val="00EC2190"/>
    <w:rsid w:val="00EC319F"/>
    <w:rsid w:val="00EC404C"/>
    <w:rsid w:val="00EC4B94"/>
    <w:rsid w:val="00EC4F27"/>
    <w:rsid w:val="00EC4F5B"/>
    <w:rsid w:val="00EC6E98"/>
    <w:rsid w:val="00EC7935"/>
    <w:rsid w:val="00ED1B07"/>
    <w:rsid w:val="00ED1B28"/>
    <w:rsid w:val="00ED30C8"/>
    <w:rsid w:val="00ED35EF"/>
    <w:rsid w:val="00ED37FB"/>
    <w:rsid w:val="00ED65B8"/>
    <w:rsid w:val="00ED6E7B"/>
    <w:rsid w:val="00ED6FCB"/>
    <w:rsid w:val="00ED7870"/>
    <w:rsid w:val="00EE0197"/>
    <w:rsid w:val="00EE1836"/>
    <w:rsid w:val="00EE1B91"/>
    <w:rsid w:val="00EE2F4A"/>
    <w:rsid w:val="00EE32F5"/>
    <w:rsid w:val="00EE3B10"/>
    <w:rsid w:val="00EE3CF6"/>
    <w:rsid w:val="00EE4A18"/>
    <w:rsid w:val="00EE5063"/>
    <w:rsid w:val="00EE7F30"/>
    <w:rsid w:val="00EF0327"/>
    <w:rsid w:val="00EF0465"/>
    <w:rsid w:val="00EF1609"/>
    <w:rsid w:val="00EF1AB8"/>
    <w:rsid w:val="00EF1E01"/>
    <w:rsid w:val="00EF2784"/>
    <w:rsid w:val="00EF29BA"/>
    <w:rsid w:val="00EF2F53"/>
    <w:rsid w:val="00EF4105"/>
    <w:rsid w:val="00EF5D39"/>
    <w:rsid w:val="00EF7C4E"/>
    <w:rsid w:val="00EF7DEF"/>
    <w:rsid w:val="00F00D3E"/>
    <w:rsid w:val="00F01612"/>
    <w:rsid w:val="00F03085"/>
    <w:rsid w:val="00F04C4D"/>
    <w:rsid w:val="00F0512D"/>
    <w:rsid w:val="00F06E64"/>
    <w:rsid w:val="00F1231B"/>
    <w:rsid w:val="00F13CD2"/>
    <w:rsid w:val="00F14A17"/>
    <w:rsid w:val="00F15955"/>
    <w:rsid w:val="00F165B5"/>
    <w:rsid w:val="00F17556"/>
    <w:rsid w:val="00F17CD8"/>
    <w:rsid w:val="00F2135A"/>
    <w:rsid w:val="00F23891"/>
    <w:rsid w:val="00F24A49"/>
    <w:rsid w:val="00F25543"/>
    <w:rsid w:val="00F30433"/>
    <w:rsid w:val="00F30683"/>
    <w:rsid w:val="00F30AB6"/>
    <w:rsid w:val="00F312B8"/>
    <w:rsid w:val="00F315D6"/>
    <w:rsid w:val="00F40AC0"/>
    <w:rsid w:val="00F41A43"/>
    <w:rsid w:val="00F432E4"/>
    <w:rsid w:val="00F43518"/>
    <w:rsid w:val="00F4422B"/>
    <w:rsid w:val="00F45F37"/>
    <w:rsid w:val="00F50312"/>
    <w:rsid w:val="00F50548"/>
    <w:rsid w:val="00F50D80"/>
    <w:rsid w:val="00F511F2"/>
    <w:rsid w:val="00F51383"/>
    <w:rsid w:val="00F52F5B"/>
    <w:rsid w:val="00F53D66"/>
    <w:rsid w:val="00F541AD"/>
    <w:rsid w:val="00F54F19"/>
    <w:rsid w:val="00F563F0"/>
    <w:rsid w:val="00F569A3"/>
    <w:rsid w:val="00F56F54"/>
    <w:rsid w:val="00F579F2"/>
    <w:rsid w:val="00F6277F"/>
    <w:rsid w:val="00F6297E"/>
    <w:rsid w:val="00F66093"/>
    <w:rsid w:val="00F67A8E"/>
    <w:rsid w:val="00F70C42"/>
    <w:rsid w:val="00F71708"/>
    <w:rsid w:val="00F72551"/>
    <w:rsid w:val="00F728F0"/>
    <w:rsid w:val="00F72942"/>
    <w:rsid w:val="00F7415C"/>
    <w:rsid w:val="00F755A2"/>
    <w:rsid w:val="00F75654"/>
    <w:rsid w:val="00F770FB"/>
    <w:rsid w:val="00F809B7"/>
    <w:rsid w:val="00F8176F"/>
    <w:rsid w:val="00F820DB"/>
    <w:rsid w:val="00F83582"/>
    <w:rsid w:val="00F83FBE"/>
    <w:rsid w:val="00F84134"/>
    <w:rsid w:val="00F84CFD"/>
    <w:rsid w:val="00F85120"/>
    <w:rsid w:val="00F85622"/>
    <w:rsid w:val="00F905E9"/>
    <w:rsid w:val="00F916FE"/>
    <w:rsid w:val="00F95126"/>
    <w:rsid w:val="00F95D2B"/>
    <w:rsid w:val="00F964C8"/>
    <w:rsid w:val="00F9732D"/>
    <w:rsid w:val="00FA01F6"/>
    <w:rsid w:val="00FA0EDF"/>
    <w:rsid w:val="00FA6DBC"/>
    <w:rsid w:val="00FB08B1"/>
    <w:rsid w:val="00FB255B"/>
    <w:rsid w:val="00FB34CB"/>
    <w:rsid w:val="00FB74F5"/>
    <w:rsid w:val="00FC2DDC"/>
    <w:rsid w:val="00FC2F17"/>
    <w:rsid w:val="00FC43C1"/>
    <w:rsid w:val="00FC6935"/>
    <w:rsid w:val="00FC7E7B"/>
    <w:rsid w:val="00FD0943"/>
    <w:rsid w:val="00FD13A1"/>
    <w:rsid w:val="00FD1983"/>
    <w:rsid w:val="00FD1C3F"/>
    <w:rsid w:val="00FD1EAC"/>
    <w:rsid w:val="00FD2794"/>
    <w:rsid w:val="00FD2F83"/>
    <w:rsid w:val="00FD309B"/>
    <w:rsid w:val="00FD42AE"/>
    <w:rsid w:val="00FD56E5"/>
    <w:rsid w:val="00FD58EC"/>
    <w:rsid w:val="00FE1CF4"/>
    <w:rsid w:val="00FE3C87"/>
    <w:rsid w:val="00FE3D80"/>
    <w:rsid w:val="00FE4310"/>
    <w:rsid w:val="00FE5254"/>
    <w:rsid w:val="00FE5F8C"/>
    <w:rsid w:val="00FE67BE"/>
    <w:rsid w:val="00FE6F10"/>
    <w:rsid w:val="00FE7C53"/>
    <w:rsid w:val="00FF0038"/>
    <w:rsid w:val="00FF27AE"/>
    <w:rsid w:val="00FF2859"/>
    <w:rsid w:val="00FF2D8D"/>
    <w:rsid w:val="00FF3167"/>
    <w:rsid w:val="00FF3376"/>
    <w:rsid w:val="00FF38A0"/>
    <w:rsid w:val="00FF4025"/>
    <w:rsid w:val="00FF4C14"/>
    <w:rsid w:val="00FF7293"/>
    <w:rsid w:val="00FF791B"/>
    <w:rsid w:val="00FF7B2A"/>
    <w:rsid w:val="13A170DD"/>
    <w:rsid w:val="5C56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29D14"/>
  <w15:docId w15:val="{01B6E023-07F9-4E67-B27F-00A58050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numPr>
        <w:numId w:val="1"/>
      </w:numPr>
      <w:spacing w:beforeLines="50" w:before="50" w:afterLines="50" w:after="50"/>
      <w:ind w:left="0" w:firstLineChars="0" w:firstLine="0"/>
      <w:jc w:val="left"/>
      <w:outlineLvl w:val="0"/>
    </w:pPr>
    <w:rPr>
      <w:b/>
      <w:bCs/>
      <w:kern w:val="44"/>
      <w:szCs w:val="44"/>
    </w:rPr>
  </w:style>
  <w:style w:type="paragraph" w:styleId="2">
    <w:name w:val="heading 2"/>
    <w:basedOn w:val="a"/>
    <w:next w:val="a"/>
    <w:link w:val="20"/>
    <w:uiPriority w:val="9"/>
    <w:unhideWhenUsed/>
    <w:qFormat/>
    <w:pPr>
      <w:outlineLvl w:val="1"/>
    </w:pPr>
    <w:rPr>
      <w:rFonts w:asciiTheme="majorHAnsi" w:hAnsiTheme="majorHAnsi" w:cstheme="majorBidi"/>
      <w:b/>
      <w:bCs/>
      <w:szCs w:val="32"/>
    </w:rPr>
  </w:style>
  <w:style w:type="paragraph" w:styleId="3">
    <w:name w:val="heading 3"/>
    <w:basedOn w:val="a"/>
    <w:next w:val="a"/>
    <w:link w:val="30"/>
    <w:uiPriority w:val="9"/>
    <w:unhideWhenUsed/>
    <w:qFormat/>
    <w:pPr>
      <w:tabs>
        <w:tab w:val="left" w:pos="720"/>
      </w:tabs>
      <w:outlineLvl w:val="2"/>
    </w:pPr>
    <w:rPr>
      <w:b/>
      <w:bCs/>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tabs>
        <w:tab w:val="right" w:leader="dot" w:pos="8302"/>
      </w:tabs>
      <w:ind w:firstLineChars="0" w:firstLine="0"/>
    </w:pPr>
  </w:style>
  <w:style w:type="paragraph" w:styleId="a9">
    <w:name w:val="Subtitle"/>
    <w:basedOn w:val="a"/>
    <w:next w:val="a"/>
    <w:link w:val="aa"/>
    <w:uiPriority w:val="11"/>
    <w:qFormat/>
    <w:pPr>
      <w:spacing w:before="60" w:after="120" w:line="312" w:lineRule="auto"/>
      <w:ind w:firstLineChars="0" w:firstLine="0"/>
      <w:jc w:val="center"/>
      <w:outlineLvl w:val="1"/>
    </w:pPr>
    <w:rPr>
      <w:bCs/>
      <w:kern w:val="28"/>
      <w:sz w:val="28"/>
      <w:szCs w:val="32"/>
    </w:rPr>
  </w:style>
  <w:style w:type="paragraph" w:styleId="21">
    <w:name w:val="toc 2"/>
    <w:basedOn w:val="a"/>
    <w:next w:val="a"/>
    <w:uiPriority w:val="39"/>
    <w:unhideWhenUsed/>
    <w:qFormat/>
    <w:pPr>
      <w:ind w:leftChars="200" w:left="420"/>
    </w:pPr>
  </w:style>
  <w:style w:type="character" w:styleId="ab">
    <w:name w:val="line number"/>
    <w:basedOn w:val="a0"/>
    <w:uiPriority w:val="99"/>
    <w:semiHidden/>
    <w:unhideWhenUsed/>
    <w:qFormat/>
  </w:style>
  <w:style w:type="character" w:styleId="ac">
    <w:name w:val="Hyperlink"/>
    <w:basedOn w:val="a0"/>
    <w:uiPriority w:val="99"/>
    <w:unhideWhenUsed/>
    <w:qFormat/>
    <w:rPr>
      <w:color w:val="0563C1" w:themeColor="hyperlink"/>
      <w:u w:val="single"/>
    </w:rPr>
  </w:style>
  <w:style w:type="character" w:customStyle="1" w:styleId="12">
    <w:name w:val="不明显强调1"/>
    <w:basedOn w:val="a0"/>
    <w:uiPriority w:val="19"/>
    <w:qFormat/>
    <w:rPr>
      <w:rFonts w:ascii="Times New Roman" w:eastAsia="宋体" w:hAnsi="Times New Roman"/>
      <w:b/>
      <w:iCs/>
      <w:color w:val="404040" w:themeColor="text1" w:themeTint="BF"/>
      <w:sz w:val="24"/>
    </w:rPr>
  </w:style>
  <w:style w:type="character" w:customStyle="1" w:styleId="20">
    <w:name w:val="标题 2 字符"/>
    <w:basedOn w:val="a0"/>
    <w:link w:val="2"/>
    <w:uiPriority w:val="9"/>
    <w:rPr>
      <w:rFonts w:asciiTheme="majorHAnsi" w:eastAsia="宋体" w:hAnsiTheme="majorHAnsi" w:cstheme="majorBidi"/>
      <w:b/>
      <w:bCs/>
      <w:sz w:val="24"/>
      <w:szCs w:val="32"/>
    </w:rPr>
  </w:style>
  <w:style w:type="character" w:customStyle="1" w:styleId="10">
    <w:name w:val="标题 1 字符"/>
    <w:basedOn w:val="a0"/>
    <w:link w:val="1"/>
    <w:uiPriority w:val="9"/>
    <w:rPr>
      <w:rFonts w:ascii="Times New Roman" w:eastAsia="宋体" w:hAnsi="Times New Roman"/>
      <w:b/>
      <w:bCs/>
      <w:kern w:val="44"/>
      <w:sz w:val="24"/>
      <w:szCs w:val="44"/>
    </w:rPr>
  </w:style>
  <w:style w:type="character" w:customStyle="1" w:styleId="30">
    <w:name w:val="标题 3 字符"/>
    <w:basedOn w:val="a0"/>
    <w:link w:val="3"/>
    <w:uiPriority w:val="9"/>
    <w:qFormat/>
    <w:rPr>
      <w:rFonts w:ascii="Times New Roman" w:eastAsia="宋体" w:hAnsi="Times New Roman"/>
      <w:b/>
      <w:bCs/>
      <w:sz w:val="24"/>
      <w:szCs w:val="32"/>
    </w:rPr>
  </w:style>
  <w:style w:type="character" w:customStyle="1" w:styleId="aa">
    <w:name w:val="副标题 字符"/>
    <w:basedOn w:val="a0"/>
    <w:link w:val="a9"/>
    <w:uiPriority w:val="11"/>
    <w:rPr>
      <w:rFonts w:ascii="Times New Roman" w:eastAsia="宋体" w:hAnsi="Times New Roman"/>
      <w:bCs/>
      <w:kern w:val="28"/>
      <w:sz w:val="28"/>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a8">
    <w:name w:val="页眉 字符"/>
    <w:basedOn w:val="a0"/>
    <w:link w:val="a7"/>
    <w:uiPriority w:val="99"/>
    <w:rPr>
      <w:rFonts w:ascii="Times New Roman" w:eastAsia="宋体" w:hAnsi="Times New Roman"/>
      <w:sz w:val="18"/>
      <w:szCs w:val="18"/>
    </w:rPr>
  </w:style>
  <w:style w:type="character" w:customStyle="1" w:styleId="a6">
    <w:name w:val="页脚 字符"/>
    <w:basedOn w:val="a0"/>
    <w:link w:val="a5"/>
    <w:uiPriority w:val="99"/>
    <w:rPr>
      <w:rFonts w:ascii="Times New Roman" w:eastAsia="宋体" w:hAnsi="Times New Roman"/>
      <w:sz w:val="18"/>
      <w:szCs w:val="18"/>
    </w:rPr>
  </w:style>
  <w:style w:type="paragraph" w:customStyle="1" w:styleId="ad">
    <w:name w:val="二级标题"/>
    <w:basedOn w:val="a"/>
    <w:link w:val="ae"/>
    <w:qFormat/>
    <w:pPr>
      <w:autoSpaceDE w:val="0"/>
      <w:autoSpaceDN w:val="0"/>
      <w:adjustRightInd w:val="0"/>
      <w:spacing w:line="276" w:lineRule="auto"/>
      <w:ind w:firstLine="640"/>
    </w:pPr>
    <w:rPr>
      <w:rFonts w:eastAsia="楷体" w:cs="Times New Roman"/>
      <w:color w:val="000000"/>
      <w:kern w:val="0"/>
      <w:sz w:val="32"/>
      <w:szCs w:val="32"/>
    </w:rPr>
  </w:style>
  <w:style w:type="character" w:customStyle="1" w:styleId="ae">
    <w:name w:val="二级标题 字符"/>
    <w:basedOn w:val="a0"/>
    <w:link w:val="ad"/>
    <w:qFormat/>
    <w:rPr>
      <w:rFonts w:ascii="Times New Roman" w:eastAsia="楷体" w:hAnsi="Times New Roman" w:cs="Times New Roman"/>
      <w:color w:val="000000"/>
      <w:kern w:val="0"/>
      <w:sz w:val="32"/>
      <w:szCs w:val="32"/>
    </w:rPr>
  </w:style>
  <w:style w:type="paragraph" w:customStyle="1" w:styleId="af">
    <w:name w:val="一级标题"/>
    <w:basedOn w:val="1"/>
    <w:link w:val="af0"/>
    <w:qFormat/>
    <w:pPr>
      <w:keepNext/>
      <w:keepLines/>
      <w:numPr>
        <w:numId w:val="0"/>
      </w:numPr>
      <w:autoSpaceDE w:val="0"/>
      <w:autoSpaceDN w:val="0"/>
      <w:adjustRightInd w:val="0"/>
      <w:spacing w:beforeLines="0" w:before="340" w:afterLines="0" w:after="0" w:line="578" w:lineRule="auto"/>
      <w:ind w:firstLineChars="200" w:firstLine="640"/>
      <w:jc w:val="both"/>
    </w:pPr>
    <w:rPr>
      <w:rFonts w:eastAsia="黑体" w:cs="Times New Roman"/>
      <w:color w:val="000000"/>
      <w:sz w:val="32"/>
      <w:szCs w:val="32"/>
    </w:rPr>
  </w:style>
  <w:style w:type="character" w:customStyle="1" w:styleId="af0">
    <w:name w:val="一级标题 字符"/>
    <w:basedOn w:val="10"/>
    <w:link w:val="af"/>
    <w:rPr>
      <w:rFonts w:ascii="Times New Roman" w:eastAsia="黑体" w:hAnsi="Times New Roman" w:cs="Times New Roman"/>
      <w:b/>
      <w:bCs/>
      <w:color w:val="000000"/>
      <w:kern w:val="44"/>
      <w:sz w:val="32"/>
      <w:szCs w:val="32"/>
    </w:rPr>
  </w:style>
  <w:style w:type="paragraph" w:customStyle="1" w:styleId="22">
    <w:name w:val="正文2"/>
    <w:basedOn w:val="a"/>
    <w:link w:val="23"/>
    <w:qFormat/>
    <w:pPr>
      <w:widowControl/>
      <w:spacing w:line="276" w:lineRule="auto"/>
      <w:ind w:firstLine="640"/>
    </w:pPr>
    <w:rPr>
      <w:rFonts w:eastAsia="仿宋_GB2312"/>
      <w:kern w:val="0"/>
      <w:sz w:val="32"/>
    </w:rPr>
  </w:style>
  <w:style w:type="character" w:customStyle="1" w:styleId="23">
    <w:name w:val="正文2 字符"/>
    <w:basedOn w:val="a0"/>
    <w:link w:val="22"/>
    <w:qFormat/>
    <w:rPr>
      <w:rFonts w:ascii="Times New Roman" w:eastAsia="仿宋_GB2312" w:hAnsi="Times New Roman"/>
      <w:kern w:val="0"/>
      <w:sz w:val="32"/>
    </w:rPr>
  </w:style>
  <w:style w:type="character" w:customStyle="1" w:styleId="a4">
    <w:name w:val="批注框文本 字符"/>
    <w:basedOn w:val="a0"/>
    <w:link w:val="a3"/>
    <w:uiPriority w:val="99"/>
    <w:semiHidden/>
    <w:qFormat/>
    <w:rPr>
      <w:rFonts w:ascii="Times New Roman" w:eastAsia="宋体" w:hAnsi="Times New Roman"/>
      <w:sz w:val="18"/>
      <w:szCs w:val="18"/>
    </w:rPr>
  </w:style>
  <w:style w:type="paragraph" w:styleId="af1">
    <w:name w:val="Revision"/>
    <w:hidden/>
    <w:uiPriority w:val="99"/>
    <w:unhideWhenUsed/>
    <w:rsid w:val="003D2242"/>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92E2-74A4-4673-ADCD-643982EE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赵骏</dc:creator>
  <cp:lastModifiedBy>李芳</cp:lastModifiedBy>
  <cp:revision>2</cp:revision>
  <cp:lastPrinted>2021-04-01T01:41:00Z</cp:lastPrinted>
  <dcterms:created xsi:type="dcterms:W3CDTF">2023-07-18T01:22:00Z</dcterms:created>
  <dcterms:modified xsi:type="dcterms:W3CDTF">2023-07-18T01:22:00Z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-911766145</vt:i4>
  </property>
  <property fmtid="{D5CDD505-2E9C-101B-9397-08002B2CF9AE}" pid="3" name="KSOProductBuildVer">
    <vt:lpwstr>2052-11.1.0.14309</vt:lpwstr>
  </property>
  <property fmtid="{D5CDD505-2E9C-101B-9397-08002B2CF9AE}" pid="4" name="ICV">
    <vt:lpwstr>9F923CDAC204477B910C3D720B52F6F3_12</vt:lpwstr>
  </property>
</Properties>
</file>