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C5" w:rsidRDefault="00635C83" w:rsidP="00832BC5">
      <w:pPr>
        <w:spacing w:line="360" w:lineRule="auto"/>
        <w:jc w:val="center"/>
        <w:rPr>
          <w:rFonts w:ascii="方正小标宋简体" w:eastAsia="方正小标宋简体" w:hAnsi="Calibri" w:cs="Times New Roman"/>
          <w:sz w:val="36"/>
          <w:szCs w:val="36"/>
        </w:rPr>
      </w:pPr>
      <w:r w:rsidRPr="00944124">
        <w:rPr>
          <w:rFonts w:ascii="方正小标宋简体" w:eastAsia="方正小标宋简体" w:hAnsi="Calibri" w:cs="Times New Roman" w:hint="eastAsia"/>
          <w:sz w:val="36"/>
          <w:szCs w:val="36"/>
        </w:rPr>
        <w:t>《</w:t>
      </w:r>
      <w:r w:rsidRPr="00C607F2">
        <w:rPr>
          <w:rFonts w:ascii="方正小标宋简体" w:eastAsia="方正小标宋简体" w:hAnsi="Calibri" w:cs="Times New Roman" w:hint="eastAsia"/>
          <w:sz w:val="36"/>
          <w:szCs w:val="36"/>
        </w:rPr>
        <w:t>依托咪酯中</w:t>
      </w:r>
      <w:r w:rsidRPr="00C607F2">
        <w:rPr>
          <w:rFonts w:ascii="方正小标宋简体" w:eastAsia="方正小标宋简体" w:hAnsi="Calibri" w:cs="Times New Roman"/>
          <w:sz w:val="36"/>
          <w:szCs w:val="36"/>
        </w:rPr>
        <w:t>/长链脂肪乳注射</w:t>
      </w:r>
      <w:r w:rsidR="00832BC5">
        <w:rPr>
          <w:rFonts w:ascii="方正小标宋简体" w:eastAsia="方正小标宋简体" w:hAnsi="Calibri" w:cs="Times New Roman" w:hint="eastAsia"/>
          <w:sz w:val="36"/>
          <w:szCs w:val="36"/>
        </w:rPr>
        <w:t>液</w:t>
      </w:r>
      <w:r w:rsidRPr="00944124">
        <w:rPr>
          <w:rFonts w:ascii="方正小标宋简体" w:eastAsia="方正小标宋简体" w:hAnsi="Calibri" w:cs="Times New Roman" w:hint="eastAsia"/>
          <w:sz w:val="36"/>
          <w:szCs w:val="36"/>
        </w:rPr>
        <w:t>生物等效性研究</w:t>
      </w:r>
    </w:p>
    <w:p w:rsidR="00635C83" w:rsidRPr="005B6043" w:rsidRDefault="00635C83" w:rsidP="00832BC5">
      <w:pPr>
        <w:spacing w:line="360" w:lineRule="auto"/>
        <w:jc w:val="center"/>
        <w:rPr>
          <w:rFonts w:ascii="方正小标宋简体" w:eastAsia="方正小标宋简体" w:hAnsi="Calibri" w:cs="Times New Roman"/>
          <w:sz w:val="36"/>
          <w:szCs w:val="36"/>
        </w:rPr>
      </w:pPr>
      <w:r w:rsidRPr="00944124">
        <w:rPr>
          <w:rFonts w:ascii="方正小标宋简体" w:eastAsia="方正小标宋简体" w:hAnsi="Calibri" w:cs="Times New Roman" w:hint="eastAsia"/>
          <w:sz w:val="36"/>
          <w:szCs w:val="36"/>
        </w:rPr>
        <w:t>技术指导原则</w:t>
      </w:r>
      <w:r>
        <w:rPr>
          <w:rFonts w:ascii="方正小标宋简体" w:eastAsia="方正小标宋简体" w:hAnsi="Calibri" w:cs="Times New Roman" w:hint="eastAsia"/>
          <w:sz w:val="36"/>
          <w:szCs w:val="36"/>
        </w:rPr>
        <w:t>（征求意见稿）</w:t>
      </w:r>
      <w:r w:rsidRPr="00944124">
        <w:rPr>
          <w:rFonts w:ascii="方正小标宋简体" w:eastAsia="方正小标宋简体" w:hAnsi="Calibri" w:cs="Times New Roman" w:hint="eastAsia"/>
          <w:sz w:val="36"/>
          <w:szCs w:val="36"/>
        </w:rPr>
        <w:t>》</w:t>
      </w:r>
      <w:r w:rsidRPr="001136CE">
        <w:rPr>
          <w:rFonts w:ascii="方正小标宋简体" w:eastAsia="方正小标宋简体" w:hint="eastAsia"/>
          <w:sz w:val="36"/>
          <w:szCs w:val="36"/>
        </w:rPr>
        <w:t>起草说明</w:t>
      </w:r>
    </w:p>
    <w:p w:rsidR="00635C83" w:rsidRPr="001136CE" w:rsidRDefault="00635C83" w:rsidP="00635C83">
      <w:pPr>
        <w:spacing w:line="360" w:lineRule="auto"/>
        <w:jc w:val="center"/>
        <w:rPr>
          <w:rFonts w:ascii="方正小标宋简体" w:eastAsia="方正小标宋简体" w:hAnsi="Calibri" w:cs="Times New Roman"/>
          <w:sz w:val="36"/>
          <w:szCs w:val="36"/>
        </w:rPr>
      </w:pPr>
    </w:p>
    <w:p w:rsidR="00635C83" w:rsidRPr="00075DF1" w:rsidRDefault="00635C83" w:rsidP="00635C83">
      <w:pPr>
        <w:spacing w:line="360" w:lineRule="auto"/>
        <w:ind w:firstLineChars="200" w:firstLine="640"/>
        <w:rPr>
          <w:rFonts w:ascii="黑体" w:eastAsia="黑体" w:hAnsi="黑体"/>
        </w:rPr>
      </w:pPr>
      <w:r w:rsidRPr="00075DF1">
        <w:rPr>
          <w:rFonts w:ascii="黑体" w:eastAsia="黑体" w:hAnsi="黑体"/>
        </w:rPr>
        <w:t>一、背景和目的</w:t>
      </w:r>
    </w:p>
    <w:p w:rsidR="00635C83" w:rsidRPr="009D7813" w:rsidRDefault="00635C83" w:rsidP="00635C83">
      <w:pPr>
        <w:spacing w:line="360" w:lineRule="auto"/>
        <w:ind w:firstLineChars="200" w:firstLine="640"/>
        <w:rPr>
          <w:rFonts w:ascii="Times New Roman" w:hAnsi="Times New Roman" w:cs="Times New Roman"/>
        </w:rPr>
      </w:pPr>
      <w:r w:rsidRPr="00C607F2">
        <w:rPr>
          <w:rFonts w:ascii="Times New Roman" w:hAnsi="Times New Roman" w:cs="Times New Roman" w:hint="eastAsia"/>
        </w:rPr>
        <w:t>依托咪酯（</w:t>
      </w:r>
      <w:r w:rsidRPr="00C607F2">
        <w:rPr>
          <w:rFonts w:ascii="Times New Roman" w:hAnsi="Times New Roman" w:cs="Times New Roman"/>
        </w:rPr>
        <w:t>Etomidate</w:t>
      </w:r>
      <w:r w:rsidRPr="00C607F2">
        <w:rPr>
          <w:rFonts w:ascii="Times New Roman" w:hAnsi="Times New Roman" w:cs="Times New Roman"/>
        </w:rPr>
        <w:t>）通过可逆性地阻断</w:t>
      </w:r>
      <w:r w:rsidRPr="00C607F2">
        <w:rPr>
          <w:rFonts w:ascii="Times New Roman" w:hAnsi="Times New Roman" w:cs="Times New Roman"/>
        </w:rPr>
        <w:t>11-β-</w:t>
      </w:r>
      <w:r w:rsidRPr="00C607F2">
        <w:rPr>
          <w:rFonts w:ascii="Times New Roman" w:hAnsi="Times New Roman" w:cs="Times New Roman"/>
        </w:rPr>
        <w:t>羟化类固醇脱氢酶，从而抑制肾上腺细胞合成皮质醇。依托咪酯中</w:t>
      </w:r>
      <w:r w:rsidRPr="00C607F2">
        <w:rPr>
          <w:rFonts w:ascii="Times New Roman" w:hAnsi="Times New Roman" w:cs="Times New Roman"/>
        </w:rPr>
        <w:t>/</w:t>
      </w:r>
      <w:r w:rsidRPr="00C607F2">
        <w:rPr>
          <w:rFonts w:ascii="Times New Roman" w:hAnsi="Times New Roman" w:cs="Times New Roman"/>
        </w:rPr>
        <w:t>长链脂肪乳注射液（</w:t>
      </w:r>
      <w:r w:rsidRPr="00C607F2">
        <w:rPr>
          <w:rFonts w:ascii="Times New Roman" w:hAnsi="Times New Roman" w:cs="Times New Roman"/>
        </w:rPr>
        <w:t>Etomidate Medium and Long Chain Fat Emulsion Injection</w:t>
      </w:r>
      <w:r w:rsidRPr="00C607F2">
        <w:rPr>
          <w:rFonts w:ascii="Times New Roman" w:hAnsi="Times New Roman" w:cs="Times New Roman"/>
        </w:rPr>
        <w:t>）用于成人、</w:t>
      </w:r>
      <w:r w:rsidRPr="00C607F2">
        <w:rPr>
          <w:rFonts w:ascii="Times New Roman" w:hAnsi="Times New Roman" w:cs="Times New Roman"/>
        </w:rPr>
        <w:t>6</w:t>
      </w:r>
      <w:r w:rsidRPr="00C607F2">
        <w:rPr>
          <w:rFonts w:ascii="Times New Roman" w:hAnsi="Times New Roman" w:cs="Times New Roman"/>
        </w:rPr>
        <w:t>个月以上婴幼儿、儿童和青少年的全身麻醉诱导</w:t>
      </w:r>
      <w:r w:rsidRPr="005B6043">
        <w:rPr>
          <w:rFonts w:ascii="Times New Roman" w:hAnsi="Times New Roman" w:cs="Times New Roman"/>
        </w:rPr>
        <w:t>。主要成份为</w:t>
      </w:r>
      <w:r w:rsidRPr="00C607F2">
        <w:rPr>
          <w:rFonts w:ascii="Times New Roman" w:hAnsi="Times New Roman" w:cs="Times New Roman" w:hint="eastAsia"/>
        </w:rPr>
        <w:t>依托咪酯</w:t>
      </w:r>
      <w:r w:rsidRPr="009D7813">
        <w:rPr>
          <w:rFonts w:ascii="Times New Roman" w:hAnsi="Times New Roman" w:cs="Times New Roman"/>
        </w:rPr>
        <w:t>。</w:t>
      </w:r>
    </w:p>
    <w:p w:rsidR="00635C83" w:rsidRPr="009D7813" w:rsidRDefault="00635C83" w:rsidP="00635C83">
      <w:pPr>
        <w:spacing w:line="360" w:lineRule="auto"/>
        <w:ind w:firstLineChars="200" w:firstLine="640"/>
        <w:rPr>
          <w:rFonts w:ascii="Times New Roman" w:hAnsi="Times New Roman" w:cs="Times New Roman"/>
        </w:rPr>
      </w:pPr>
      <w:r w:rsidRPr="009D7813">
        <w:rPr>
          <w:rFonts w:ascii="Times New Roman" w:hAnsi="Times New Roman" w:cs="Times New Roman"/>
        </w:rPr>
        <w:t>目前，我国尚无本品生物等效性研究技术指导原则。为构建以指导原则为核心的审评标准体系，进一步规范</w:t>
      </w:r>
      <w:r w:rsidRPr="00FF2B6E">
        <w:rPr>
          <w:rFonts w:ascii="Times New Roman" w:hAnsi="Times New Roman" w:cs="Times New Roman" w:hint="eastAsia"/>
        </w:rPr>
        <w:t>依托咪酯中</w:t>
      </w:r>
      <w:r w:rsidRPr="00FF2B6E">
        <w:rPr>
          <w:rFonts w:ascii="Times New Roman" w:hAnsi="Times New Roman" w:cs="Times New Roman"/>
        </w:rPr>
        <w:t>/</w:t>
      </w:r>
      <w:r w:rsidRPr="00FF2B6E">
        <w:rPr>
          <w:rFonts w:ascii="Times New Roman" w:hAnsi="Times New Roman" w:cs="Times New Roman"/>
        </w:rPr>
        <w:t>长链脂肪乳注射</w:t>
      </w:r>
      <w:r w:rsidR="00832BC5" w:rsidRPr="00832BC5">
        <w:rPr>
          <w:rFonts w:ascii="Times New Roman" w:hAnsi="Times New Roman" w:cs="Times New Roman" w:hint="eastAsia"/>
        </w:rPr>
        <w:t>液</w:t>
      </w:r>
      <w:r w:rsidRPr="009D7813">
        <w:rPr>
          <w:rFonts w:ascii="Times New Roman" w:hAnsi="Times New Roman" w:cs="Times New Roman"/>
        </w:rPr>
        <w:t>生物等效性研究，药审中心组织起草了本指导原则，以期为</w:t>
      </w:r>
      <w:r w:rsidRPr="00FF2B6E">
        <w:rPr>
          <w:rFonts w:ascii="Times New Roman" w:hAnsi="Times New Roman" w:cs="Times New Roman" w:hint="eastAsia"/>
        </w:rPr>
        <w:t>依托咪酯中</w:t>
      </w:r>
      <w:r w:rsidRPr="00FF2B6E">
        <w:rPr>
          <w:rFonts w:ascii="Times New Roman" w:hAnsi="Times New Roman" w:cs="Times New Roman"/>
        </w:rPr>
        <w:t>/</w:t>
      </w:r>
      <w:r w:rsidRPr="00FF2B6E">
        <w:rPr>
          <w:rFonts w:ascii="Times New Roman" w:hAnsi="Times New Roman" w:cs="Times New Roman"/>
        </w:rPr>
        <w:t>长链脂肪乳注射</w:t>
      </w:r>
      <w:r w:rsidR="00832BC5" w:rsidRPr="00832BC5">
        <w:rPr>
          <w:rFonts w:ascii="Times New Roman" w:hAnsi="Times New Roman" w:cs="Times New Roman" w:hint="eastAsia"/>
        </w:rPr>
        <w:t>液</w:t>
      </w:r>
      <w:r w:rsidRPr="009D7813">
        <w:rPr>
          <w:rFonts w:ascii="Times New Roman" w:hAnsi="Times New Roman" w:cs="Times New Roman"/>
        </w:rPr>
        <w:t>生物等效性研究提供技术指导。</w:t>
      </w:r>
    </w:p>
    <w:p w:rsidR="00635C83" w:rsidRPr="00075DF1" w:rsidRDefault="00635C83" w:rsidP="00635C83">
      <w:pPr>
        <w:spacing w:line="360" w:lineRule="auto"/>
        <w:ind w:firstLineChars="200" w:firstLine="640"/>
        <w:rPr>
          <w:rFonts w:ascii="Times New Roman" w:eastAsia="黑体" w:hAnsi="Times New Roman" w:cs="Times New Roman"/>
        </w:rPr>
      </w:pPr>
      <w:r w:rsidRPr="00075DF1">
        <w:rPr>
          <w:rFonts w:ascii="Times New Roman" w:eastAsia="黑体" w:hAnsi="Times New Roman" w:cs="Times New Roman"/>
        </w:rPr>
        <w:t>二、起草过程</w:t>
      </w:r>
    </w:p>
    <w:p w:rsidR="00635C83" w:rsidRPr="00015D07" w:rsidRDefault="00635C83" w:rsidP="00635C83">
      <w:pPr>
        <w:spacing w:line="360" w:lineRule="auto"/>
        <w:ind w:firstLineChars="200" w:firstLine="640"/>
        <w:rPr>
          <w:rFonts w:ascii="楷体_GB2312" w:eastAsia="楷体_GB2312" w:hAnsi="Times New Roman" w:cs="Times New Roman"/>
        </w:rPr>
      </w:pPr>
      <w:r w:rsidRPr="00015D07">
        <w:rPr>
          <w:rFonts w:ascii="楷体_GB2312" w:eastAsia="楷体_GB2312" w:hAnsi="Times New Roman" w:cs="Times New Roman" w:hint="eastAsia"/>
        </w:rPr>
        <w:t>（一）起草前期调研论证情况</w:t>
      </w:r>
    </w:p>
    <w:p w:rsidR="00635C83" w:rsidRDefault="00635C83" w:rsidP="00635C83">
      <w:pPr>
        <w:spacing w:line="360" w:lineRule="auto"/>
        <w:ind w:firstLineChars="200" w:firstLine="640"/>
        <w:rPr>
          <w:rFonts w:ascii="Times New Roman" w:hAnsi="Times New Roman" w:cs="Times New Roman"/>
        </w:rPr>
      </w:pPr>
      <w:r>
        <w:rPr>
          <w:rFonts w:ascii="Times New Roman" w:hAnsi="Times New Roman" w:cs="Times New Roman" w:hint="eastAsia"/>
        </w:rPr>
        <w:t>FDA</w:t>
      </w:r>
      <w:r>
        <w:rPr>
          <w:rFonts w:ascii="Times New Roman" w:hAnsi="Times New Roman" w:cs="Times New Roman" w:hint="eastAsia"/>
        </w:rPr>
        <w:t>、</w:t>
      </w:r>
      <w:r>
        <w:rPr>
          <w:rFonts w:ascii="Times New Roman" w:hAnsi="Times New Roman" w:cs="Times New Roman"/>
        </w:rPr>
        <w:t>EMA</w:t>
      </w:r>
      <w:r w:rsidRPr="00FF2B6E">
        <w:rPr>
          <w:rFonts w:ascii="Times New Roman" w:hAnsi="Times New Roman" w:cs="Times New Roman" w:hint="eastAsia"/>
        </w:rPr>
        <w:t>尚</w:t>
      </w:r>
      <w:r>
        <w:rPr>
          <w:rFonts w:ascii="Times New Roman" w:hAnsi="Times New Roman" w:cs="Times New Roman" w:hint="eastAsia"/>
        </w:rPr>
        <w:t>未发布</w:t>
      </w:r>
      <w:r w:rsidRPr="00FF2B6E">
        <w:rPr>
          <w:rFonts w:ascii="Times New Roman" w:hAnsi="Times New Roman" w:cs="Times New Roman" w:hint="eastAsia"/>
        </w:rPr>
        <w:t>依托咪酯中</w:t>
      </w:r>
      <w:r w:rsidRPr="00FF2B6E">
        <w:rPr>
          <w:rFonts w:ascii="Times New Roman" w:hAnsi="Times New Roman" w:cs="Times New Roman"/>
        </w:rPr>
        <w:t>/</w:t>
      </w:r>
      <w:r w:rsidRPr="00FF2B6E">
        <w:rPr>
          <w:rFonts w:ascii="Times New Roman" w:hAnsi="Times New Roman" w:cs="Times New Roman"/>
        </w:rPr>
        <w:t>长链脂肪乳注射</w:t>
      </w:r>
      <w:r w:rsidR="00832BC5" w:rsidRPr="00832BC5">
        <w:rPr>
          <w:rFonts w:ascii="Times New Roman" w:hAnsi="Times New Roman" w:cs="Times New Roman" w:hint="eastAsia"/>
        </w:rPr>
        <w:t>液</w:t>
      </w:r>
      <w:r>
        <w:rPr>
          <w:rFonts w:ascii="Times New Roman" w:hAnsi="Times New Roman" w:cs="Times New Roman" w:hint="eastAsia"/>
        </w:rPr>
        <w:t>的</w:t>
      </w:r>
      <w:r>
        <w:rPr>
          <w:rFonts w:ascii="Times New Roman" w:hAnsi="Times New Roman" w:cs="Times New Roman"/>
        </w:rPr>
        <w:t>个药指导原则</w:t>
      </w:r>
      <w:r>
        <w:rPr>
          <w:rFonts w:ascii="Times New Roman" w:hAnsi="Times New Roman" w:cs="Times New Roman" w:hint="eastAsia"/>
        </w:rPr>
        <w:t>。</w:t>
      </w:r>
    </w:p>
    <w:p w:rsidR="00635C83" w:rsidRDefault="00635C83" w:rsidP="00635C83">
      <w:pPr>
        <w:spacing w:line="360" w:lineRule="auto"/>
        <w:ind w:firstLineChars="200" w:firstLine="640"/>
        <w:rPr>
          <w:rFonts w:ascii="Times New Roman" w:hAnsi="Times New Roman" w:cs="Times New Roman"/>
        </w:rPr>
      </w:pPr>
      <w:r>
        <w:rPr>
          <w:rFonts w:ascii="Times New Roman" w:hAnsi="Times New Roman" w:cs="Times New Roman" w:hint="eastAsia"/>
        </w:rPr>
        <w:t>目前</w:t>
      </w:r>
      <w:r>
        <w:rPr>
          <w:rFonts w:ascii="Times New Roman" w:hAnsi="Times New Roman" w:cs="Times New Roman"/>
        </w:rPr>
        <w:t>，</w:t>
      </w:r>
      <w:r w:rsidRPr="00A20275">
        <w:rPr>
          <w:rFonts w:ascii="Times New Roman" w:hAnsi="Times New Roman" w:cs="Times New Roman" w:hint="eastAsia"/>
        </w:rPr>
        <w:t>我国已按照现行《注册管理办法》新注册分类及现行标准批准</w:t>
      </w:r>
      <w:r>
        <w:rPr>
          <w:rFonts w:ascii="Times New Roman" w:hAnsi="Times New Roman" w:cs="Times New Roman" w:hint="eastAsia"/>
        </w:rPr>
        <w:t>1</w:t>
      </w:r>
      <w:r>
        <w:rPr>
          <w:rFonts w:ascii="Times New Roman" w:hAnsi="Times New Roman" w:cs="Times New Roman" w:hint="eastAsia"/>
        </w:rPr>
        <w:t>个</w:t>
      </w:r>
      <w:r w:rsidRPr="00FF2B6E">
        <w:rPr>
          <w:rFonts w:ascii="Times New Roman" w:hAnsi="Times New Roman" w:cs="Times New Roman" w:hint="eastAsia"/>
        </w:rPr>
        <w:t>依托咪酯中</w:t>
      </w:r>
      <w:r w:rsidRPr="00FF2B6E">
        <w:rPr>
          <w:rFonts w:ascii="Times New Roman" w:hAnsi="Times New Roman" w:cs="Times New Roman"/>
        </w:rPr>
        <w:t>/</w:t>
      </w:r>
      <w:r w:rsidRPr="00FF2B6E">
        <w:rPr>
          <w:rFonts w:ascii="Times New Roman" w:hAnsi="Times New Roman" w:cs="Times New Roman"/>
        </w:rPr>
        <w:t>长链脂肪乳注射</w:t>
      </w:r>
      <w:r w:rsidR="00832BC5" w:rsidRPr="00832BC5">
        <w:rPr>
          <w:rFonts w:ascii="Times New Roman" w:hAnsi="Times New Roman" w:cs="Times New Roman" w:hint="eastAsia"/>
        </w:rPr>
        <w:t>液</w:t>
      </w:r>
      <w:r w:rsidRPr="00A20275">
        <w:rPr>
          <w:rFonts w:ascii="Times New Roman" w:hAnsi="Times New Roman" w:cs="Times New Roman" w:hint="eastAsia"/>
        </w:rPr>
        <w:t>仿制药上市申请，</w:t>
      </w:r>
      <w:r>
        <w:rPr>
          <w:rFonts w:ascii="Times New Roman" w:hAnsi="Times New Roman" w:cs="Times New Roman" w:hint="eastAsia"/>
        </w:rPr>
        <w:t>2</w:t>
      </w:r>
      <w:r>
        <w:rPr>
          <w:rFonts w:ascii="Times New Roman" w:hAnsi="Times New Roman" w:cs="Times New Roman" w:hint="eastAsia"/>
        </w:rPr>
        <w:t>个</w:t>
      </w:r>
      <w:r>
        <w:rPr>
          <w:rFonts w:ascii="Times New Roman" w:hAnsi="Times New Roman" w:cs="Times New Roman"/>
        </w:rPr>
        <w:t>正在</w:t>
      </w:r>
      <w:r>
        <w:rPr>
          <w:rFonts w:ascii="Times New Roman" w:hAnsi="Times New Roman" w:cs="Times New Roman" w:hint="eastAsia"/>
        </w:rPr>
        <w:t>审评中</w:t>
      </w: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hint="eastAsia"/>
        </w:rPr>
        <w:t>个已</w:t>
      </w:r>
      <w:r>
        <w:rPr>
          <w:rFonts w:ascii="Times New Roman" w:hAnsi="Times New Roman" w:cs="Times New Roman"/>
        </w:rPr>
        <w:t>备案开展生物等效性研究。</w:t>
      </w:r>
    </w:p>
    <w:p w:rsidR="00635C83" w:rsidRDefault="00635C83" w:rsidP="00635C83">
      <w:pPr>
        <w:spacing w:line="360" w:lineRule="auto"/>
        <w:ind w:firstLineChars="200" w:firstLine="640"/>
        <w:rPr>
          <w:rFonts w:ascii="Times New Roman" w:hAnsi="Times New Roman" w:cs="Times New Roman"/>
        </w:rPr>
      </w:pPr>
      <w:r>
        <w:rPr>
          <w:rFonts w:ascii="Times New Roman" w:hAnsi="Times New Roman" w:cs="Times New Roman" w:hint="eastAsia"/>
        </w:rPr>
        <w:t>结合</w:t>
      </w:r>
      <w:r>
        <w:rPr>
          <w:rFonts w:ascii="Times New Roman" w:hAnsi="Times New Roman" w:cs="Times New Roman"/>
        </w:rPr>
        <w:t>国内已有的研究数据</w:t>
      </w:r>
      <w:r>
        <w:rPr>
          <w:rFonts w:ascii="Times New Roman" w:hAnsi="Times New Roman" w:cs="Times New Roman" w:hint="eastAsia"/>
        </w:rPr>
        <w:t>、</w:t>
      </w:r>
      <w:r>
        <w:rPr>
          <w:rFonts w:ascii="Times New Roman" w:hAnsi="Times New Roman" w:cs="Times New Roman"/>
        </w:rPr>
        <w:t>备案情况等，</w:t>
      </w:r>
      <w:r>
        <w:rPr>
          <w:rFonts w:ascii="Times New Roman" w:hAnsi="Times New Roman" w:cs="Times New Roman" w:hint="eastAsia"/>
        </w:rPr>
        <w:t>对</w:t>
      </w:r>
      <w:r w:rsidRPr="00236EF9">
        <w:rPr>
          <w:rFonts w:ascii="Times New Roman" w:hAnsi="Times New Roman" w:cs="Times New Roman" w:hint="eastAsia"/>
        </w:rPr>
        <w:t>依托咪酯中</w:t>
      </w:r>
      <w:r w:rsidRPr="00236EF9">
        <w:rPr>
          <w:rFonts w:ascii="Times New Roman" w:hAnsi="Times New Roman" w:cs="Times New Roman"/>
        </w:rPr>
        <w:lastRenderedPageBreak/>
        <w:t>/</w:t>
      </w:r>
      <w:r>
        <w:rPr>
          <w:rFonts w:ascii="Times New Roman" w:hAnsi="Times New Roman" w:cs="Times New Roman"/>
        </w:rPr>
        <w:t>长链脂肪乳</w:t>
      </w:r>
      <w:r>
        <w:rPr>
          <w:rFonts w:ascii="Times New Roman" w:hAnsi="Times New Roman" w:cs="Times New Roman" w:hint="eastAsia"/>
        </w:rPr>
        <w:t>注射液</w:t>
      </w:r>
      <w:r>
        <w:rPr>
          <w:rFonts w:ascii="Times New Roman" w:hAnsi="Times New Roman" w:cs="Times New Roman"/>
        </w:rPr>
        <w:t>生物等效性研究的</w:t>
      </w:r>
      <w:r>
        <w:rPr>
          <w:rFonts w:ascii="Times New Roman" w:hAnsi="Times New Roman" w:cs="Times New Roman" w:hint="eastAsia"/>
        </w:rPr>
        <w:t>设计做出推荐。</w:t>
      </w:r>
    </w:p>
    <w:p w:rsidR="00635C83" w:rsidRPr="003F4352" w:rsidRDefault="00635C83" w:rsidP="00635C83">
      <w:pPr>
        <w:spacing w:line="360" w:lineRule="auto"/>
        <w:ind w:firstLineChars="200" w:firstLine="640"/>
        <w:rPr>
          <w:rFonts w:ascii="楷体_GB2312" w:eastAsia="楷体_GB2312" w:hAnsi="Times New Roman" w:cs="Times New Roman"/>
        </w:rPr>
      </w:pPr>
      <w:r w:rsidRPr="003F4352">
        <w:rPr>
          <w:rFonts w:ascii="楷体_GB2312" w:eastAsia="楷体_GB2312" w:hAnsi="Times New Roman" w:cs="Times New Roman" w:hint="eastAsia"/>
        </w:rPr>
        <w:t>（二）指导原则制定或修订情况</w:t>
      </w:r>
    </w:p>
    <w:p w:rsidR="00635C83" w:rsidRPr="009D7813" w:rsidRDefault="00635C83" w:rsidP="00635C83">
      <w:pPr>
        <w:spacing w:line="360" w:lineRule="auto"/>
        <w:ind w:firstLineChars="200" w:firstLine="640"/>
        <w:rPr>
          <w:rFonts w:ascii="Times New Roman" w:hAnsi="Times New Roman" w:cs="Times New Roman"/>
        </w:rPr>
      </w:pPr>
      <w:r w:rsidRPr="009D7813">
        <w:rPr>
          <w:rFonts w:ascii="Times New Roman" w:hAnsi="Times New Roman" w:cs="Times New Roman"/>
        </w:rPr>
        <w:t>本指导原则由统计与临床药理学部</w:t>
      </w:r>
      <w:r>
        <w:rPr>
          <w:rFonts w:ascii="Times New Roman" w:hAnsi="Times New Roman" w:cs="Times New Roman" w:hint="eastAsia"/>
        </w:rPr>
        <w:t>起草</w:t>
      </w:r>
      <w:r w:rsidRPr="009D7813">
        <w:rPr>
          <w:rFonts w:ascii="Times New Roman" w:hAnsi="Times New Roman" w:cs="Times New Roman"/>
        </w:rPr>
        <w:t>，纳入了中心</w:t>
      </w:r>
      <w:r w:rsidRPr="009D7813">
        <w:rPr>
          <w:rFonts w:ascii="Times New Roman" w:hAnsi="Times New Roman" w:cs="Times New Roman"/>
        </w:rPr>
        <w:t>20</w:t>
      </w:r>
      <w:r>
        <w:rPr>
          <w:rFonts w:ascii="Times New Roman" w:hAnsi="Times New Roman" w:cs="Times New Roman"/>
        </w:rPr>
        <w:t>23</w:t>
      </w:r>
      <w:r w:rsidRPr="009D7813">
        <w:rPr>
          <w:rFonts w:ascii="Times New Roman" w:hAnsi="Times New Roman" w:cs="Times New Roman"/>
        </w:rPr>
        <w:t>年指导原则制修订计划</w:t>
      </w:r>
      <w:r>
        <w:rPr>
          <w:rFonts w:ascii="Times New Roman" w:hAnsi="Times New Roman" w:cs="Times New Roman" w:hint="eastAsia"/>
        </w:rPr>
        <w:t>。</w:t>
      </w:r>
      <w:r w:rsidRPr="009D7813">
        <w:rPr>
          <w:rFonts w:ascii="Times New Roman" w:hAnsi="Times New Roman" w:cs="Times New Roman"/>
        </w:rPr>
        <w:t>根据个药指导原则制定计划，统计与临床药理学部成立工作组，深入调研了美、欧、日等国的生物等效性技术要求及评判标准、审评报告、相关文献等，</w:t>
      </w:r>
      <w:r>
        <w:rPr>
          <w:rFonts w:ascii="Times New Roman" w:hAnsi="Times New Roman" w:cs="Times New Roman" w:hint="eastAsia"/>
        </w:rPr>
        <w:t>参考国内既往</w:t>
      </w:r>
      <w:r>
        <w:rPr>
          <w:rFonts w:ascii="Times New Roman" w:hAnsi="Times New Roman" w:cs="Times New Roman"/>
        </w:rPr>
        <w:t>审评经验，</w:t>
      </w:r>
      <w:r w:rsidRPr="009D7813">
        <w:rPr>
          <w:rFonts w:ascii="Times New Roman" w:hAnsi="Times New Roman" w:cs="Times New Roman"/>
        </w:rPr>
        <w:t>于</w:t>
      </w:r>
      <w:r w:rsidRPr="008626D9">
        <w:rPr>
          <w:rFonts w:ascii="Times New Roman" w:hAnsi="Times New Roman" w:cs="Times New Roman" w:hint="eastAsia"/>
        </w:rPr>
        <w:t>部门内</w:t>
      </w:r>
      <w:r w:rsidRPr="009D7813">
        <w:rPr>
          <w:rFonts w:ascii="Times New Roman" w:hAnsi="Times New Roman" w:cs="Times New Roman"/>
        </w:rPr>
        <w:t>开展多次讨论，初步形成指导原则初稿。</w:t>
      </w:r>
    </w:p>
    <w:p w:rsidR="00635C83" w:rsidRDefault="00635C83" w:rsidP="00635C83">
      <w:pPr>
        <w:spacing w:line="360" w:lineRule="auto"/>
        <w:ind w:firstLineChars="200" w:firstLine="640"/>
        <w:rPr>
          <w:rFonts w:ascii="Times New Roman" w:hAnsi="Times New Roman" w:cs="Times New Roman"/>
        </w:rPr>
      </w:pPr>
      <w:r w:rsidRPr="00747AD6">
        <w:rPr>
          <w:rFonts w:ascii="Times New Roman" w:hAnsi="Times New Roman" w:cs="Times New Roman"/>
        </w:rPr>
        <w:t>2022</w:t>
      </w:r>
      <w:r w:rsidRPr="00747AD6">
        <w:rPr>
          <w:rFonts w:ascii="Times New Roman" w:hAnsi="Times New Roman" w:cs="Times New Roman"/>
        </w:rPr>
        <w:t>年</w:t>
      </w:r>
      <w:r>
        <w:rPr>
          <w:rFonts w:ascii="Times New Roman" w:hAnsi="Times New Roman" w:cs="Times New Roman"/>
        </w:rPr>
        <w:t>6</w:t>
      </w:r>
      <w:r w:rsidRPr="00747AD6">
        <w:rPr>
          <w:rFonts w:ascii="Times New Roman" w:hAnsi="Times New Roman" w:cs="Times New Roman"/>
        </w:rPr>
        <w:t>月</w:t>
      </w:r>
      <w:r w:rsidRPr="009D7813">
        <w:rPr>
          <w:rFonts w:ascii="Times New Roman" w:hAnsi="Times New Roman" w:cs="Times New Roman"/>
        </w:rPr>
        <w:t>，邀请学术界、产业界等多位一线专家召开改稿会，对关键技术要点进行研讨，并经中心内部征求意见和部门技术委员会审核，形成征求意见稿。</w:t>
      </w:r>
    </w:p>
    <w:p w:rsidR="00635C83" w:rsidRPr="009D7813" w:rsidRDefault="00635C83" w:rsidP="00635C83">
      <w:pPr>
        <w:spacing w:line="360" w:lineRule="auto"/>
        <w:ind w:firstLineChars="200" w:firstLine="640"/>
        <w:rPr>
          <w:rFonts w:ascii="黑体" w:eastAsia="黑体" w:hAnsi="黑体"/>
        </w:rPr>
      </w:pPr>
      <w:r w:rsidRPr="009D7813">
        <w:rPr>
          <w:rFonts w:ascii="黑体" w:eastAsia="黑体" w:hAnsi="黑体"/>
        </w:rPr>
        <w:t>三、</w:t>
      </w:r>
      <w:r>
        <w:rPr>
          <w:rFonts w:ascii="黑体" w:eastAsia="黑体" w:hAnsi="黑体" w:hint="eastAsia"/>
        </w:rPr>
        <w:t>起草思路</w:t>
      </w:r>
    </w:p>
    <w:p w:rsidR="00635C83" w:rsidRPr="00AC35C4" w:rsidRDefault="00635C83" w:rsidP="00635C83">
      <w:pPr>
        <w:spacing w:line="360" w:lineRule="auto"/>
        <w:ind w:firstLineChars="200" w:firstLine="640"/>
        <w:rPr>
          <w:rFonts w:ascii="Times New Roman" w:hAnsi="Times New Roman" w:cs="Times New Roman"/>
        </w:rPr>
      </w:pPr>
      <w:bookmarkStart w:id="0" w:name="OLE_LINK1"/>
      <w:bookmarkStart w:id="1" w:name="OLE_LINK2"/>
      <w:r w:rsidRPr="003E787E">
        <w:rPr>
          <w:rFonts w:ascii="Times New Roman" w:hAnsi="Times New Roman" w:cs="Times New Roman" w:hint="eastAsia"/>
        </w:rPr>
        <w:t>依托咪酯中</w:t>
      </w:r>
      <w:r w:rsidRPr="003E787E">
        <w:rPr>
          <w:rFonts w:ascii="Times New Roman" w:hAnsi="Times New Roman" w:cs="Times New Roman"/>
        </w:rPr>
        <w:t>/</w:t>
      </w:r>
      <w:r w:rsidRPr="003E787E">
        <w:rPr>
          <w:rFonts w:ascii="Times New Roman" w:hAnsi="Times New Roman" w:cs="Times New Roman"/>
        </w:rPr>
        <w:t>长链脂肪乳注射液</w:t>
      </w:r>
      <w:r w:rsidRPr="003B0F12">
        <w:rPr>
          <w:rFonts w:ascii="Times New Roman" w:hAnsi="Times New Roman" w:cs="Times New Roman" w:hint="eastAsia"/>
        </w:rPr>
        <w:t>用于成人、</w:t>
      </w:r>
      <w:r w:rsidRPr="003B0F12">
        <w:rPr>
          <w:rFonts w:ascii="Times New Roman" w:hAnsi="Times New Roman" w:cs="Times New Roman"/>
        </w:rPr>
        <w:t>6</w:t>
      </w:r>
      <w:r w:rsidRPr="003B0F12">
        <w:rPr>
          <w:rFonts w:ascii="Times New Roman" w:hAnsi="Times New Roman" w:cs="Times New Roman"/>
        </w:rPr>
        <w:t>个月以上婴幼儿、儿童和青少年的全身麻醉诱导</w:t>
      </w:r>
      <w:r>
        <w:rPr>
          <w:rFonts w:ascii="Times New Roman" w:hAnsi="Times New Roman" w:cs="Times New Roman" w:hint="eastAsia"/>
        </w:rPr>
        <w:t>，属于</w:t>
      </w:r>
      <w:r>
        <w:rPr>
          <w:rFonts w:ascii="Times New Roman" w:hAnsi="Times New Roman" w:cs="Times New Roman"/>
        </w:rPr>
        <w:t>特殊注射液，</w:t>
      </w:r>
      <w:r>
        <w:rPr>
          <w:rFonts w:ascii="Times New Roman" w:hAnsi="Times New Roman" w:cs="Times New Roman" w:hint="eastAsia"/>
        </w:rPr>
        <w:t>在</w:t>
      </w:r>
      <w:r>
        <w:rPr>
          <w:rFonts w:ascii="Times New Roman" w:hAnsi="Times New Roman" w:cs="Times New Roman"/>
        </w:rPr>
        <w:t>生物等效性研究中应关注给药剂量、方法、</w:t>
      </w:r>
      <w:r w:rsidRPr="003B0F12">
        <w:rPr>
          <w:rFonts w:ascii="Times New Roman" w:hAnsi="Times New Roman" w:cs="Times New Roman" w:hint="eastAsia"/>
        </w:rPr>
        <w:t>生物等效性评价</w:t>
      </w:r>
      <w:r>
        <w:rPr>
          <w:rFonts w:ascii="Times New Roman" w:hAnsi="Times New Roman" w:cs="Times New Roman" w:hint="eastAsia"/>
        </w:rPr>
        <w:t>、安全性监测</w:t>
      </w:r>
      <w:r>
        <w:rPr>
          <w:rFonts w:ascii="Times New Roman" w:hAnsi="Times New Roman" w:cs="Times New Roman"/>
        </w:rPr>
        <w:t>、</w:t>
      </w:r>
      <w:r>
        <w:rPr>
          <w:rFonts w:ascii="Times New Roman" w:hAnsi="Times New Roman" w:cs="Times New Roman"/>
        </w:rPr>
        <w:t>PD</w:t>
      </w:r>
      <w:r>
        <w:rPr>
          <w:rFonts w:ascii="Times New Roman" w:hAnsi="Times New Roman" w:cs="Times New Roman"/>
        </w:rPr>
        <w:t>评价</w:t>
      </w:r>
      <w:r>
        <w:rPr>
          <w:rFonts w:ascii="Times New Roman" w:hAnsi="Times New Roman" w:cs="Times New Roman" w:hint="eastAsia"/>
        </w:rPr>
        <w:t>等。</w:t>
      </w:r>
    </w:p>
    <w:p w:rsidR="00635C83" w:rsidRPr="00F16574" w:rsidRDefault="00635C83" w:rsidP="00635C83">
      <w:pPr>
        <w:spacing w:line="360" w:lineRule="auto"/>
        <w:ind w:firstLineChars="200" w:firstLine="640"/>
        <w:rPr>
          <w:rFonts w:ascii="Times New Roman" w:hAnsi="Times New Roman" w:cs="Times New Roman"/>
        </w:rPr>
      </w:pPr>
      <w:r w:rsidRPr="00F16574">
        <w:rPr>
          <w:rFonts w:ascii="黑体" w:eastAsia="黑体" w:hAnsi="黑体" w:hint="eastAsia"/>
        </w:rPr>
        <w:t>四、主要内容</w:t>
      </w:r>
    </w:p>
    <w:p w:rsidR="00635C83" w:rsidRDefault="00635C83" w:rsidP="00635C83">
      <w:pPr>
        <w:spacing w:line="360" w:lineRule="auto"/>
        <w:ind w:firstLineChars="200" w:firstLine="640"/>
        <w:rPr>
          <w:rFonts w:ascii="Times New Roman" w:hAnsi="Times New Roman" w:cs="Times New Roman"/>
        </w:rPr>
      </w:pPr>
      <w:r w:rsidRPr="009D7813">
        <w:rPr>
          <w:rFonts w:ascii="Times New Roman" w:hAnsi="Times New Roman" w:cs="Times New Roman"/>
        </w:rPr>
        <w:t>本指导原则旨在为</w:t>
      </w:r>
      <w:r w:rsidRPr="003B0F12">
        <w:rPr>
          <w:rFonts w:ascii="Times New Roman" w:hAnsi="Times New Roman" w:cs="Times New Roman" w:hint="eastAsia"/>
        </w:rPr>
        <w:t>依托咪酯中</w:t>
      </w:r>
      <w:r w:rsidRPr="003B0F12">
        <w:rPr>
          <w:rFonts w:ascii="Times New Roman" w:hAnsi="Times New Roman" w:cs="Times New Roman"/>
        </w:rPr>
        <w:t>/</w:t>
      </w:r>
      <w:r w:rsidRPr="003B0F12">
        <w:rPr>
          <w:rFonts w:ascii="Times New Roman" w:hAnsi="Times New Roman" w:cs="Times New Roman"/>
        </w:rPr>
        <w:t>长链脂肪乳注射液</w:t>
      </w:r>
      <w:r w:rsidRPr="009D7813">
        <w:rPr>
          <w:rFonts w:ascii="Times New Roman" w:hAnsi="Times New Roman" w:cs="Times New Roman"/>
        </w:rPr>
        <w:t>生物等效性研究提供技术指导，主要内容包括研究类型、受试人群、给药剂量</w:t>
      </w:r>
      <w:r w:rsidRPr="003B0F12">
        <w:rPr>
          <w:rFonts w:ascii="Times New Roman" w:hAnsi="Times New Roman" w:cs="Times New Roman" w:hint="eastAsia"/>
        </w:rPr>
        <w:t>和方法</w:t>
      </w:r>
      <w:r w:rsidRPr="009D7813">
        <w:rPr>
          <w:rFonts w:ascii="Times New Roman" w:hAnsi="Times New Roman" w:cs="Times New Roman"/>
        </w:rPr>
        <w:t>、血样采集、检测物质、生物等效性评价</w:t>
      </w:r>
      <w:r>
        <w:rPr>
          <w:rFonts w:ascii="Times New Roman" w:hAnsi="Times New Roman" w:cs="Times New Roman" w:hint="eastAsia"/>
        </w:rPr>
        <w:t>以及</w:t>
      </w:r>
      <w:r>
        <w:rPr>
          <w:rFonts w:ascii="Times New Roman" w:hAnsi="Times New Roman" w:cs="Times New Roman"/>
        </w:rPr>
        <w:t>其他</w:t>
      </w:r>
      <w:r w:rsidRPr="009D7813">
        <w:rPr>
          <w:rFonts w:ascii="Times New Roman" w:hAnsi="Times New Roman" w:cs="Times New Roman"/>
        </w:rPr>
        <w:t>等。</w:t>
      </w:r>
    </w:p>
    <w:bookmarkEnd w:id="0"/>
    <w:bookmarkEnd w:id="1"/>
    <w:p w:rsidR="00635C83" w:rsidRPr="00610E13" w:rsidRDefault="00635C83" w:rsidP="00635C83">
      <w:pPr>
        <w:spacing w:line="360" w:lineRule="auto"/>
        <w:ind w:firstLineChars="200" w:firstLine="640"/>
        <w:rPr>
          <w:rFonts w:ascii="Times New Roman" w:hAnsi="Times New Roman" w:cs="Times New Roman"/>
        </w:rPr>
      </w:pPr>
      <w:r w:rsidRPr="009D7813">
        <w:rPr>
          <w:rFonts w:ascii="Times New Roman" w:hAnsi="Times New Roman" w:cs="Times New Roman"/>
        </w:rPr>
        <w:t>本指导原则</w:t>
      </w:r>
      <w:r w:rsidRPr="00C605CE">
        <w:rPr>
          <w:rFonts w:ascii="Times New Roman" w:hAnsi="Times New Roman" w:cs="Times New Roman" w:hint="eastAsia"/>
        </w:rPr>
        <w:t>关键内容为：</w:t>
      </w:r>
      <w:r w:rsidRPr="009D7813">
        <w:rPr>
          <w:rFonts w:ascii="Times New Roman" w:hAnsi="Times New Roman" w:cs="Times New Roman"/>
        </w:rPr>
        <w:t>（</w:t>
      </w:r>
      <w:r w:rsidRPr="009D7813">
        <w:rPr>
          <w:rFonts w:ascii="Times New Roman" w:hAnsi="Times New Roman" w:cs="Times New Roman"/>
        </w:rPr>
        <w:t>1</w:t>
      </w:r>
      <w:r w:rsidRPr="009D7813">
        <w:rPr>
          <w:rFonts w:ascii="Times New Roman" w:hAnsi="Times New Roman" w:cs="Times New Roman"/>
        </w:rPr>
        <w:t>）</w:t>
      </w:r>
      <w:r w:rsidRPr="00BB572B">
        <w:rPr>
          <w:rFonts w:ascii="Times New Roman" w:hAnsi="Times New Roman" w:cs="Times New Roman" w:hint="eastAsia"/>
        </w:rPr>
        <w:t>给药剂量和方法</w:t>
      </w:r>
      <w:r>
        <w:rPr>
          <w:rFonts w:ascii="Times New Roman" w:hAnsi="Times New Roman" w:cs="Times New Roman" w:hint="eastAsia"/>
        </w:rPr>
        <w:t>部分</w:t>
      </w:r>
      <w:r>
        <w:rPr>
          <w:rFonts w:ascii="Times New Roman" w:hAnsi="Times New Roman" w:cs="Times New Roman"/>
        </w:rPr>
        <w:t>，</w:t>
      </w:r>
      <w:r w:rsidRPr="00BB572B">
        <w:rPr>
          <w:rFonts w:ascii="Times New Roman" w:hAnsi="Times New Roman" w:cs="Times New Roman" w:hint="eastAsia"/>
        </w:rPr>
        <w:t>建</w:t>
      </w:r>
      <w:r w:rsidRPr="00BB572B">
        <w:rPr>
          <w:rFonts w:ascii="Times New Roman" w:hAnsi="Times New Roman" w:cs="Times New Roman" w:hint="eastAsia"/>
        </w:rPr>
        <w:lastRenderedPageBreak/>
        <w:t>议采用</w:t>
      </w:r>
      <w:r w:rsidRPr="00BB572B">
        <w:rPr>
          <w:rFonts w:ascii="Times New Roman" w:hAnsi="Times New Roman" w:cs="Times New Roman"/>
        </w:rPr>
        <w:t>5μg/kg/min</w:t>
      </w:r>
      <w:r w:rsidRPr="00BB572B">
        <w:rPr>
          <w:rFonts w:ascii="Times New Roman" w:hAnsi="Times New Roman" w:cs="Times New Roman"/>
        </w:rPr>
        <w:t>的给药速率缓慢静脉输注，持续给药</w:t>
      </w:r>
      <w:r w:rsidRPr="00BB572B">
        <w:rPr>
          <w:rFonts w:ascii="Times New Roman" w:hAnsi="Times New Roman" w:cs="Times New Roman"/>
        </w:rPr>
        <w:t>30min</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其他</w:t>
      </w:r>
      <w:r>
        <w:rPr>
          <w:rFonts w:ascii="Times New Roman" w:hAnsi="Times New Roman" w:cs="Times New Roman"/>
        </w:rPr>
        <w:t>方面，建议在</w:t>
      </w:r>
      <w:r>
        <w:rPr>
          <w:rFonts w:ascii="Times New Roman" w:hAnsi="Times New Roman" w:cs="Times New Roman" w:hint="eastAsia"/>
        </w:rPr>
        <w:t>输注过程中需由麻醉医生在现场进行监护和必要的干预；</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其他</w:t>
      </w:r>
      <w:r>
        <w:rPr>
          <w:rFonts w:ascii="Times New Roman" w:hAnsi="Times New Roman" w:cs="Times New Roman"/>
        </w:rPr>
        <w:t>方面，建议</w:t>
      </w:r>
      <w:r w:rsidRPr="00610E13">
        <w:rPr>
          <w:rFonts w:ascii="Times New Roman" w:hAnsi="Times New Roman" w:cs="Times New Roman" w:hint="eastAsia"/>
        </w:rPr>
        <w:t>研究过程中应监测脑电双频指数（</w:t>
      </w:r>
      <w:r w:rsidRPr="00610E13">
        <w:rPr>
          <w:rFonts w:ascii="Times New Roman" w:hAnsi="Times New Roman" w:cs="Times New Roman"/>
        </w:rPr>
        <w:t>BIS</w:t>
      </w:r>
      <w:r w:rsidRPr="00610E13">
        <w:rPr>
          <w:rFonts w:ascii="Times New Roman" w:hAnsi="Times New Roman" w:cs="Times New Roman"/>
        </w:rPr>
        <w:t>），</w:t>
      </w:r>
      <w:r w:rsidRPr="00610E13">
        <w:rPr>
          <w:rFonts w:ascii="Times New Roman" w:hAnsi="Times New Roman" w:cs="Times New Roman" w:hint="eastAsia"/>
        </w:rPr>
        <w:t>并提交</w:t>
      </w:r>
      <w:r>
        <w:rPr>
          <w:rFonts w:ascii="Times New Roman" w:hAnsi="Times New Roman" w:cs="Times New Roman"/>
        </w:rPr>
        <w:t>BIS</w:t>
      </w:r>
      <w:r w:rsidRPr="00610E13">
        <w:rPr>
          <w:rFonts w:ascii="Times New Roman" w:hAnsi="Times New Roman" w:cs="Times New Roman"/>
          <w:vertAlign w:val="subscript"/>
        </w:rPr>
        <w:t>AUC0-t</w:t>
      </w:r>
      <w:r>
        <w:rPr>
          <w:rFonts w:ascii="Times New Roman" w:hAnsi="Times New Roman" w:cs="Times New Roman" w:hint="eastAsia"/>
        </w:rPr>
        <w:t>、</w:t>
      </w:r>
      <w:r w:rsidRPr="00610E13">
        <w:rPr>
          <w:rFonts w:ascii="Times New Roman" w:hAnsi="Times New Roman" w:cs="Times New Roman"/>
        </w:rPr>
        <w:t>BIS</w:t>
      </w:r>
      <w:r w:rsidRPr="00610E13">
        <w:rPr>
          <w:rFonts w:ascii="Times New Roman" w:hAnsi="Times New Roman" w:cs="Times New Roman"/>
          <w:vertAlign w:val="subscript"/>
        </w:rPr>
        <w:t>min</w:t>
      </w:r>
      <w:r>
        <w:rPr>
          <w:rFonts w:ascii="Times New Roman" w:hAnsi="Times New Roman" w:cs="Times New Roman" w:hint="eastAsia"/>
        </w:rPr>
        <w:t>、</w:t>
      </w:r>
      <w:r w:rsidRPr="00610E13">
        <w:rPr>
          <w:rFonts w:ascii="Times New Roman" w:hAnsi="Times New Roman" w:cs="Times New Roman"/>
        </w:rPr>
        <w:t>t-BIS</w:t>
      </w:r>
      <w:r w:rsidRPr="00610E13">
        <w:rPr>
          <w:rFonts w:ascii="Times New Roman" w:hAnsi="Times New Roman" w:cs="Times New Roman"/>
          <w:vertAlign w:val="subscript"/>
        </w:rPr>
        <w:t>min</w:t>
      </w:r>
      <w:r w:rsidRPr="00610E13">
        <w:rPr>
          <w:rFonts w:ascii="Times New Roman" w:hAnsi="Times New Roman" w:cs="Times New Roman"/>
        </w:rPr>
        <w:t>等结果</w:t>
      </w:r>
    </w:p>
    <w:p w:rsidR="00635C83" w:rsidRDefault="00635C83" w:rsidP="00635C83">
      <w:pPr>
        <w:spacing w:line="360" w:lineRule="auto"/>
        <w:ind w:firstLineChars="200" w:firstLine="640"/>
        <w:rPr>
          <w:rFonts w:ascii="Times New Roman" w:hAnsi="Times New Roman" w:cs="Times New Roman"/>
        </w:rPr>
      </w:pPr>
      <w:r w:rsidRPr="00610E13">
        <w:rPr>
          <w:rFonts w:ascii="Times New Roman" w:hAnsi="Times New Roman" w:cs="Times New Roman" w:hint="eastAsia"/>
        </w:rPr>
        <w:t>依托咪酯中</w:t>
      </w:r>
      <w:r w:rsidRPr="00610E13">
        <w:rPr>
          <w:rFonts w:ascii="Times New Roman" w:hAnsi="Times New Roman" w:cs="Times New Roman"/>
        </w:rPr>
        <w:t>/</w:t>
      </w:r>
      <w:r w:rsidRPr="00610E13">
        <w:rPr>
          <w:rFonts w:ascii="Times New Roman" w:hAnsi="Times New Roman" w:cs="Times New Roman"/>
        </w:rPr>
        <w:t>长链脂肪乳注射液</w:t>
      </w:r>
      <w:r w:rsidRPr="009D7813">
        <w:rPr>
          <w:rFonts w:ascii="Times New Roman" w:hAnsi="Times New Roman" w:cs="Times New Roman"/>
        </w:rPr>
        <w:t>生物等效性研究应符合本指导原则，还应参照《以药动学参数</w:t>
      </w:r>
      <w:r>
        <w:rPr>
          <w:rFonts w:ascii="Times New Roman" w:hAnsi="Times New Roman" w:cs="Times New Roman"/>
        </w:rPr>
        <w:t>为终点评价指标的化学药物仿制药人体生物等效性研究技术指导原则》</w:t>
      </w:r>
      <w:r w:rsidRPr="00AC35C4">
        <w:rPr>
          <w:rFonts w:ascii="Times New Roman" w:hAnsi="Times New Roman" w:cs="Times New Roman" w:hint="eastAsia"/>
        </w:rPr>
        <w:t>、《生物等效性研究的统计学指导原则》</w:t>
      </w:r>
      <w:r w:rsidRPr="009D7813">
        <w:rPr>
          <w:rFonts w:ascii="Times New Roman" w:hAnsi="Times New Roman" w:cs="Times New Roman"/>
        </w:rPr>
        <w:t>等相关指导原则。</w:t>
      </w:r>
    </w:p>
    <w:p w:rsidR="00635C83" w:rsidRPr="00C52120" w:rsidRDefault="00635C83" w:rsidP="00635C83">
      <w:pPr>
        <w:spacing w:line="360" w:lineRule="auto"/>
        <w:ind w:firstLineChars="200" w:firstLine="640"/>
        <w:rPr>
          <w:rFonts w:ascii="Times New Roman" w:hAnsi="Times New Roman" w:cs="Times New Roman"/>
        </w:rPr>
      </w:pPr>
      <w:r w:rsidRPr="00C52120">
        <w:rPr>
          <w:rFonts w:ascii="黑体" w:eastAsia="黑体" w:hAnsi="黑体" w:hint="eastAsia"/>
        </w:rPr>
        <w:t>五、需要说明的问题</w:t>
      </w:r>
    </w:p>
    <w:p w:rsidR="0027508E" w:rsidRPr="00635C83" w:rsidRDefault="00635C83" w:rsidP="00E75E6E">
      <w:pPr>
        <w:spacing w:line="360" w:lineRule="auto"/>
        <w:ind w:firstLineChars="200" w:firstLine="640"/>
        <w:rPr>
          <w:rFonts w:ascii="Times New Roman" w:hAnsi="Times New Roman" w:cs="Times New Roman" w:hint="eastAsia"/>
        </w:rPr>
      </w:pPr>
      <w:r w:rsidRPr="00C52120">
        <w:rPr>
          <w:rFonts w:ascii="Times New Roman" w:hAnsi="Times New Roman" w:cs="Times New Roman" w:hint="eastAsia"/>
        </w:rPr>
        <w:t>无。</w:t>
      </w:r>
      <w:bookmarkStart w:id="2" w:name="_GoBack"/>
      <w:bookmarkEnd w:id="2"/>
    </w:p>
    <w:sectPr w:rsidR="0027508E" w:rsidRPr="00635C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DCA" w:rsidRDefault="002E1DCA" w:rsidP="00635C83">
      <w:r>
        <w:separator/>
      </w:r>
    </w:p>
  </w:endnote>
  <w:endnote w:type="continuationSeparator" w:id="0">
    <w:p w:rsidR="002E1DCA" w:rsidRDefault="002E1DCA" w:rsidP="0063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DCA" w:rsidRDefault="002E1DCA" w:rsidP="00635C83">
      <w:r>
        <w:separator/>
      </w:r>
    </w:p>
  </w:footnote>
  <w:footnote w:type="continuationSeparator" w:id="0">
    <w:p w:rsidR="002E1DCA" w:rsidRDefault="002E1DCA" w:rsidP="00635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93"/>
    <w:rsid w:val="00001DEC"/>
    <w:rsid w:val="000038F4"/>
    <w:rsid w:val="00015C8A"/>
    <w:rsid w:val="00017554"/>
    <w:rsid w:val="0003537E"/>
    <w:rsid w:val="000456BE"/>
    <w:rsid w:val="000A0193"/>
    <w:rsid w:val="000A2950"/>
    <w:rsid w:val="000D12DA"/>
    <w:rsid w:val="000D45A8"/>
    <w:rsid w:val="000E049A"/>
    <w:rsid w:val="000F0F60"/>
    <w:rsid w:val="001169E0"/>
    <w:rsid w:val="001264A8"/>
    <w:rsid w:val="00156EFD"/>
    <w:rsid w:val="001630BF"/>
    <w:rsid w:val="00181D36"/>
    <w:rsid w:val="00183ABC"/>
    <w:rsid w:val="00187472"/>
    <w:rsid w:val="00203F58"/>
    <w:rsid w:val="002169DA"/>
    <w:rsid w:val="002262EB"/>
    <w:rsid w:val="002264B7"/>
    <w:rsid w:val="002333C2"/>
    <w:rsid w:val="00233B00"/>
    <w:rsid w:val="00242642"/>
    <w:rsid w:val="002472B2"/>
    <w:rsid w:val="0027508E"/>
    <w:rsid w:val="00293FFD"/>
    <w:rsid w:val="00296230"/>
    <w:rsid w:val="002C561E"/>
    <w:rsid w:val="002C59E9"/>
    <w:rsid w:val="002E1DCA"/>
    <w:rsid w:val="002F12C7"/>
    <w:rsid w:val="0031457B"/>
    <w:rsid w:val="003317E3"/>
    <w:rsid w:val="00335197"/>
    <w:rsid w:val="00344869"/>
    <w:rsid w:val="00346B89"/>
    <w:rsid w:val="003A1470"/>
    <w:rsid w:val="003A35B5"/>
    <w:rsid w:val="003A3F55"/>
    <w:rsid w:val="003B4A1A"/>
    <w:rsid w:val="003C551C"/>
    <w:rsid w:val="003E7741"/>
    <w:rsid w:val="003F2D91"/>
    <w:rsid w:val="00410D2B"/>
    <w:rsid w:val="00415EA4"/>
    <w:rsid w:val="0046597B"/>
    <w:rsid w:val="00487729"/>
    <w:rsid w:val="00492948"/>
    <w:rsid w:val="004B2BF9"/>
    <w:rsid w:val="004B693D"/>
    <w:rsid w:val="004F0E6A"/>
    <w:rsid w:val="00502D8D"/>
    <w:rsid w:val="00505275"/>
    <w:rsid w:val="00532CEF"/>
    <w:rsid w:val="005461DE"/>
    <w:rsid w:val="0058496A"/>
    <w:rsid w:val="005850B5"/>
    <w:rsid w:val="005E251D"/>
    <w:rsid w:val="005F7CC2"/>
    <w:rsid w:val="00627CC1"/>
    <w:rsid w:val="00635C83"/>
    <w:rsid w:val="00645EA3"/>
    <w:rsid w:val="00650D38"/>
    <w:rsid w:val="006675DE"/>
    <w:rsid w:val="00683327"/>
    <w:rsid w:val="0068766F"/>
    <w:rsid w:val="00691B30"/>
    <w:rsid w:val="006953E0"/>
    <w:rsid w:val="006B323E"/>
    <w:rsid w:val="006B7DD3"/>
    <w:rsid w:val="006B7E17"/>
    <w:rsid w:val="006E2B2D"/>
    <w:rsid w:val="00755479"/>
    <w:rsid w:val="0075788E"/>
    <w:rsid w:val="00775492"/>
    <w:rsid w:val="00776058"/>
    <w:rsid w:val="00780D82"/>
    <w:rsid w:val="007B0AAE"/>
    <w:rsid w:val="00832BC5"/>
    <w:rsid w:val="00840EDD"/>
    <w:rsid w:val="008674D6"/>
    <w:rsid w:val="008706ED"/>
    <w:rsid w:val="008A533A"/>
    <w:rsid w:val="008C4507"/>
    <w:rsid w:val="008D3EDE"/>
    <w:rsid w:val="008E5896"/>
    <w:rsid w:val="009044AD"/>
    <w:rsid w:val="009154A0"/>
    <w:rsid w:val="009352DA"/>
    <w:rsid w:val="009B3524"/>
    <w:rsid w:val="009E6F3C"/>
    <w:rsid w:val="009F382F"/>
    <w:rsid w:val="00A2490D"/>
    <w:rsid w:val="00A27925"/>
    <w:rsid w:val="00A44173"/>
    <w:rsid w:val="00A56A62"/>
    <w:rsid w:val="00A70A15"/>
    <w:rsid w:val="00AD0063"/>
    <w:rsid w:val="00AF185A"/>
    <w:rsid w:val="00B12126"/>
    <w:rsid w:val="00B15B68"/>
    <w:rsid w:val="00B35B70"/>
    <w:rsid w:val="00B668DA"/>
    <w:rsid w:val="00B7784B"/>
    <w:rsid w:val="00BA10E8"/>
    <w:rsid w:val="00BB41F0"/>
    <w:rsid w:val="00BC6CE9"/>
    <w:rsid w:val="00BE2226"/>
    <w:rsid w:val="00C0003D"/>
    <w:rsid w:val="00C034A6"/>
    <w:rsid w:val="00C1223C"/>
    <w:rsid w:val="00C56DFA"/>
    <w:rsid w:val="00C5755E"/>
    <w:rsid w:val="00CF5248"/>
    <w:rsid w:val="00D24C57"/>
    <w:rsid w:val="00D26B99"/>
    <w:rsid w:val="00D31D6D"/>
    <w:rsid w:val="00D35DF3"/>
    <w:rsid w:val="00DC1846"/>
    <w:rsid w:val="00DD60A9"/>
    <w:rsid w:val="00E13405"/>
    <w:rsid w:val="00E3201B"/>
    <w:rsid w:val="00E371D0"/>
    <w:rsid w:val="00E4727A"/>
    <w:rsid w:val="00E51001"/>
    <w:rsid w:val="00E51D1D"/>
    <w:rsid w:val="00E75E6E"/>
    <w:rsid w:val="00E81421"/>
    <w:rsid w:val="00E84FFD"/>
    <w:rsid w:val="00E87521"/>
    <w:rsid w:val="00EC6654"/>
    <w:rsid w:val="00EF37E7"/>
    <w:rsid w:val="00F25787"/>
    <w:rsid w:val="00F25A47"/>
    <w:rsid w:val="00F33E5A"/>
    <w:rsid w:val="00F432EB"/>
    <w:rsid w:val="00F85A98"/>
    <w:rsid w:val="00F954C5"/>
    <w:rsid w:val="00FA2970"/>
    <w:rsid w:val="00FA526F"/>
    <w:rsid w:val="00FC0A70"/>
    <w:rsid w:val="00FC76B7"/>
    <w:rsid w:val="00FF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3A15"/>
  <w15:chartTrackingRefBased/>
  <w15:docId w15:val="{B662FFC8-23A3-4DCC-9380-5EE98B25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C83"/>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C8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4">
    <w:name w:val="页眉 字符"/>
    <w:basedOn w:val="a0"/>
    <w:link w:val="a3"/>
    <w:uiPriority w:val="99"/>
    <w:rsid w:val="00635C83"/>
    <w:rPr>
      <w:sz w:val="18"/>
      <w:szCs w:val="18"/>
    </w:rPr>
  </w:style>
  <w:style w:type="paragraph" w:styleId="a5">
    <w:name w:val="footer"/>
    <w:basedOn w:val="a"/>
    <w:link w:val="a6"/>
    <w:uiPriority w:val="99"/>
    <w:unhideWhenUsed/>
    <w:rsid w:val="00635C83"/>
    <w:pPr>
      <w:tabs>
        <w:tab w:val="center" w:pos="4153"/>
        <w:tab w:val="right" w:pos="8306"/>
      </w:tabs>
      <w:snapToGrid w:val="0"/>
      <w:jc w:val="left"/>
    </w:pPr>
    <w:rPr>
      <w:rFonts w:eastAsiaTheme="minorEastAsia"/>
      <w:sz w:val="18"/>
      <w:szCs w:val="18"/>
    </w:rPr>
  </w:style>
  <w:style w:type="character" w:customStyle="1" w:styleId="a6">
    <w:name w:val="页脚 字符"/>
    <w:basedOn w:val="a0"/>
    <w:link w:val="a5"/>
    <w:uiPriority w:val="99"/>
    <w:rsid w:val="00635C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178</Words>
  <Characters>1017</Characters>
  <Application>Microsoft Office Word</Application>
  <DocSecurity>0</DocSecurity>
  <Lines>8</Lines>
  <Paragraphs>2</Paragraphs>
  <ScaleCrop>false</ScaleCrop>
  <Company>Microsoft</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李栋</dc:creator>
  <cp:keywords/>
  <dc:description/>
  <cp:lastModifiedBy>哈莉莉</cp:lastModifiedBy>
  <cp:revision>4</cp:revision>
  <dcterms:created xsi:type="dcterms:W3CDTF">2023-07-13T07:58:00Z</dcterms:created>
  <dcterms:modified xsi:type="dcterms:W3CDTF">2023-07-18T07:25:00Z</dcterms:modified>
</cp:coreProperties>
</file>