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A5" w:rsidRDefault="00635C83" w:rsidP="00B712A5">
      <w:pPr>
        <w:spacing w:line="360" w:lineRule="auto"/>
        <w:jc w:val="center"/>
        <w:rPr>
          <w:rFonts w:ascii="方正小标宋简体" w:eastAsia="方正小标宋简体" w:hAnsi="Calibri" w:cs="Times New Roman"/>
          <w:sz w:val="36"/>
          <w:szCs w:val="36"/>
        </w:rPr>
      </w:pPr>
      <w:r w:rsidRPr="00944124">
        <w:rPr>
          <w:rFonts w:ascii="方正小标宋简体" w:eastAsia="方正小标宋简体" w:hAnsi="Calibri" w:cs="Times New Roman" w:hint="eastAsia"/>
          <w:sz w:val="36"/>
          <w:szCs w:val="36"/>
        </w:rPr>
        <w:t>《</w:t>
      </w:r>
      <w:r w:rsidR="00B712A5" w:rsidRPr="00B712A5">
        <w:rPr>
          <w:rFonts w:ascii="方正小标宋简体" w:eastAsia="方正小标宋简体" w:hAnsi="Calibri" w:cs="Times New Roman" w:hint="eastAsia"/>
          <w:sz w:val="36"/>
          <w:szCs w:val="36"/>
        </w:rPr>
        <w:t>依帕司他片</w:t>
      </w:r>
      <w:r w:rsidRPr="00944124">
        <w:rPr>
          <w:rFonts w:ascii="方正小标宋简体" w:eastAsia="方正小标宋简体" w:hAnsi="Calibri" w:cs="Times New Roman" w:hint="eastAsia"/>
          <w:sz w:val="36"/>
          <w:szCs w:val="36"/>
        </w:rPr>
        <w:t>生物等效性研究技术指导原则</w:t>
      </w:r>
    </w:p>
    <w:p w:rsidR="00635C83" w:rsidRPr="005B6043" w:rsidRDefault="00635C83" w:rsidP="00B712A5">
      <w:pPr>
        <w:spacing w:line="360" w:lineRule="auto"/>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（征求意见稿）</w:t>
      </w:r>
      <w:r w:rsidRPr="00944124">
        <w:rPr>
          <w:rFonts w:ascii="方正小标宋简体" w:eastAsia="方正小标宋简体" w:hAnsi="Calibri" w:cs="Times New Roman" w:hint="eastAsia"/>
          <w:sz w:val="36"/>
          <w:szCs w:val="36"/>
        </w:rPr>
        <w:t>》</w:t>
      </w:r>
      <w:r w:rsidRPr="001136CE">
        <w:rPr>
          <w:rFonts w:ascii="方正小标宋简体" w:eastAsia="方正小标宋简体" w:hint="eastAsia"/>
          <w:sz w:val="36"/>
          <w:szCs w:val="36"/>
        </w:rPr>
        <w:t>起草说明</w:t>
      </w:r>
    </w:p>
    <w:p w:rsidR="00635C83" w:rsidRPr="001136CE" w:rsidRDefault="00635C83" w:rsidP="00635C83">
      <w:pPr>
        <w:spacing w:line="360" w:lineRule="auto"/>
        <w:jc w:val="center"/>
        <w:rPr>
          <w:rFonts w:ascii="方正小标宋简体" w:eastAsia="方正小标宋简体" w:hAnsi="Calibri" w:cs="Times New Roman"/>
          <w:sz w:val="36"/>
          <w:szCs w:val="36"/>
        </w:rPr>
      </w:pPr>
    </w:p>
    <w:p w:rsidR="00635C83" w:rsidRPr="00075DF1" w:rsidRDefault="00635C83" w:rsidP="00CA1AF3">
      <w:pPr>
        <w:adjustRightInd w:val="0"/>
        <w:snapToGrid w:val="0"/>
        <w:spacing w:line="360" w:lineRule="auto"/>
        <w:ind w:firstLineChars="200" w:firstLine="640"/>
        <w:rPr>
          <w:rFonts w:ascii="黑体" w:eastAsia="黑体" w:hAnsi="黑体"/>
        </w:rPr>
      </w:pPr>
      <w:r w:rsidRPr="00075DF1">
        <w:rPr>
          <w:rFonts w:ascii="黑体" w:eastAsia="黑体" w:hAnsi="黑体"/>
        </w:rPr>
        <w:t>一、背景和目的</w:t>
      </w:r>
    </w:p>
    <w:p w:rsidR="00B712A5" w:rsidRDefault="00B712A5" w:rsidP="00CA1AF3">
      <w:pPr>
        <w:adjustRightInd w:val="0"/>
        <w:snapToGrid w:val="0"/>
        <w:spacing w:beforeLines="50" w:before="156" w:line="360" w:lineRule="auto"/>
        <w:ind w:firstLineChars="200" w:firstLine="640"/>
        <w:rPr>
          <w:rFonts w:ascii="Times New Roman" w:hAnsi="Times New Roman" w:cs="Times New Roman"/>
          <w:szCs w:val="32"/>
        </w:rPr>
      </w:pPr>
      <w:r>
        <w:rPr>
          <w:rFonts w:ascii="Times New Roman" w:hAnsi="Times New Roman" w:cs="Times New Roman" w:hint="eastAsia"/>
          <w:szCs w:val="32"/>
        </w:rPr>
        <w:t>依帕司他（</w:t>
      </w:r>
      <w:r>
        <w:rPr>
          <w:rFonts w:ascii="Times New Roman" w:hAnsi="Times New Roman" w:cs="Times New Roman"/>
          <w:szCs w:val="32"/>
        </w:rPr>
        <w:t>Epalrestat</w:t>
      </w:r>
      <w:r>
        <w:rPr>
          <w:rFonts w:ascii="Times New Roman" w:hAnsi="Times New Roman" w:cs="Times New Roman" w:hint="eastAsia"/>
          <w:szCs w:val="32"/>
        </w:rPr>
        <w:t>）是</w:t>
      </w:r>
      <w:r>
        <w:rPr>
          <w:rFonts w:ascii="Times New Roman" w:hAnsi="Times New Roman" w:cs="Times New Roman" w:hint="eastAsia"/>
          <w:bCs/>
          <w:szCs w:val="32"/>
        </w:rPr>
        <w:t>一种可逆性的醛糖还原酶非竞争性抑制剂，对醛糖还原酶具有选择性抑制作用</w:t>
      </w:r>
      <w:r>
        <w:rPr>
          <w:rFonts w:ascii="Times New Roman" w:hAnsi="Times New Roman" w:cs="Times New Roman" w:hint="eastAsia"/>
          <w:szCs w:val="32"/>
        </w:rPr>
        <w:t>，临床上用于治疗糖尿病性神经病变。根据原研说明书，</w:t>
      </w:r>
      <w:r>
        <w:rPr>
          <w:rFonts w:ascii="Times New Roman" w:hAnsi="Times New Roman" w:cs="Times New Roman"/>
          <w:bCs/>
          <w:szCs w:val="32"/>
        </w:rPr>
        <w:t>本品</w:t>
      </w:r>
      <w:r>
        <w:rPr>
          <w:rFonts w:ascii="Times New Roman" w:hAnsi="Times New Roman" w:cs="Times New Roman" w:hint="eastAsia"/>
          <w:bCs/>
          <w:szCs w:val="32"/>
        </w:rPr>
        <w:t>于饭</w:t>
      </w:r>
      <w:r>
        <w:rPr>
          <w:rFonts w:ascii="Times New Roman" w:hAnsi="Times New Roman" w:cs="Times New Roman"/>
          <w:bCs/>
          <w:szCs w:val="32"/>
        </w:rPr>
        <w:t>前口服。</w:t>
      </w:r>
    </w:p>
    <w:p w:rsidR="00635C83" w:rsidRPr="009D7813" w:rsidRDefault="00635C83" w:rsidP="00CA1AF3">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目前，我国尚无本品生物等效性研究技术指导原则。为构建以指导原则为核心的审评标准体系，进一步规范</w:t>
      </w:r>
      <w:r w:rsidR="00B712A5" w:rsidRPr="00B712A5">
        <w:rPr>
          <w:rFonts w:ascii="Times New Roman" w:hAnsi="Times New Roman" w:cs="Times New Roman" w:hint="eastAsia"/>
        </w:rPr>
        <w:t>依帕司他片</w:t>
      </w:r>
      <w:r w:rsidRPr="009D7813">
        <w:rPr>
          <w:rFonts w:ascii="Times New Roman" w:hAnsi="Times New Roman" w:cs="Times New Roman"/>
        </w:rPr>
        <w:t>生物等效性研究，药审中心组织起草了本指导原则，以期为</w:t>
      </w:r>
      <w:r w:rsidR="00B712A5" w:rsidRPr="00B712A5">
        <w:rPr>
          <w:rFonts w:ascii="Times New Roman" w:hAnsi="Times New Roman" w:cs="Times New Roman" w:hint="eastAsia"/>
        </w:rPr>
        <w:t>依帕司他片</w:t>
      </w:r>
      <w:r w:rsidRPr="009D7813">
        <w:rPr>
          <w:rFonts w:ascii="Times New Roman" w:hAnsi="Times New Roman" w:cs="Times New Roman"/>
        </w:rPr>
        <w:t>生物等效性研究提供技术指导。</w:t>
      </w:r>
    </w:p>
    <w:p w:rsidR="00635C83" w:rsidRPr="00075DF1" w:rsidRDefault="00635C83" w:rsidP="00CA1AF3">
      <w:pPr>
        <w:adjustRightInd w:val="0"/>
        <w:snapToGrid w:val="0"/>
        <w:spacing w:line="360" w:lineRule="auto"/>
        <w:ind w:firstLineChars="200" w:firstLine="640"/>
        <w:rPr>
          <w:rFonts w:ascii="Times New Roman" w:eastAsia="黑体" w:hAnsi="Times New Roman" w:cs="Times New Roman"/>
        </w:rPr>
      </w:pPr>
      <w:r w:rsidRPr="00075DF1">
        <w:rPr>
          <w:rFonts w:ascii="Times New Roman" w:eastAsia="黑体" w:hAnsi="Times New Roman" w:cs="Times New Roman"/>
        </w:rPr>
        <w:t>二、起草过程</w:t>
      </w:r>
    </w:p>
    <w:p w:rsidR="00635C83" w:rsidRPr="00015D07" w:rsidRDefault="00635C83" w:rsidP="00CA1AF3">
      <w:pPr>
        <w:adjustRightInd w:val="0"/>
        <w:snapToGrid w:val="0"/>
        <w:spacing w:line="360" w:lineRule="auto"/>
        <w:ind w:firstLineChars="200" w:firstLine="640"/>
        <w:rPr>
          <w:rFonts w:ascii="楷体_GB2312" w:eastAsia="楷体_GB2312" w:hAnsi="Times New Roman" w:cs="Times New Roman"/>
        </w:rPr>
      </w:pPr>
      <w:r w:rsidRPr="00015D07">
        <w:rPr>
          <w:rFonts w:ascii="楷体_GB2312" w:eastAsia="楷体_GB2312" w:hAnsi="Times New Roman" w:cs="Times New Roman" w:hint="eastAsia"/>
        </w:rPr>
        <w:t>（一）起草前期调研论证情况</w:t>
      </w:r>
    </w:p>
    <w:p w:rsidR="00635C83" w:rsidRDefault="00635C83" w:rsidP="00CA1AF3">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FDA</w:t>
      </w:r>
      <w:r>
        <w:rPr>
          <w:rFonts w:ascii="Times New Roman" w:hAnsi="Times New Roman" w:cs="Times New Roman" w:hint="eastAsia"/>
        </w:rPr>
        <w:t>、</w:t>
      </w:r>
      <w:r>
        <w:rPr>
          <w:rFonts w:ascii="Times New Roman" w:hAnsi="Times New Roman" w:cs="Times New Roman"/>
        </w:rPr>
        <w:t>EMA</w:t>
      </w:r>
      <w:r w:rsidRPr="00FF2B6E">
        <w:rPr>
          <w:rFonts w:ascii="Times New Roman" w:hAnsi="Times New Roman" w:cs="Times New Roman" w:hint="eastAsia"/>
        </w:rPr>
        <w:t>尚</w:t>
      </w:r>
      <w:r>
        <w:rPr>
          <w:rFonts w:ascii="Times New Roman" w:hAnsi="Times New Roman" w:cs="Times New Roman" w:hint="eastAsia"/>
        </w:rPr>
        <w:t>未发布</w:t>
      </w:r>
      <w:r w:rsidR="00B712A5" w:rsidRPr="00B712A5">
        <w:rPr>
          <w:rFonts w:ascii="Times New Roman" w:hAnsi="Times New Roman" w:cs="Times New Roman" w:hint="eastAsia"/>
        </w:rPr>
        <w:t>依帕司他片</w:t>
      </w:r>
      <w:r>
        <w:rPr>
          <w:rFonts w:ascii="Times New Roman" w:hAnsi="Times New Roman" w:cs="Times New Roman" w:hint="eastAsia"/>
        </w:rPr>
        <w:t>的</w:t>
      </w:r>
      <w:r>
        <w:rPr>
          <w:rFonts w:ascii="Times New Roman" w:hAnsi="Times New Roman" w:cs="Times New Roman"/>
        </w:rPr>
        <w:t>个药指导原则</w:t>
      </w:r>
      <w:r>
        <w:rPr>
          <w:rFonts w:ascii="Times New Roman" w:hAnsi="Times New Roman" w:cs="Times New Roman" w:hint="eastAsia"/>
        </w:rPr>
        <w:t>。</w:t>
      </w:r>
    </w:p>
    <w:p w:rsidR="00635C83" w:rsidRDefault="00635C83" w:rsidP="00CA1AF3">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目前</w:t>
      </w:r>
      <w:r>
        <w:rPr>
          <w:rFonts w:ascii="Times New Roman" w:hAnsi="Times New Roman" w:cs="Times New Roman"/>
        </w:rPr>
        <w:t>，</w:t>
      </w:r>
      <w:r w:rsidRPr="00A20275">
        <w:rPr>
          <w:rFonts w:ascii="Times New Roman" w:hAnsi="Times New Roman" w:cs="Times New Roman" w:hint="eastAsia"/>
        </w:rPr>
        <w:t>我国已按照现行《注册管理办法》新注册分类及现行标准</w:t>
      </w:r>
      <w:r w:rsidRPr="000546CF">
        <w:rPr>
          <w:rFonts w:ascii="Times New Roman" w:hAnsi="Times New Roman" w:cs="Times New Roman" w:hint="eastAsia"/>
        </w:rPr>
        <w:t>批准</w:t>
      </w:r>
      <w:r w:rsidR="00B712A5" w:rsidRPr="000546CF">
        <w:rPr>
          <w:rFonts w:ascii="Times New Roman" w:hAnsi="Times New Roman" w:cs="Times New Roman"/>
        </w:rPr>
        <w:t>5</w:t>
      </w:r>
      <w:r w:rsidRPr="000546CF">
        <w:rPr>
          <w:rFonts w:ascii="Times New Roman" w:hAnsi="Times New Roman" w:cs="Times New Roman" w:hint="eastAsia"/>
        </w:rPr>
        <w:t>个</w:t>
      </w:r>
      <w:r w:rsidR="00B712A5" w:rsidRPr="000546CF">
        <w:rPr>
          <w:rFonts w:ascii="Times New Roman" w:hAnsi="Times New Roman" w:cs="Times New Roman" w:hint="eastAsia"/>
        </w:rPr>
        <w:t>依帕司他片</w:t>
      </w:r>
      <w:r w:rsidRPr="000546CF">
        <w:rPr>
          <w:rFonts w:ascii="Times New Roman" w:hAnsi="Times New Roman" w:cs="Times New Roman" w:hint="eastAsia"/>
        </w:rPr>
        <w:t>仿制药上市申请，</w:t>
      </w:r>
      <w:r w:rsidR="000546CF" w:rsidRPr="000546CF">
        <w:rPr>
          <w:rFonts w:ascii="Times New Roman" w:hAnsi="Times New Roman" w:cs="Times New Roman"/>
        </w:rPr>
        <w:t>6</w:t>
      </w:r>
      <w:r w:rsidRPr="000546CF">
        <w:rPr>
          <w:rFonts w:ascii="Times New Roman" w:hAnsi="Times New Roman" w:cs="Times New Roman" w:hint="eastAsia"/>
        </w:rPr>
        <w:t>个</w:t>
      </w:r>
      <w:r w:rsidRPr="000546CF">
        <w:rPr>
          <w:rFonts w:ascii="Times New Roman" w:hAnsi="Times New Roman" w:cs="Times New Roman"/>
        </w:rPr>
        <w:t>正在</w:t>
      </w:r>
      <w:r w:rsidRPr="000546CF">
        <w:rPr>
          <w:rFonts w:ascii="Times New Roman" w:hAnsi="Times New Roman" w:cs="Times New Roman" w:hint="eastAsia"/>
        </w:rPr>
        <w:t>审评中</w:t>
      </w:r>
      <w:r w:rsidRPr="000546CF">
        <w:rPr>
          <w:rFonts w:ascii="Times New Roman" w:hAnsi="Times New Roman" w:cs="Times New Roman"/>
        </w:rPr>
        <w:t>，</w:t>
      </w:r>
      <w:r w:rsidRPr="000546CF">
        <w:rPr>
          <w:rFonts w:ascii="Times New Roman" w:hAnsi="Times New Roman" w:cs="Times New Roman" w:hint="eastAsia"/>
        </w:rPr>
        <w:t>5</w:t>
      </w:r>
      <w:r w:rsidRPr="000546CF">
        <w:rPr>
          <w:rFonts w:ascii="Times New Roman" w:hAnsi="Times New Roman" w:cs="Times New Roman" w:hint="eastAsia"/>
        </w:rPr>
        <w:t>个已</w:t>
      </w:r>
      <w:r w:rsidRPr="000546CF">
        <w:rPr>
          <w:rFonts w:ascii="Times New Roman" w:hAnsi="Times New Roman" w:cs="Times New Roman"/>
        </w:rPr>
        <w:t>备案开展生物等效性研究。</w:t>
      </w:r>
    </w:p>
    <w:p w:rsidR="00635C83" w:rsidRDefault="00635C83" w:rsidP="00CA1AF3">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结合</w:t>
      </w:r>
      <w:r>
        <w:rPr>
          <w:rFonts w:ascii="Times New Roman" w:hAnsi="Times New Roman" w:cs="Times New Roman"/>
        </w:rPr>
        <w:t>国内已有的研究数据</w:t>
      </w:r>
      <w:r>
        <w:rPr>
          <w:rFonts w:ascii="Times New Roman" w:hAnsi="Times New Roman" w:cs="Times New Roman" w:hint="eastAsia"/>
        </w:rPr>
        <w:t>、</w:t>
      </w:r>
      <w:r>
        <w:rPr>
          <w:rFonts w:ascii="Times New Roman" w:hAnsi="Times New Roman" w:cs="Times New Roman"/>
        </w:rPr>
        <w:t>备案情况等，</w:t>
      </w:r>
      <w:r>
        <w:rPr>
          <w:rFonts w:ascii="Times New Roman" w:hAnsi="Times New Roman" w:cs="Times New Roman" w:hint="eastAsia"/>
        </w:rPr>
        <w:t>对</w:t>
      </w:r>
      <w:r w:rsidR="00B712A5">
        <w:rPr>
          <w:rFonts w:ascii="Times New Roman" w:hAnsi="Times New Roman" w:cs="Times New Roman" w:hint="eastAsia"/>
        </w:rPr>
        <w:t>依帕司他片</w:t>
      </w:r>
      <w:r>
        <w:rPr>
          <w:rFonts w:ascii="Times New Roman" w:hAnsi="Times New Roman" w:cs="Times New Roman"/>
        </w:rPr>
        <w:t>生物等效性研究的</w:t>
      </w:r>
      <w:r>
        <w:rPr>
          <w:rFonts w:ascii="Times New Roman" w:hAnsi="Times New Roman" w:cs="Times New Roman" w:hint="eastAsia"/>
        </w:rPr>
        <w:t>设计做出推荐。</w:t>
      </w:r>
    </w:p>
    <w:p w:rsidR="00635C83" w:rsidRPr="003F4352" w:rsidRDefault="00635C83" w:rsidP="00CA1AF3">
      <w:pPr>
        <w:adjustRightInd w:val="0"/>
        <w:snapToGrid w:val="0"/>
        <w:spacing w:line="360" w:lineRule="auto"/>
        <w:ind w:firstLineChars="200" w:firstLine="640"/>
        <w:rPr>
          <w:rFonts w:ascii="楷体_GB2312" w:eastAsia="楷体_GB2312" w:hAnsi="Times New Roman" w:cs="Times New Roman"/>
        </w:rPr>
      </w:pPr>
      <w:r w:rsidRPr="003F4352">
        <w:rPr>
          <w:rFonts w:ascii="楷体_GB2312" w:eastAsia="楷体_GB2312" w:hAnsi="Times New Roman" w:cs="Times New Roman" w:hint="eastAsia"/>
        </w:rPr>
        <w:t>（二）指导原则制定或修订情况</w:t>
      </w:r>
    </w:p>
    <w:p w:rsidR="00635C83" w:rsidRPr="009D7813" w:rsidRDefault="00635C83" w:rsidP="00CA1AF3">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本指导原则由统计与临床药理学部</w:t>
      </w:r>
      <w:r>
        <w:rPr>
          <w:rFonts w:ascii="Times New Roman" w:hAnsi="Times New Roman" w:cs="Times New Roman" w:hint="eastAsia"/>
        </w:rPr>
        <w:t>起草</w:t>
      </w:r>
      <w:r w:rsidRPr="009D7813">
        <w:rPr>
          <w:rFonts w:ascii="Times New Roman" w:hAnsi="Times New Roman" w:cs="Times New Roman"/>
        </w:rPr>
        <w:t>，纳入了中心</w:t>
      </w:r>
      <w:r w:rsidRPr="009D7813">
        <w:rPr>
          <w:rFonts w:ascii="Times New Roman" w:hAnsi="Times New Roman" w:cs="Times New Roman"/>
        </w:rPr>
        <w:lastRenderedPageBreak/>
        <w:t>20</w:t>
      </w:r>
      <w:r>
        <w:rPr>
          <w:rFonts w:ascii="Times New Roman" w:hAnsi="Times New Roman" w:cs="Times New Roman"/>
        </w:rPr>
        <w:t>23</w:t>
      </w:r>
      <w:r w:rsidRPr="009D7813">
        <w:rPr>
          <w:rFonts w:ascii="Times New Roman" w:hAnsi="Times New Roman" w:cs="Times New Roman"/>
        </w:rPr>
        <w:t>年指导原则制修订计划</w:t>
      </w:r>
      <w:r>
        <w:rPr>
          <w:rFonts w:ascii="Times New Roman" w:hAnsi="Times New Roman" w:cs="Times New Roman" w:hint="eastAsia"/>
        </w:rPr>
        <w:t>。</w:t>
      </w:r>
      <w:r w:rsidRPr="009D7813">
        <w:rPr>
          <w:rFonts w:ascii="Times New Roman" w:hAnsi="Times New Roman" w:cs="Times New Roman"/>
        </w:rPr>
        <w:t>根据个药指导原则制定计划，统计与临床药理学部成立工作组，深入调研了美、欧、日等国的生物等效性技术要求及评判标准、审评报告、相关文献等，</w:t>
      </w:r>
      <w:r>
        <w:rPr>
          <w:rFonts w:ascii="Times New Roman" w:hAnsi="Times New Roman" w:cs="Times New Roman" w:hint="eastAsia"/>
        </w:rPr>
        <w:t>参考国内既往</w:t>
      </w:r>
      <w:r>
        <w:rPr>
          <w:rFonts w:ascii="Times New Roman" w:hAnsi="Times New Roman" w:cs="Times New Roman"/>
        </w:rPr>
        <w:t>审评经验，</w:t>
      </w:r>
      <w:r w:rsidRPr="009D7813">
        <w:rPr>
          <w:rFonts w:ascii="Times New Roman" w:hAnsi="Times New Roman" w:cs="Times New Roman"/>
        </w:rPr>
        <w:t>于</w:t>
      </w:r>
      <w:r w:rsidRPr="008626D9">
        <w:rPr>
          <w:rFonts w:ascii="Times New Roman" w:hAnsi="Times New Roman" w:cs="Times New Roman" w:hint="eastAsia"/>
        </w:rPr>
        <w:t>部门内</w:t>
      </w:r>
      <w:r w:rsidRPr="009D7813">
        <w:rPr>
          <w:rFonts w:ascii="Times New Roman" w:hAnsi="Times New Roman" w:cs="Times New Roman"/>
        </w:rPr>
        <w:t>开展多次讨论，初步形成指导原则初稿。</w:t>
      </w:r>
    </w:p>
    <w:p w:rsidR="00635C83" w:rsidRDefault="00635C83" w:rsidP="00CA1AF3">
      <w:pPr>
        <w:adjustRightInd w:val="0"/>
        <w:snapToGrid w:val="0"/>
        <w:spacing w:line="360" w:lineRule="auto"/>
        <w:ind w:firstLineChars="200" w:firstLine="640"/>
        <w:rPr>
          <w:rFonts w:ascii="Times New Roman" w:hAnsi="Times New Roman" w:cs="Times New Roman"/>
        </w:rPr>
      </w:pPr>
      <w:r w:rsidRPr="00747AD6">
        <w:rPr>
          <w:rFonts w:ascii="Times New Roman" w:hAnsi="Times New Roman" w:cs="Times New Roman"/>
        </w:rPr>
        <w:t>2022</w:t>
      </w:r>
      <w:r w:rsidRPr="00747AD6">
        <w:rPr>
          <w:rFonts w:ascii="Times New Roman" w:hAnsi="Times New Roman" w:cs="Times New Roman"/>
        </w:rPr>
        <w:t>年</w:t>
      </w:r>
      <w:r>
        <w:rPr>
          <w:rFonts w:ascii="Times New Roman" w:hAnsi="Times New Roman" w:cs="Times New Roman"/>
        </w:rPr>
        <w:t>6</w:t>
      </w:r>
      <w:r w:rsidRPr="00747AD6">
        <w:rPr>
          <w:rFonts w:ascii="Times New Roman" w:hAnsi="Times New Roman" w:cs="Times New Roman"/>
        </w:rPr>
        <w:t>月</w:t>
      </w:r>
      <w:r w:rsidRPr="009D7813">
        <w:rPr>
          <w:rFonts w:ascii="Times New Roman" w:hAnsi="Times New Roman" w:cs="Times New Roman"/>
        </w:rPr>
        <w:t>，邀请学术界、产业界等多位一线专家召开改稿会，对关键技术要点进行研讨，并经中心内部征求意见和部门技术委员会审核，形成征求意见稿。</w:t>
      </w:r>
    </w:p>
    <w:p w:rsidR="00635C83" w:rsidRPr="009D7813" w:rsidRDefault="00635C83" w:rsidP="00CA1AF3">
      <w:pPr>
        <w:adjustRightInd w:val="0"/>
        <w:snapToGrid w:val="0"/>
        <w:spacing w:line="360" w:lineRule="auto"/>
        <w:ind w:firstLineChars="200" w:firstLine="640"/>
        <w:rPr>
          <w:rFonts w:ascii="黑体" w:eastAsia="黑体" w:hAnsi="黑体"/>
        </w:rPr>
      </w:pPr>
      <w:r w:rsidRPr="009D7813">
        <w:rPr>
          <w:rFonts w:ascii="黑体" w:eastAsia="黑体" w:hAnsi="黑体"/>
        </w:rPr>
        <w:t>三、</w:t>
      </w:r>
      <w:r>
        <w:rPr>
          <w:rFonts w:ascii="黑体" w:eastAsia="黑体" w:hAnsi="黑体" w:hint="eastAsia"/>
        </w:rPr>
        <w:t>起草思路</w:t>
      </w:r>
    </w:p>
    <w:p w:rsidR="00D603D8" w:rsidRDefault="00B712A5" w:rsidP="00CA1AF3">
      <w:pPr>
        <w:adjustRightInd w:val="0"/>
        <w:snapToGrid w:val="0"/>
        <w:spacing w:line="360" w:lineRule="auto"/>
        <w:ind w:firstLineChars="200" w:firstLine="640"/>
        <w:rPr>
          <w:rFonts w:ascii="Times New Roman" w:hAnsi="Times New Roman" w:cs="Times New Roman"/>
        </w:rPr>
      </w:pPr>
      <w:bookmarkStart w:id="0" w:name="OLE_LINK1"/>
      <w:bookmarkStart w:id="1" w:name="OLE_LINK2"/>
      <w:r w:rsidRPr="000546CF">
        <w:rPr>
          <w:rFonts w:ascii="Times New Roman" w:hAnsi="Times New Roman" w:cs="Times New Roman" w:hint="eastAsia"/>
        </w:rPr>
        <w:t>依帕司他片</w:t>
      </w:r>
      <w:r w:rsidR="00635C83" w:rsidRPr="000546CF">
        <w:rPr>
          <w:rFonts w:ascii="Times New Roman" w:hAnsi="Times New Roman" w:cs="Times New Roman" w:hint="eastAsia"/>
        </w:rPr>
        <w:t>用于</w:t>
      </w:r>
      <w:r w:rsidRPr="000546CF">
        <w:rPr>
          <w:rFonts w:ascii="Times New Roman" w:hAnsi="Times New Roman" w:cs="Times New Roman" w:hint="eastAsia"/>
        </w:rPr>
        <w:t>治疗糖尿病性神经病变，根据原研说明书，本品于饭前口服</w:t>
      </w:r>
      <w:r w:rsidR="003A0EB5">
        <w:rPr>
          <w:rFonts w:ascii="Times New Roman" w:hAnsi="Times New Roman" w:cs="Times New Roman" w:hint="eastAsia"/>
        </w:rPr>
        <w:t>，在生物等效性研究中应关注研究类型</w:t>
      </w:r>
      <w:r w:rsidR="003A0EB5" w:rsidRPr="003A0EB5">
        <w:rPr>
          <w:rFonts w:ascii="Times New Roman" w:hAnsi="Times New Roman" w:cs="Times New Roman" w:hint="eastAsia"/>
        </w:rPr>
        <w:t>等。</w:t>
      </w:r>
    </w:p>
    <w:p w:rsidR="00635C83" w:rsidRPr="00F16574" w:rsidRDefault="00635C83" w:rsidP="00CA1AF3">
      <w:pPr>
        <w:adjustRightInd w:val="0"/>
        <w:snapToGrid w:val="0"/>
        <w:spacing w:line="360" w:lineRule="auto"/>
        <w:ind w:firstLineChars="200" w:firstLine="640"/>
        <w:rPr>
          <w:rFonts w:ascii="Times New Roman" w:hAnsi="Times New Roman" w:cs="Times New Roman"/>
        </w:rPr>
      </w:pPr>
      <w:r w:rsidRPr="00F16574">
        <w:rPr>
          <w:rFonts w:ascii="黑体" w:eastAsia="黑体" w:hAnsi="黑体" w:hint="eastAsia"/>
        </w:rPr>
        <w:t>四、主要内容</w:t>
      </w:r>
    </w:p>
    <w:p w:rsidR="00635C83" w:rsidRDefault="00635C83" w:rsidP="00CA1AF3">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本指导原则旨在为</w:t>
      </w:r>
      <w:r w:rsidR="00B712A5">
        <w:rPr>
          <w:rFonts w:ascii="Times New Roman" w:hAnsi="Times New Roman" w:cs="Times New Roman" w:hint="eastAsia"/>
        </w:rPr>
        <w:t>依帕司他片</w:t>
      </w:r>
      <w:r w:rsidRPr="009D7813">
        <w:rPr>
          <w:rFonts w:ascii="Times New Roman" w:hAnsi="Times New Roman" w:cs="Times New Roman"/>
        </w:rPr>
        <w:t>生物等效性研究提供技术指导，主要内容包括研究类型、受试人群、给药剂量</w:t>
      </w:r>
      <w:r w:rsidRPr="003B0F12">
        <w:rPr>
          <w:rFonts w:ascii="Times New Roman" w:hAnsi="Times New Roman" w:cs="Times New Roman" w:hint="eastAsia"/>
        </w:rPr>
        <w:t>和方法</w:t>
      </w:r>
      <w:r w:rsidRPr="009D7813">
        <w:rPr>
          <w:rFonts w:ascii="Times New Roman" w:hAnsi="Times New Roman" w:cs="Times New Roman"/>
        </w:rPr>
        <w:t>、血样采集、检测物质、生物等效性评价</w:t>
      </w:r>
      <w:r>
        <w:rPr>
          <w:rFonts w:ascii="Times New Roman" w:hAnsi="Times New Roman" w:cs="Times New Roman" w:hint="eastAsia"/>
        </w:rPr>
        <w:t>以及</w:t>
      </w:r>
      <w:r>
        <w:rPr>
          <w:rFonts w:ascii="Times New Roman" w:hAnsi="Times New Roman" w:cs="Times New Roman"/>
        </w:rPr>
        <w:t>其他</w:t>
      </w:r>
      <w:r w:rsidRPr="009D7813">
        <w:rPr>
          <w:rFonts w:ascii="Times New Roman" w:hAnsi="Times New Roman" w:cs="Times New Roman"/>
        </w:rPr>
        <w:t>等。</w:t>
      </w:r>
    </w:p>
    <w:bookmarkEnd w:id="0"/>
    <w:bookmarkEnd w:id="1"/>
    <w:p w:rsidR="00635C83" w:rsidRPr="00610E13" w:rsidRDefault="00635C83" w:rsidP="00CA1AF3">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w:t>
      </w:r>
      <w:r w:rsidRPr="00C605CE">
        <w:rPr>
          <w:rFonts w:ascii="Times New Roman" w:hAnsi="Times New Roman" w:cs="Times New Roman" w:hint="eastAsia"/>
        </w:rPr>
        <w:t>关键内容为：</w:t>
      </w:r>
      <w:r w:rsidR="000546CF" w:rsidRPr="000546CF">
        <w:rPr>
          <w:rFonts w:ascii="Times New Roman" w:hAnsi="Times New Roman" w:cs="Times New Roman"/>
        </w:rPr>
        <w:t>研究类型</w:t>
      </w:r>
      <w:r w:rsidR="000546CF">
        <w:rPr>
          <w:rFonts w:ascii="Times New Roman" w:hAnsi="Times New Roman" w:cs="Times New Roman" w:hint="eastAsia"/>
        </w:rPr>
        <w:t>部分</w:t>
      </w:r>
      <w:r w:rsidR="000546CF">
        <w:rPr>
          <w:rFonts w:ascii="Times New Roman" w:hAnsi="Times New Roman" w:cs="Times New Roman"/>
        </w:rPr>
        <w:t>建议</w:t>
      </w:r>
      <w:r w:rsidR="000546CF" w:rsidRPr="000546CF">
        <w:rPr>
          <w:rFonts w:ascii="Times New Roman" w:hAnsi="Times New Roman" w:cs="Times New Roman" w:hint="eastAsia"/>
        </w:rPr>
        <w:t>采用两制剂、两周期、两序列交叉设计，进行空腹条件下单次给药的人体生物等效性研究。</w:t>
      </w:r>
      <w:bookmarkStart w:id="2" w:name="_GoBack"/>
      <w:bookmarkEnd w:id="2"/>
    </w:p>
    <w:p w:rsidR="00635C83" w:rsidRDefault="00B712A5" w:rsidP="00CA1AF3">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依帕司他片</w:t>
      </w:r>
      <w:r w:rsidR="00635C83" w:rsidRPr="009D7813">
        <w:rPr>
          <w:rFonts w:ascii="Times New Roman" w:hAnsi="Times New Roman" w:cs="Times New Roman"/>
        </w:rPr>
        <w:t>生物等效性研究应符合本指导原则，还应参照《以药动学参数</w:t>
      </w:r>
      <w:r w:rsidR="00635C83">
        <w:rPr>
          <w:rFonts w:ascii="Times New Roman" w:hAnsi="Times New Roman" w:cs="Times New Roman"/>
        </w:rPr>
        <w:t>为终点评价指标的化学药物仿制药人体生物等效性研究技术指导原则》</w:t>
      </w:r>
      <w:r w:rsidR="00635C83" w:rsidRPr="00AC35C4">
        <w:rPr>
          <w:rFonts w:ascii="Times New Roman" w:hAnsi="Times New Roman" w:cs="Times New Roman" w:hint="eastAsia"/>
        </w:rPr>
        <w:t>、《生物等效性研究的统计学指</w:t>
      </w:r>
      <w:r w:rsidR="00635C83" w:rsidRPr="00AC35C4">
        <w:rPr>
          <w:rFonts w:ascii="Times New Roman" w:hAnsi="Times New Roman" w:cs="Times New Roman" w:hint="eastAsia"/>
        </w:rPr>
        <w:lastRenderedPageBreak/>
        <w:t>导原则》</w:t>
      </w:r>
      <w:r w:rsidR="00635C83" w:rsidRPr="009D7813">
        <w:rPr>
          <w:rFonts w:ascii="Times New Roman" w:hAnsi="Times New Roman" w:cs="Times New Roman"/>
        </w:rPr>
        <w:t>等相关指导原则。</w:t>
      </w:r>
    </w:p>
    <w:p w:rsidR="00635C83" w:rsidRPr="00C52120" w:rsidRDefault="00635C83" w:rsidP="00CA1AF3">
      <w:pPr>
        <w:adjustRightInd w:val="0"/>
        <w:snapToGrid w:val="0"/>
        <w:spacing w:line="360" w:lineRule="auto"/>
        <w:ind w:firstLineChars="200" w:firstLine="640"/>
        <w:rPr>
          <w:rFonts w:ascii="Times New Roman" w:hAnsi="Times New Roman" w:cs="Times New Roman"/>
        </w:rPr>
      </w:pPr>
      <w:r w:rsidRPr="00C52120">
        <w:rPr>
          <w:rFonts w:ascii="黑体" w:eastAsia="黑体" w:hAnsi="黑体" w:hint="eastAsia"/>
        </w:rPr>
        <w:t>五、需要说明的问题</w:t>
      </w:r>
    </w:p>
    <w:p w:rsidR="00635C83" w:rsidRDefault="00635C83" w:rsidP="00CA1AF3">
      <w:pPr>
        <w:adjustRightInd w:val="0"/>
        <w:snapToGrid w:val="0"/>
        <w:spacing w:line="360" w:lineRule="auto"/>
        <w:ind w:firstLineChars="200" w:firstLine="640"/>
        <w:rPr>
          <w:rFonts w:ascii="Times New Roman" w:hAnsi="Times New Roman" w:cs="Times New Roman"/>
        </w:rPr>
      </w:pPr>
      <w:r w:rsidRPr="00C52120">
        <w:rPr>
          <w:rFonts w:ascii="Times New Roman" w:hAnsi="Times New Roman" w:cs="Times New Roman" w:hint="eastAsia"/>
        </w:rPr>
        <w:t>无。</w:t>
      </w:r>
    </w:p>
    <w:sectPr w:rsidR="00635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D8" w:rsidRDefault="006427D8" w:rsidP="00635C83">
      <w:r>
        <w:separator/>
      </w:r>
    </w:p>
  </w:endnote>
  <w:endnote w:type="continuationSeparator" w:id="0">
    <w:p w:rsidR="006427D8" w:rsidRDefault="006427D8" w:rsidP="0063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D8" w:rsidRDefault="006427D8" w:rsidP="00635C83">
      <w:r>
        <w:separator/>
      </w:r>
    </w:p>
  </w:footnote>
  <w:footnote w:type="continuationSeparator" w:id="0">
    <w:p w:rsidR="006427D8" w:rsidRDefault="006427D8" w:rsidP="0063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3"/>
    <w:rsid w:val="00001DEC"/>
    <w:rsid w:val="000038F4"/>
    <w:rsid w:val="00015C8A"/>
    <w:rsid w:val="00017554"/>
    <w:rsid w:val="0003537E"/>
    <w:rsid w:val="000456BE"/>
    <w:rsid w:val="000546CF"/>
    <w:rsid w:val="000A0193"/>
    <w:rsid w:val="000A2950"/>
    <w:rsid w:val="000D12DA"/>
    <w:rsid w:val="000D45A8"/>
    <w:rsid w:val="000E049A"/>
    <w:rsid w:val="000F0F60"/>
    <w:rsid w:val="001169E0"/>
    <w:rsid w:val="001264A8"/>
    <w:rsid w:val="00156EFD"/>
    <w:rsid w:val="001630BF"/>
    <w:rsid w:val="00181D36"/>
    <w:rsid w:val="00183ABC"/>
    <w:rsid w:val="00187472"/>
    <w:rsid w:val="00203F58"/>
    <w:rsid w:val="002169DA"/>
    <w:rsid w:val="002262EB"/>
    <w:rsid w:val="002264B7"/>
    <w:rsid w:val="002333C2"/>
    <w:rsid w:val="00233B00"/>
    <w:rsid w:val="00242642"/>
    <w:rsid w:val="002472B2"/>
    <w:rsid w:val="0027508E"/>
    <w:rsid w:val="00293FFD"/>
    <w:rsid w:val="00296230"/>
    <w:rsid w:val="002C561E"/>
    <w:rsid w:val="002C59E9"/>
    <w:rsid w:val="002E09C0"/>
    <w:rsid w:val="002F12C7"/>
    <w:rsid w:val="0031457B"/>
    <w:rsid w:val="003317E3"/>
    <w:rsid w:val="00335197"/>
    <w:rsid w:val="00344869"/>
    <w:rsid w:val="00346B89"/>
    <w:rsid w:val="003A0EB5"/>
    <w:rsid w:val="003A1470"/>
    <w:rsid w:val="003A35B5"/>
    <w:rsid w:val="003A3F55"/>
    <w:rsid w:val="003B4A1A"/>
    <w:rsid w:val="003C551C"/>
    <w:rsid w:val="003E7741"/>
    <w:rsid w:val="003F2D91"/>
    <w:rsid w:val="00410D2B"/>
    <w:rsid w:val="00415EA4"/>
    <w:rsid w:val="0046597B"/>
    <w:rsid w:val="00487729"/>
    <w:rsid w:val="00492948"/>
    <w:rsid w:val="004B2BF9"/>
    <w:rsid w:val="004B693D"/>
    <w:rsid w:val="004F0E6A"/>
    <w:rsid w:val="00502D8D"/>
    <w:rsid w:val="00505275"/>
    <w:rsid w:val="00532CEF"/>
    <w:rsid w:val="005461DE"/>
    <w:rsid w:val="0058496A"/>
    <w:rsid w:val="005850B5"/>
    <w:rsid w:val="005E251D"/>
    <w:rsid w:val="005F7CC2"/>
    <w:rsid w:val="00627CC1"/>
    <w:rsid w:val="00635C83"/>
    <w:rsid w:val="006427D8"/>
    <w:rsid w:val="00645EA3"/>
    <w:rsid w:val="00650D38"/>
    <w:rsid w:val="00657F82"/>
    <w:rsid w:val="006675DE"/>
    <w:rsid w:val="00683327"/>
    <w:rsid w:val="0068766F"/>
    <w:rsid w:val="00691B30"/>
    <w:rsid w:val="006953E0"/>
    <w:rsid w:val="006B323E"/>
    <w:rsid w:val="006B7DD3"/>
    <w:rsid w:val="006B7E17"/>
    <w:rsid w:val="006E2B2D"/>
    <w:rsid w:val="00755479"/>
    <w:rsid w:val="0075788E"/>
    <w:rsid w:val="00775492"/>
    <w:rsid w:val="00776058"/>
    <w:rsid w:val="00780D82"/>
    <w:rsid w:val="007B0AAE"/>
    <w:rsid w:val="00840EDD"/>
    <w:rsid w:val="008674D6"/>
    <w:rsid w:val="008706ED"/>
    <w:rsid w:val="008A533A"/>
    <w:rsid w:val="008C4507"/>
    <w:rsid w:val="008D3EDE"/>
    <w:rsid w:val="008E5896"/>
    <w:rsid w:val="009044AD"/>
    <w:rsid w:val="009154A0"/>
    <w:rsid w:val="009352DA"/>
    <w:rsid w:val="009B3524"/>
    <w:rsid w:val="009E6F3C"/>
    <w:rsid w:val="009F382F"/>
    <w:rsid w:val="00A2490D"/>
    <w:rsid w:val="00A27925"/>
    <w:rsid w:val="00A44173"/>
    <w:rsid w:val="00A56A62"/>
    <w:rsid w:val="00A70A15"/>
    <w:rsid w:val="00AD0063"/>
    <w:rsid w:val="00AF185A"/>
    <w:rsid w:val="00B12126"/>
    <w:rsid w:val="00B15B68"/>
    <w:rsid w:val="00B35B70"/>
    <w:rsid w:val="00B668DA"/>
    <w:rsid w:val="00B712A5"/>
    <w:rsid w:val="00B7784B"/>
    <w:rsid w:val="00BA10E8"/>
    <w:rsid w:val="00BB41F0"/>
    <w:rsid w:val="00BC6CE9"/>
    <w:rsid w:val="00BE2226"/>
    <w:rsid w:val="00C0003D"/>
    <w:rsid w:val="00C034A6"/>
    <w:rsid w:val="00C1223C"/>
    <w:rsid w:val="00C56DFA"/>
    <w:rsid w:val="00CA1754"/>
    <w:rsid w:val="00CA1AF3"/>
    <w:rsid w:val="00CF5248"/>
    <w:rsid w:val="00D24C57"/>
    <w:rsid w:val="00D26B99"/>
    <w:rsid w:val="00D31D6D"/>
    <w:rsid w:val="00D35DF3"/>
    <w:rsid w:val="00D603D8"/>
    <w:rsid w:val="00DC1846"/>
    <w:rsid w:val="00DD60A9"/>
    <w:rsid w:val="00E13405"/>
    <w:rsid w:val="00E3201B"/>
    <w:rsid w:val="00E371D0"/>
    <w:rsid w:val="00E4727A"/>
    <w:rsid w:val="00E51001"/>
    <w:rsid w:val="00E51D1D"/>
    <w:rsid w:val="00E81421"/>
    <w:rsid w:val="00E84FFD"/>
    <w:rsid w:val="00E87521"/>
    <w:rsid w:val="00EC6654"/>
    <w:rsid w:val="00EF37E7"/>
    <w:rsid w:val="00F25787"/>
    <w:rsid w:val="00F25A47"/>
    <w:rsid w:val="00F33E5A"/>
    <w:rsid w:val="00F432EB"/>
    <w:rsid w:val="00F85A98"/>
    <w:rsid w:val="00F954C5"/>
    <w:rsid w:val="00FA19D9"/>
    <w:rsid w:val="00FA2970"/>
    <w:rsid w:val="00FA526F"/>
    <w:rsid w:val="00FC0A70"/>
    <w:rsid w:val="00FC76B7"/>
    <w:rsid w:val="00FF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A3DE6"/>
  <w15:chartTrackingRefBased/>
  <w15:docId w15:val="{B662FFC8-23A3-4DCC-9380-5EE98B25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8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8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635C83"/>
    <w:rPr>
      <w:sz w:val="18"/>
      <w:szCs w:val="18"/>
    </w:rPr>
  </w:style>
  <w:style w:type="paragraph" w:styleId="a5">
    <w:name w:val="footer"/>
    <w:basedOn w:val="a"/>
    <w:link w:val="a6"/>
    <w:uiPriority w:val="99"/>
    <w:unhideWhenUsed/>
    <w:rsid w:val="00635C83"/>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635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李栋</dc:creator>
  <cp:keywords/>
  <dc:description/>
  <cp:lastModifiedBy>安娜统计与临床</cp:lastModifiedBy>
  <cp:revision>7</cp:revision>
  <dcterms:created xsi:type="dcterms:W3CDTF">2023-07-13T07:58:00Z</dcterms:created>
  <dcterms:modified xsi:type="dcterms:W3CDTF">2023-07-26T07:41:00Z</dcterms:modified>
</cp:coreProperties>
</file>