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62" w:rsidRDefault="00635C83" w:rsidP="00D81562">
      <w:pPr>
        <w:spacing w:line="360" w:lineRule="auto"/>
        <w:ind w:leftChars="-44" w:left="-141" w:rightChars="26" w:right="83"/>
        <w:jc w:val="center"/>
        <w:rPr>
          <w:rFonts w:ascii="方正小标宋简体" w:eastAsia="方正小标宋简体" w:hAnsi="Calibri" w:cs="Times New Roman"/>
          <w:sz w:val="36"/>
          <w:szCs w:val="36"/>
        </w:rPr>
      </w:pPr>
      <w:r w:rsidRPr="00944124">
        <w:rPr>
          <w:rFonts w:ascii="方正小标宋简体" w:eastAsia="方正小标宋简体" w:hAnsi="Calibri" w:cs="Times New Roman" w:hint="eastAsia"/>
          <w:sz w:val="36"/>
          <w:szCs w:val="36"/>
        </w:rPr>
        <w:t>《</w:t>
      </w:r>
      <w:r w:rsidR="00D81562">
        <w:rPr>
          <w:rFonts w:ascii="方正小标宋简体" w:eastAsia="方正小标宋简体" w:hAnsi="Calibri" w:cs="Times New Roman" w:hint="eastAsia"/>
          <w:sz w:val="36"/>
          <w:szCs w:val="36"/>
        </w:rPr>
        <w:t>硫辛</w:t>
      </w:r>
      <w:r w:rsidR="00D81562">
        <w:rPr>
          <w:rFonts w:ascii="方正小标宋简体" w:eastAsia="方正小标宋简体" w:hAnsi="Calibri" w:cs="Times New Roman"/>
          <w:sz w:val="36"/>
          <w:szCs w:val="36"/>
        </w:rPr>
        <w:t>酸</w:t>
      </w:r>
      <w:r w:rsidR="00D81562">
        <w:rPr>
          <w:rFonts w:ascii="方正小标宋简体" w:eastAsia="方正小标宋简体" w:hAnsi="Calibri" w:cs="Times New Roman" w:hint="eastAsia"/>
          <w:sz w:val="36"/>
          <w:szCs w:val="36"/>
        </w:rPr>
        <w:t>片</w:t>
      </w:r>
      <w:r w:rsidRPr="00944124">
        <w:rPr>
          <w:rFonts w:ascii="方正小标宋简体" w:eastAsia="方正小标宋简体" w:hAnsi="Calibri" w:cs="Times New Roman" w:hint="eastAsia"/>
          <w:sz w:val="36"/>
          <w:szCs w:val="36"/>
        </w:rPr>
        <w:t>生物等效性研究技术指导原则</w:t>
      </w:r>
    </w:p>
    <w:p w:rsidR="00635C83" w:rsidRPr="005B6043" w:rsidRDefault="00635C83" w:rsidP="00D81562">
      <w:pPr>
        <w:spacing w:line="360" w:lineRule="auto"/>
        <w:ind w:leftChars="-44" w:left="-141" w:rightChars="26" w:right="83"/>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（征求意见稿）</w:t>
      </w:r>
      <w:r w:rsidRPr="00944124">
        <w:rPr>
          <w:rFonts w:ascii="方正小标宋简体" w:eastAsia="方正小标宋简体" w:hAnsi="Calibri" w:cs="Times New Roman" w:hint="eastAsia"/>
          <w:sz w:val="36"/>
          <w:szCs w:val="36"/>
        </w:rPr>
        <w:t>》</w:t>
      </w:r>
      <w:r w:rsidRPr="001136CE">
        <w:rPr>
          <w:rFonts w:ascii="方正小标宋简体" w:eastAsia="方正小标宋简体" w:hint="eastAsia"/>
          <w:sz w:val="36"/>
          <w:szCs w:val="36"/>
        </w:rPr>
        <w:t>起草说明</w:t>
      </w:r>
    </w:p>
    <w:p w:rsidR="00635C83" w:rsidRPr="001136CE" w:rsidRDefault="00635C83" w:rsidP="00C763CD">
      <w:pPr>
        <w:adjustRightInd w:val="0"/>
        <w:snapToGrid w:val="0"/>
        <w:spacing w:line="360" w:lineRule="auto"/>
        <w:jc w:val="center"/>
        <w:rPr>
          <w:rFonts w:ascii="方正小标宋简体" w:eastAsia="方正小标宋简体" w:hAnsi="Calibri" w:cs="Times New Roman"/>
          <w:sz w:val="36"/>
          <w:szCs w:val="36"/>
        </w:rPr>
      </w:pPr>
    </w:p>
    <w:p w:rsidR="00635C83" w:rsidRPr="00075DF1" w:rsidRDefault="00635C83" w:rsidP="00C763CD">
      <w:pPr>
        <w:adjustRightInd w:val="0"/>
        <w:snapToGrid w:val="0"/>
        <w:spacing w:line="360" w:lineRule="auto"/>
        <w:ind w:firstLineChars="200" w:firstLine="640"/>
        <w:rPr>
          <w:rFonts w:ascii="黑体" w:eastAsia="黑体" w:hAnsi="黑体"/>
        </w:rPr>
      </w:pPr>
      <w:r w:rsidRPr="00075DF1">
        <w:rPr>
          <w:rFonts w:ascii="黑体" w:eastAsia="黑体" w:hAnsi="黑体"/>
        </w:rPr>
        <w:t>一、背景和目的</w:t>
      </w:r>
    </w:p>
    <w:p w:rsidR="003704AA" w:rsidRDefault="003704AA" w:rsidP="00C763CD">
      <w:pPr>
        <w:adjustRightInd w:val="0"/>
        <w:snapToGrid w:val="0"/>
        <w:spacing w:line="360" w:lineRule="auto"/>
        <w:ind w:firstLineChars="200" w:firstLine="640"/>
        <w:rPr>
          <w:rFonts w:ascii="Times New Roman" w:hAnsi="Times New Roman" w:cs="Times New Roman"/>
          <w:bCs/>
          <w:szCs w:val="32"/>
        </w:rPr>
      </w:pPr>
      <w:r>
        <w:rPr>
          <w:rFonts w:ascii="Times New Roman" w:hAnsi="Times New Roman" w:cs="Times New Roman" w:hint="eastAsia"/>
          <w:bCs/>
          <w:szCs w:val="32"/>
        </w:rPr>
        <w:t>硫辛酸（</w:t>
      </w:r>
      <w:r>
        <w:rPr>
          <w:rFonts w:ascii="Times New Roman" w:hAnsi="Times New Roman" w:cs="Times New Roman" w:hint="eastAsia"/>
          <w:bCs/>
          <w:szCs w:val="32"/>
        </w:rPr>
        <w:t>Thioctic Acid</w:t>
      </w:r>
      <w:r>
        <w:rPr>
          <w:rFonts w:ascii="Times New Roman" w:hAnsi="Times New Roman" w:cs="Times New Roman" w:hint="eastAsia"/>
          <w:bCs/>
          <w:szCs w:val="32"/>
        </w:rPr>
        <w:t>）为</w:t>
      </w:r>
      <w:r>
        <w:rPr>
          <w:rFonts w:ascii="Times New Roman" w:hAnsi="Times New Roman" w:cs="Times New Roman" w:hint="eastAsia"/>
          <w:bCs/>
          <w:szCs w:val="32"/>
        </w:rPr>
        <w:t>B</w:t>
      </w:r>
      <w:r>
        <w:rPr>
          <w:rFonts w:ascii="Times New Roman" w:hAnsi="Times New Roman" w:cs="Times New Roman" w:hint="eastAsia"/>
          <w:bCs/>
          <w:szCs w:val="32"/>
        </w:rPr>
        <w:t>族维生素，是丙酮酸脱氢酶系和α</w:t>
      </w:r>
      <w:r>
        <w:rPr>
          <w:rFonts w:ascii="Times New Roman" w:hAnsi="Times New Roman" w:cs="Times New Roman" w:hint="eastAsia"/>
          <w:bCs/>
          <w:szCs w:val="32"/>
        </w:rPr>
        <w:t>-</w:t>
      </w:r>
      <w:r>
        <w:rPr>
          <w:rFonts w:ascii="Times New Roman" w:hAnsi="Times New Roman" w:cs="Times New Roman" w:hint="eastAsia"/>
          <w:bCs/>
          <w:szCs w:val="32"/>
        </w:rPr>
        <w:t>酮戊二酸脱氢酶系的辅酶，临床上用于治疗糖尿病多发性周围神经病变。</w:t>
      </w:r>
    </w:p>
    <w:p w:rsidR="00635C83" w:rsidRPr="009D7813" w:rsidRDefault="00635C83" w:rsidP="00C763CD">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目前，我国尚无本品生物等效性研究技术指导原则。为构建以指导原则为核心的审评标准体系，进一步规范</w:t>
      </w:r>
      <w:r w:rsidR="003704AA">
        <w:rPr>
          <w:rFonts w:ascii="Times New Roman" w:hAnsi="Times New Roman" w:cs="Times New Roman" w:hint="eastAsia"/>
        </w:rPr>
        <w:t>硫辛酸片</w:t>
      </w:r>
      <w:r w:rsidRPr="009D7813">
        <w:rPr>
          <w:rFonts w:ascii="Times New Roman" w:hAnsi="Times New Roman" w:cs="Times New Roman"/>
        </w:rPr>
        <w:t>生物等效性研究，药审中心组织起草了本指导原则，以期为</w:t>
      </w:r>
      <w:r w:rsidR="003704AA">
        <w:rPr>
          <w:rFonts w:ascii="Times New Roman" w:hAnsi="Times New Roman" w:cs="Times New Roman" w:hint="eastAsia"/>
        </w:rPr>
        <w:t>硫辛酸片</w:t>
      </w:r>
      <w:r w:rsidRPr="009D7813">
        <w:rPr>
          <w:rFonts w:ascii="Times New Roman" w:hAnsi="Times New Roman" w:cs="Times New Roman"/>
        </w:rPr>
        <w:t>生物等效性研究提供技术指导。</w:t>
      </w:r>
    </w:p>
    <w:p w:rsidR="00635C83" w:rsidRPr="00075DF1" w:rsidRDefault="00635C83" w:rsidP="00C763CD">
      <w:pPr>
        <w:adjustRightInd w:val="0"/>
        <w:snapToGrid w:val="0"/>
        <w:spacing w:line="360" w:lineRule="auto"/>
        <w:ind w:firstLineChars="200" w:firstLine="640"/>
        <w:rPr>
          <w:rFonts w:ascii="Times New Roman" w:eastAsia="黑体" w:hAnsi="Times New Roman" w:cs="Times New Roman"/>
        </w:rPr>
      </w:pPr>
      <w:r w:rsidRPr="00075DF1">
        <w:rPr>
          <w:rFonts w:ascii="Times New Roman" w:eastAsia="黑体" w:hAnsi="Times New Roman" w:cs="Times New Roman"/>
        </w:rPr>
        <w:t>二、起草过程</w:t>
      </w:r>
    </w:p>
    <w:p w:rsidR="00635C83" w:rsidRPr="00015D07" w:rsidRDefault="00635C83" w:rsidP="00C763CD">
      <w:pPr>
        <w:adjustRightInd w:val="0"/>
        <w:snapToGrid w:val="0"/>
        <w:spacing w:line="360" w:lineRule="auto"/>
        <w:ind w:firstLineChars="200" w:firstLine="640"/>
        <w:rPr>
          <w:rFonts w:ascii="楷体_GB2312" w:eastAsia="楷体_GB2312" w:hAnsi="Times New Roman" w:cs="Times New Roman"/>
        </w:rPr>
      </w:pPr>
      <w:r w:rsidRPr="00015D07">
        <w:rPr>
          <w:rFonts w:ascii="楷体_GB2312" w:eastAsia="楷体_GB2312" w:hAnsi="Times New Roman" w:cs="Times New Roman" w:hint="eastAsia"/>
        </w:rPr>
        <w:t>（一）起草前期调研论证情况</w:t>
      </w:r>
    </w:p>
    <w:p w:rsidR="00A239C1" w:rsidRDefault="00A239C1" w:rsidP="00C763CD">
      <w:pPr>
        <w:adjustRightInd w:val="0"/>
        <w:snapToGrid w:val="0"/>
        <w:spacing w:line="360" w:lineRule="auto"/>
        <w:ind w:firstLineChars="200" w:firstLine="640"/>
        <w:rPr>
          <w:rFonts w:ascii="Times New Roman" w:hAnsi="Times New Roman" w:cs="Times New Roman"/>
        </w:rPr>
      </w:pPr>
      <w:r w:rsidRPr="00C764AE">
        <w:rPr>
          <w:rFonts w:ascii="Times New Roman" w:hAnsi="Times New Roman" w:cs="Times New Roman"/>
        </w:rPr>
        <w:t>FDA</w:t>
      </w:r>
      <w:r w:rsidRPr="00C764AE">
        <w:rPr>
          <w:rFonts w:ascii="Times New Roman" w:hAnsi="Times New Roman" w:cs="Times New Roman"/>
        </w:rPr>
        <w:t>、</w:t>
      </w:r>
      <w:r w:rsidRPr="00C764AE">
        <w:rPr>
          <w:rFonts w:ascii="Times New Roman" w:hAnsi="Times New Roman" w:cs="Times New Roman"/>
        </w:rPr>
        <w:t>EMA</w:t>
      </w:r>
      <w:r w:rsidRPr="00C764AE">
        <w:rPr>
          <w:rFonts w:ascii="Times New Roman" w:hAnsi="Times New Roman" w:cs="Times New Roman"/>
        </w:rPr>
        <w:t>尚未</w:t>
      </w:r>
      <w:r>
        <w:rPr>
          <w:rFonts w:ascii="Times New Roman" w:hAnsi="Times New Roman" w:cs="Times New Roman" w:hint="eastAsia"/>
        </w:rPr>
        <w:t>发布</w:t>
      </w:r>
      <w:r w:rsidRPr="00C764AE">
        <w:rPr>
          <w:rFonts w:ascii="Times New Roman" w:hAnsi="Times New Roman" w:cs="Times New Roman"/>
        </w:rPr>
        <w:t>硫辛酸片的个药指导原则。</w:t>
      </w:r>
    </w:p>
    <w:p w:rsidR="00A239C1" w:rsidRDefault="00A239C1" w:rsidP="00C763CD">
      <w:pPr>
        <w:adjustRightInd w:val="0"/>
        <w:snapToGrid w:val="0"/>
        <w:spacing w:line="360" w:lineRule="auto"/>
        <w:ind w:firstLineChars="200" w:firstLine="640"/>
        <w:rPr>
          <w:rFonts w:ascii="Times New Roman" w:hAnsi="Times New Roman" w:cs="Times New Roman"/>
          <w:szCs w:val="32"/>
        </w:rPr>
      </w:pPr>
      <w:r>
        <w:rPr>
          <w:rFonts w:ascii="Times New Roman" w:hAnsi="Times New Roman" w:cs="Times New Roman" w:hint="eastAsia"/>
        </w:rPr>
        <w:t>目前</w:t>
      </w:r>
      <w:r>
        <w:rPr>
          <w:rFonts w:ascii="Times New Roman" w:hAnsi="Times New Roman" w:cs="Times New Roman"/>
        </w:rPr>
        <w:t>，</w:t>
      </w:r>
      <w:r w:rsidR="003704AA" w:rsidRPr="00C764AE">
        <w:rPr>
          <w:rFonts w:ascii="Times New Roman" w:hAnsi="Times New Roman" w:cs="Times New Roman"/>
        </w:rPr>
        <w:t>我国尚无原研厂家的产品上市，国内有</w:t>
      </w:r>
      <w:r w:rsidR="003704AA" w:rsidRPr="00C764AE">
        <w:rPr>
          <w:rFonts w:ascii="Times New Roman" w:hAnsi="Times New Roman" w:cs="Times New Roman"/>
        </w:rPr>
        <w:t>2</w:t>
      </w:r>
      <w:r w:rsidR="003704AA" w:rsidRPr="00C764AE">
        <w:rPr>
          <w:rFonts w:ascii="Times New Roman" w:hAnsi="Times New Roman" w:cs="Times New Roman"/>
        </w:rPr>
        <w:t>家仿制药企业获批。</w:t>
      </w:r>
      <w:r w:rsidR="00C764AE" w:rsidRPr="00C764AE">
        <w:rPr>
          <w:rFonts w:ascii="Times New Roman" w:hAnsi="Times New Roman" w:cs="Times New Roman"/>
          <w:szCs w:val="32"/>
        </w:rPr>
        <w:t>另有</w:t>
      </w:r>
      <w:r w:rsidR="00C764AE" w:rsidRPr="00C764AE">
        <w:rPr>
          <w:rFonts w:ascii="Times New Roman" w:hAnsi="Times New Roman" w:cs="Times New Roman"/>
          <w:szCs w:val="32"/>
        </w:rPr>
        <w:t>1</w:t>
      </w:r>
      <w:r w:rsidR="00C764AE" w:rsidRPr="00C764AE">
        <w:rPr>
          <w:rFonts w:ascii="Times New Roman" w:hAnsi="Times New Roman" w:cs="Times New Roman"/>
          <w:szCs w:val="32"/>
        </w:rPr>
        <w:t>个新注册分类</w:t>
      </w:r>
      <w:r w:rsidR="00C764AE">
        <w:rPr>
          <w:rFonts w:ascii="Times New Roman" w:hAnsi="Times New Roman" w:cs="Times New Roman" w:hint="eastAsia"/>
          <w:szCs w:val="32"/>
        </w:rPr>
        <w:t>3</w:t>
      </w:r>
      <w:r w:rsidR="00C764AE" w:rsidRPr="00C764AE">
        <w:rPr>
          <w:rFonts w:ascii="Times New Roman" w:hAnsi="Times New Roman" w:cs="Times New Roman"/>
          <w:szCs w:val="32"/>
        </w:rPr>
        <w:t>类的仿制药上市申请正在审评中。</w:t>
      </w:r>
    </w:p>
    <w:p w:rsidR="00635C83" w:rsidRDefault="00635C83" w:rsidP="00C763CD">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结合</w:t>
      </w:r>
      <w:r>
        <w:rPr>
          <w:rFonts w:ascii="Times New Roman" w:hAnsi="Times New Roman" w:cs="Times New Roman"/>
        </w:rPr>
        <w:t>国内已有的研究数据</w:t>
      </w:r>
      <w:r>
        <w:rPr>
          <w:rFonts w:ascii="Times New Roman" w:hAnsi="Times New Roman" w:cs="Times New Roman" w:hint="eastAsia"/>
        </w:rPr>
        <w:t>、</w:t>
      </w:r>
      <w:r>
        <w:rPr>
          <w:rFonts w:ascii="Times New Roman" w:hAnsi="Times New Roman" w:cs="Times New Roman"/>
        </w:rPr>
        <w:t>备案情况等，</w:t>
      </w:r>
      <w:r>
        <w:rPr>
          <w:rFonts w:ascii="Times New Roman" w:hAnsi="Times New Roman" w:cs="Times New Roman" w:hint="eastAsia"/>
        </w:rPr>
        <w:t>对</w:t>
      </w:r>
      <w:r w:rsidR="002C44FF">
        <w:rPr>
          <w:rFonts w:ascii="Times New Roman" w:hAnsi="Times New Roman" w:cs="Times New Roman" w:hint="eastAsia"/>
        </w:rPr>
        <w:t>硫辛</w:t>
      </w:r>
      <w:r w:rsidR="002C44FF">
        <w:rPr>
          <w:rFonts w:ascii="Times New Roman" w:hAnsi="Times New Roman" w:cs="Times New Roman"/>
        </w:rPr>
        <w:t>酸片</w:t>
      </w:r>
      <w:r>
        <w:rPr>
          <w:rFonts w:ascii="Times New Roman" w:hAnsi="Times New Roman" w:cs="Times New Roman"/>
        </w:rPr>
        <w:t>生物等效性研究的</w:t>
      </w:r>
      <w:r>
        <w:rPr>
          <w:rFonts w:ascii="Times New Roman" w:hAnsi="Times New Roman" w:cs="Times New Roman" w:hint="eastAsia"/>
        </w:rPr>
        <w:t>设计做出推荐。</w:t>
      </w:r>
    </w:p>
    <w:p w:rsidR="00635C83" w:rsidRPr="003F4352" w:rsidRDefault="00635C83" w:rsidP="00C763CD">
      <w:pPr>
        <w:adjustRightInd w:val="0"/>
        <w:snapToGrid w:val="0"/>
        <w:spacing w:line="360" w:lineRule="auto"/>
        <w:ind w:firstLineChars="200" w:firstLine="640"/>
        <w:rPr>
          <w:rFonts w:ascii="楷体_GB2312" w:eastAsia="楷体_GB2312" w:hAnsi="Times New Roman" w:cs="Times New Roman"/>
        </w:rPr>
      </w:pPr>
      <w:r w:rsidRPr="003F4352">
        <w:rPr>
          <w:rFonts w:ascii="楷体_GB2312" w:eastAsia="楷体_GB2312" w:hAnsi="Times New Roman" w:cs="Times New Roman" w:hint="eastAsia"/>
        </w:rPr>
        <w:t>（二）指导原则制定或修订情况</w:t>
      </w:r>
    </w:p>
    <w:p w:rsidR="00635C83" w:rsidRPr="009D7813" w:rsidRDefault="00635C83" w:rsidP="00C763CD">
      <w:pPr>
        <w:overflowPunct w:val="0"/>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本指导原则由统计与临床药理学部</w:t>
      </w:r>
      <w:r>
        <w:rPr>
          <w:rFonts w:ascii="Times New Roman" w:hAnsi="Times New Roman" w:cs="Times New Roman" w:hint="eastAsia"/>
        </w:rPr>
        <w:t>起草</w:t>
      </w:r>
      <w:r w:rsidRPr="009D7813">
        <w:rPr>
          <w:rFonts w:ascii="Times New Roman" w:hAnsi="Times New Roman" w:cs="Times New Roman"/>
        </w:rPr>
        <w:t>，纳入了中心</w:t>
      </w:r>
      <w:r w:rsidRPr="009D7813">
        <w:rPr>
          <w:rFonts w:ascii="Times New Roman" w:hAnsi="Times New Roman" w:cs="Times New Roman"/>
        </w:rPr>
        <w:t>20</w:t>
      </w:r>
      <w:r>
        <w:rPr>
          <w:rFonts w:ascii="Times New Roman" w:hAnsi="Times New Roman" w:cs="Times New Roman"/>
        </w:rPr>
        <w:t>23</w:t>
      </w:r>
      <w:r w:rsidRPr="009D7813">
        <w:rPr>
          <w:rFonts w:ascii="Times New Roman" w:hAnsi="Times New Roman" w:cs="Times New Roman"/>
        </w:rPr>
        <w:t>年指导原则制修订计划</w:t>
      </w:r>
      <w:r>
        <w:rPr>
          <w:rFonts w:ascii="Times New Roman" w:hAnsi="Times New Roman" w:cs="Times New Roman" w:hint="eastAsia"/>
        </w:rPr>
        <w:t>。</w:t>
      </w:r>
      <w:r w:rsidRPr="009D7813">
        <w:rPr>
          <w:rFonts w:ascii="Times New Roman" w:hAnsi="Times New Roman" w:cs="Times New Roman"/>
        </w:rPr>
        <w:t>根据个药指导原则制定计划，</w:t>
      </w:r>
      <w:r w:rsidRPr="009D7813">
        <w:rPr>
          <w:rFonts w:ascii="Times New Roman" w:hAnsi="Times New Roman" w:cs="Times New Roman"/>
        </w:rPr>
        <w:lastRenderedPageBreak/>
        <w:t>统计与临床药理学部成立工作组，深入调研了美、欧、日等国的生物等效性技术要求及评判标准、审评报告、相关文献等，</w:t>
      </w:r>
      <w:r>
        <w:rPr>
          <w:rFonts w:ascii="Times New Roman" w:hAnsi="Times New Roman" w:cs="Times New Roman" w:hint="eastAsia"/>
        </w:rPr>
        <w:t>参考国内既往</w:t>
      </w:r>
      <w:r>
        <w:rPr>
          <w:rFonts w:ascii="Times New Roman" w:hAnsi="Times New Roman" w:cs="Times New Roman"/>
        </w:rPr>
        <w:t>审评经验，</w:t>
      </w:r>
      <w:r w:rsidRPr="009D7813">
        <w:rPr>
          <w:rFonts w:ascii="Times New Roman" w:hAnsi="Times New Roman" w:cs="Times New Roman"/>
        </w:rPr>
        <w:t>于</w:t>
      </w:r>
      <w:r w:rsidRPr="008626D9">
        <w:rPr>
          <w:rFonts w:ascii="Times New Roman" w:hAnsi="Times New Roman" w:cs="Times New Roman" w:hint="eastAsia"/>
        </w:rPr>
        <w:t>部门内</w:t>
      </w:r>
      <w:r w:rsidRPr="009D7813">
        <w:rPr>
          <w:rFonts w:ascii="Times New Roman" w:hAnsi="Times New Roman" w:cs="Times New Roman"/>
        </w:rPr>
        <w:t>开展多次讨论，初步形成指导原则初稿。</w:t>
      </w:r>
    </w:p>
    <w:p w:rsidR="00635C83" w:rsidRDefault="00635C83" w:rsidP="00C763CD">
      <w:pPr>
        <w:overflowPunct w:val="0"/>
        <w:adjustRightInd w:val="0"/>
        <w:snapToGrid w:val="0"/>
        <w:spacing w:line="360" w:lineRule="auto"/>
        <w:ind w:firstLineChars="200" w:firstLine="640"/>
        <w:rPr>
          <w:rFonts w:ascii="Times New Roman" w:hAnsi="Times New Roman" w:cs="Times New Roman"/>
        </w:rPr>
      </w:pPr>
      <w:r w:rsidRPr="00747AD6">
        <w:rPr>
          <w:rFonts w:ascii="Times New Roman" w:hAnsi="Times New Roman" w:cs="Times New Roman"/>
        </w:rPr>
        <w:t>2022</w:t>
      </w:r>
      <w:r w:rsidRPr="00747AD6">
        <w:rPr>
          <w:rFonts w:ascii="Times New Roman" w:hAnsi="Times New Roman" w:cs="Times New Roman"/>
        </w:rPr>
        <w:t>年</w:t>
      </w:r>
      <w:r>
        <w:rPr>
          <w:rFonts w:ascii="Times New Roman" w:hAnsi="Times New Roman" w:cs="Times New Roman"/>
        </w:rPr>
        <w:t>6</w:t>
      </w:r>
      <w:r w:rsidRPr="00747AD6">
        <w:rPr>
          <w:rFonts w:ascii="Times New Roman" w:hAnsi="Times New Roman" w:cs="Times New Roman"/>
        </w:rPr>
        <w:t>月</w:t>
      </w:r>
      <w:r w:rsidRPr="009D7813">
        <w:rPr>
          <w:rFonts w:ascii="Times New Roman" w:hAnsi="Times New Roman" w:cs="Times New Roman"/>
        </w:rPr>
        <w:t>，邀请学术界、产业界等多位一线专家召开改稿会，对关键技术要点进行研讨，并经中心内部征求意见和部门技术委员会审核，形成征求意见稿。</w:t>
      </w:r>
    </w:p>
    <w:p w:rsidR="00635C83" w:rsidRPr="009D7813" w:rsidRDefault="00635C83" w:rsidP="00C763CD">
      <w:pPr>
        <w:overflowPunct w:val="0"/>
        <w:adjustRightInd w:val="0"/>
        <w:snapToGrid w:val="0"/>
        <w:spacing w:line="360" w:lineRule="auto"/>
        <w:ind w:firstLineChars="200" w:firstLine="640"/>
        <w:rPr>
          <w:rFonts w:ascii="黑体" w:eastAsia="黑体" w:hAnsi="黑体"/>
        </w:rPr>
      </w:pPr>
      <w:r w:rsidRPr="009D7813">
        <w:rPr>
          <w:rFonts w:ascii="黑体" w:eastAsia="黑体" w:hAnsi="黑体"/>
        </w:rPr>
        <w:t>三、</w:t>
      </w:r>
      <w:r>
        <w:rPr>
          <w:rFonts w:ascii="黑体" w:eastAsia="黑体" w:hAnsi="黑体" w:hint="eastAsia"/>
        </w:rPr>
        <w:t>起草思路</w:t>
      </w:r>
    </w:p>
    <w:p w:rsidR="00635C83" w:rsidRPr="00AC35C4" w:rsidRDefault="002C44FF" w:rsidP="00C763CD">
      <w:pPr>
        <w:overflowPunct w:val="0"/>
        <w:adjustRightInd w:val="0"/>
        <w:snapToGrid w:val="0"/>
        <w:spacing w:line="360" w:lineRule="auto"/>
        <w:ind w:firstLineChars="200" w:firstLine="640"/>
        <w:rPr>
          <w:rFonts w:ascii="Times New Roman" w:hAnsi="Times New Roman" w:cs="Times New Roman"/>
        </w:rPr>
      </w:pPr>
      <w:bookmarkStart w:id="0" w:name="OLE_LINK1"/>
      <w:bookmarkStart w:id="1" w:name="OLE_LINK2"/>
      <w:r>
        <w:rPr>
          <w:rFonts w:ascii="Times New Roman" w:hAnsi="Times New Roman" w:cs="Times New Roman" w:hint="eastAsia"/>
        </w:rPr>
        <w:t>硫辛酸片需于早餐前半小时服用，且</w:t>
      </w:r>
      <w:r w:rsidR="00C763CD">
        <w:rPr>
          <w:rFonts w:ascii="Times New Roman" w:hAnsi="Times New Roman" w:cs="Times New Roman" w:hint="eastAsia"/>
        </w:rPr>
        <w:t>存在</w:t>
      </w:r>
      <w:r w:rsidR="00C763CD">
        <w:rPr>
          <w:rFonts w:ascii="Times New Roman" w:hAnsi="Times New Roman" w:cs="Times New Roman"/>
        </w:rPr>
        <w:t>高变异的情况，</w:t>
      </w:r>
      <w:r w:rsidR="00635C83">
        <w:rPr>
          <w:rFonts w:ascii="Times New Roman" w:hAnsi="Times New Roman" w:cs="Times New Roman" w:hint="eastAsia"/>
        </w:rPr>
        <w:t>在</w:t>
      </w:r>
      <w:r w:rsidR="00635C83">
        <w:rPr>
          <w:rFonts w:ascii="Times New Roman" w:hAnsi="Times New Roman" w:cs="Times New Roman"/>
        </w:rPr>
        <w:t>生物等效性研究中应关注</w:t>
      </w:r>
      <w:r w:rsidR="00C763CD">
        <w:rPr>
          <w:rFonts w:ascii="Times New Roman" w:hAnsi="Times New Roman" w:cs="Times New Roman" w:hint="eastAsia"/>
        </w:rPr>
        <w:t>研究</w:t>
      </w:r>
      <w:bookmarkStart w:id="2" w:name="_GoBack"/>
      <w:bookmarkEnd w:id="2"/>
      <w:r w:rsidR="00C763CD">
        <w:rPr>
          <w:rFonts w:ascii="Times New Roman" w:hAnsi="Times New Roman" w:cs="Times New Roman" w:hint="eastAsia"/>
        </w:rPr>
        <w:t>类型</w:t>
      </w:r>
      <w:r w:rsidR="00635C83">
        <w:rPr>
          <w:rFonts w:ascii="Times New Roman" w:hAnsi="Times New Roman" w:cs="Times New Roman"/>
        </w:rPr>
        <w:t>、</w:t>
      </w:r>
      <w:r w:rsidR="00635C83" w:rsidRPr="003B0F12">
        <w:rPr>
          <w:rFonts w:ascii="Times New Roman" w:hAnsi="Times New Roman" w:cs="Times New Roman" w:hint="eastAsia"/>
        </w:rPr>
        <w:t>生物等效性评价</w:t>
      </w:r>
      <w:r w:rsidR="00C763CD">
        <w:rPr>
          <w:rFonts w:ascii="Times New Roman" w:hAnsi="Times New Roman" w:cs="Times New Roman" w:hint="eastAsia"/>
        </w:rPr>
        <w:t>方法</w:t>
      </w:r>
      <w:r w:rsidR="00635C83">
        <w:rPr>
          <w:rFonts w:ascii="Times New Roman" w:hAnsi="Times New Roman" w:cs="Times New Roman" w:hint="eastAsia"/>
        </w:rPr>
        <w:t>等。</w:t>
      </w:r>
    </w:p>
    <w:p w:rsidR="00635C83" w:rsidRPr="00F16574" w:rsidRDefault="00635C83" w:rsidP="00C763CD">
      <w:pPr>
        <w:overflowPunct w:val="0"/>
        <w:adjustRightInd w:val="0"/>
        <w:snapToGrid w:val="0"/>
        <w:spacing w:line="360" w:lineRule="auto"/>
        <w:ind w:firstLineChars="200" w:firstLine="640"/>
        <w:rPr>
          <w:rFonts w:ascii="Times New Roman" w:hAnsi="Times New Roman" w:cs="Times New Roman"/>
        </w:rPr>
      </w:pPr>
      <w:r w:rsidRPr="00F16574">
        <w:rPr>
          <w:rFonts w:ascii="黑体" w:eastAsia="黑体" w:hAnsi="黑体" w:hint="eastAsia"/>
        </w:rPr>
        <w:t>四、主要内容</w:t>
      </w:r>
    </w:p>
    <w:p w:rsidR="00635C83" w:rsidRDefault="00635C83" w:rsidP="00C763CD">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本指导原则旨在为</w:t>
      </w:r>
      <w:r w:rsidR="00C763CD">
        <w:rPr>
          <w:rFonts w:ascii="Times New Roman" w:hAnsi="Times New Roman" w:cs="Times New Roman" w:hint="eastAsia"/>
        </w:rPr>
        <w:t>硫辛酸片</w:t>
      </w:r>
      <w:r w:rsidRPr="009D7813">
        <w:rPr>
          <w:rFonts w:ascii="Times New Roman" w:hAnsi="Times New Roman" w:cs="Times New Roman"/>
        </w:rPr>
        <w:t>生物等效性研究提供技术指导，主要内容包括研究类型、受试人群、给药剂量</w:t>
      </w:r>
      <w:r w:rsidRPr="003B0F12">
        <w:rPr>
          <w:rFonts w:ascii="Times New Roman" w:hAnsi="Times New Roman" w:cs="Times New Roman" w:hint="eastAsia"/>
        </w:rPr>
        <w:t>和方法</w:t>
      </w:r>
      <w:r w:rsidRPr="009D7813">
        <w:rPr>
          <w:rFonts w:ascii="Times New Roman" w:hAnsi="Times New Roman" w:cs="Times New Roman"/>
        </w:rPr>
        <w:t>、血样采集、检测物质、生物等效性评价</w:t>
      </w:r>
      <w:r>
        <w:rPr>
          <w:rFonts w:ascii="Times New Roman" w:hAnsi="Times New Roman" w:cs="Times New Roman" w:hint="eastAsia"/>
        </w:rPr>
        <w:t>以及</w:t>
      </w:r>
      <w:r w:rsidR="00C763CD">
        <w:rPr>
          <w:rFonts w:ascii="Times New Roman" w:hAnsi="Times New Roman" w:cs="Times New Roman" w:hint="eastAsia"/>
        </w:rPr>
        <w:t>豁免</w:t>
      </w:r>
      <w:r w:rsidRPr="009D7813">
        <w:rPr>
          <w:rFonts w:ascii="Times New Roman" w:hAnsi="Times New Roman" w:cs="Times New Roman"/>
        </w:rPr>
        <w:t>等。</w:t>
      </w:r>
    </w:p>
    <w:bookmarkEnd w:id="0"/>
    <w:bookmarkEnd w:id="1"/>
    <w:p w:rsidR="00635C83" w:rsidRPr="00610E13" w:rsidRDefault="00635C83" w:rsidP="00C763CD">
      <w:pPr>
        <w:adjustRightInd w:val="0"/>
        <w:snapToGrid w:val="0"/>
        <w:spacing w:line="360" w:lineRule="auto"/>
        <w:ind w:firstLineChars="200" w:firstLine="640"/>
        <w:rPr>
          <w:rFonts w:ascii="Times New Roman" w:hAnsi="Times New Roman" w:cs="Times New Roman"/>
        </w:rPr>
      </w:pPr>
      <w:r w:rsidRPr="009D7813">
        <w:rPr>
          <w:rFonts w:ascii="Times New Roman" w:hAnsi="Times New Roman" w:cs="Times New Roman"/>
        </w:rPr>
        <w:t>本指导原则</w:t>
      </w:r>
      <w:r w:rsidRPr="00C605CE">
        <w:rPr>
          <w:rFonts w:ascii="Times New Roman" w:hAnsi="Times New Roman" w:cs="Times New Roman" w:hint="eastAsia"/>
        </w:rPr>
        <w:t>关键内容为：</w:t>
      </w:r>
      <w:r w:rsidRPr="009D7813">
        <w:rPr>
          <w:rFonts w:ascii="Times New Roman" w:hAnsi="Times New Roman" w:cs="Times New Roman"/>
        </w:rPr>
        <w:t>（</w:t>
      </w:r>
      <w:r w:rsidRPr="009D7813">
        <w:rPr>
          <w:rFonts w:ascii="Times New Roman" w:hAnsi="Times New Roman" w:cs="Times New Roman"/>
        </w:rPr>
        <w:t>1</w:t>
      </w:r>
      <w:r w:rsidRPr="009D7813">
        <w:rPr>
          <w:rFonts w:ascii="Times New Roman" w:hAnsi="Times New Roman" w:cs="Times New Roman"/>
        </w:rPr>
        <w:t>）</w:t>
      </w:r>
      <w:r w:rsidR="00C763CD">
        <w:rPr>
          <w:rFonts w:ascii="Times New Roman" w:hAnsi="Times New Roman" w:cs="Times New Roman" w:hint="eastAsia"/>
        </w:rPr>
        <w:t>研究类型</w:t>
      </w:r>
      <w:r>
        <w:rPr>
          <w:rFonts w:ascii="Times New Roman" w:hAnsi="Times New Roman" w:cs="Times New Roman" w:hint="eastAsia"/>
        </w:rPr>
        <w:t>部分</w:t>
      </w:r>
      <w:r>
        <w:rPr>
          <w:rFonts w:ascii="Times New Roman" w:hAnsi="Times New Roman" w:cs="Times New Roman"/>
        </w:rPr>
        <w:t>，</w:t>
      </w:r>
      <w:r w:rsidRPr="00BB572B">
        <w:rPr>
          <w:rFonts w:ascii="Times New Roman" w:hAnsi="Times New Roman" w:cs="Times New Roman" w:hint="eastAsia"/>
        </w:rPr>
        <w:t>建议</w:t>
      </w:r>
      <w:r w:rsidR="00C763CD" w:rsidRPr="00C763CD">
        <w:rPr>
          <w:rFonts w:ascii="Times New Roman" w:hAnsi="Times New Roman" w:cs="Times New Roman" w:hint="eastAsia"/>
        </w:rPr>
        <w:t>采用两制剂、两周期、两序列交叉设计，也可采用部分重复</w:t>
      </w:r>
      <w:r w:rsidR="00C763CD">
        <w:rPr>
          <w:rFonts w:ascii="Times New Roman" w:hAnsi="Times New Roman" w:cs="Times New Roman" w:hint="eastAsia"/>
        </w:rPr>
        <w:t>或完全重复交叉设计，进行空腹条件下单次给药的人体生物等效性研究</w:t>
      </w:r>
      <w:r>
        <w:rPr>
          <w:rFonts w:ascii="Times New Roman" w:hAnsi="Times New Roman" w:cs="Times New Roman" w:hint="eastAsia"/>
        </w:rPr>
        <w:t>；</w:t>
      </w:r>
      <w:r w:rsidR="00C763CD" w:rsidRPr="00C763CD">
        <w:rPr>
          <w:rFonts w:ascii="Times New Roman" w:hAnsi="Times New Roman" w:cs="Times New Roman" w:hint="eastAsia"/>
        </w:rPr>
        <w:t>（</w:t>
      </w:r>
      <w:r w:rsidR="00C763CD" w:rsidRPr="00C763CD">
        <w:rPr>
          <w:rFonts w:ascii="Times New Roman" w:hAnsi="Times New Roman" w:cs="Times New Roman"/>
        </w:rPr>
        <w:t>2</w:t>
      </w:r>
      <w:r w:rsidR="00C763CD">
        <w:rPr>
          <w:rFonts w:ascii="Times New Roman" w:hAnsi="Times New Roman" w:cs="Times New Roman"/>
        </w:rPr>
        <w:t>）给药剂量，建议采用申报的最高规格</w:t>
      </w:r>
      <w:r w:rsidR="00C763CD">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w:t>
      </w:r>
      <w:r w:rsidR="00C763CD">
        <w:rPr>
          <w:rFonts w:ascii="Times New Roman" w:hAnsi="Times New Roman" w:cs="Times New Roman" w:hint="eastAsia"/>
        </w:rPr>
        <w:t>生物</w:t>
      </w:r>
      <w:r w:rsidR="00C763CD">
        <w:rPr>
          <w:rFonts w:ascii="Times New Roman" w:hAnsi="Times New Roman" w:cs="Times New Roman"/>
        </w:rPr>
        <w:t>等效性评价方面，</w:t>
      </w:r>
      <w:r w:rsidR="00C763CD" w:rsidRPr="00C763CD">
        <w:rPr>
          <w:rFonts w:ascii="Times New Roman" w:hAnsi="Times New Roman" w:cs="Times New Roman"/>
          <w:color w:val="000000"/>
          <w:kern w:val="0"/>
        </w:rPr>
        <w:t>以</w:t>
      </w:r>
      <w:r w:rsidR="00C763CD" w:rsidRPr="00C763CD">
        <w:rPr>
          <w:rFonts w:ascii="Times New Roman" w:hAnsi="Times New Roman" w:cs="Times New Roman" w:hint="eastAsia"/>
          <w:color w:val="000000"/>
          <w:kern w:val="0"/>
        </w:rPr>
        <w:t>硫辛酸</w:t>
      </w:r>
      <w:r w:rsidR="00C763CD" w:rsidRPr="00C763CD">
        <w:rPr>
          <w:rFonts w:ascii="Times New Roman" w:hAnsi="Times New Roman" w:cs="Times New Roman"/>
          <w:color w:val="000000"/>
          <w:kern w:val="0"/>
        </w:rPr>
        <w:t>的</w:t>
      </w:r>
      <w:r w:rsidR="00C763CD" w:rsidRPr="00C763CD">
        <w:rPr>
          <w:rFonts w:ascii="Times New Roman" w:hAnsi="Times New Roman" w:cs="Times New Roman"/>
          <w:color w:val="000000"/>
          <w:kern w:val="0"/>
        </w:rPr>
        <w:t>C</w:t>
      </w:r>
      <w:r w:rsidR="00C763CD" w:rsidRPr="00C763CD">
        <w:rPr>
          <w:rFonts w:ascii="Times New Roman" w:hAnsi="Times New Roman" w:cs="Times New Roman"/>
          <w:color w:val="000000"/>
          <w:kern w:val="0"/>
          <w:vertAlign w:val="subscript"/>
        </w:rPr>
        <w:t>max</w:t>
      </w:r>
      <w:r w:rsidR="00C763CD" w:rsidRPr="00C763CD">
        <w:rPr>
          <w:rFonts w:ascii="Times New Roman" w:hAnsi="Times New Roman" w:cs="Times New Roman"/>
          <w:color w:val="000000"/>
          <w:kern w:val="0"/>
        </w:rPr>
        <w:t>、</w:t>
      </w:r>
      <w:r w:rsidR="00C763CD" w:rsidRPr="00C763CD">
        <w:rPr>
          <w:rFonts w:ascii="Times New Roman" w:hAnsi="Times New Roman" w:cs="Times New Roman"/>
          <w:color w:val="000000"/>
          <w:kern w:val="0"/>
        </w:rPr>
        <w:t>AUC</w:t>
      </w:r>
      <w:r w:rsidR="00C763CD" w:rsidRPr="00C763CD">
        <w:rPr>
          <w:rFonts w:ascii="Times New Roman" w:hAnsi="Times New Roman" w:cs="Times New Roman"/>
          <w:color w:val="000000"/>
          <w:kern w:val="0"/>
          <w:vertAlign w:val="subscript"/>
        </w:rPr>
        <w:t>0-t</w:t>
      </w:r>
      <w:r w:rsidR="00C763CD" w:rsidRPr="00C763CD">
        <w:rPr>
          <w:rFonts w:ascii="Times New Roman" w:hAnsi="Times New Roman" w:cs="Times New Roman"/>
          <w:color w:val="000000"/>
          <w:kern w:val="0"/>
        </w:rPr>
        <w:t>和</w:t>
      </w:r>
      <w:r w:rsidR="00C763CD" w:rsidRPr="00C763CD">
        <w:rPr>
          <w:rFonts w:ascii="Times New Roman" w:hAnsi="Times New Roman" w:cs="Times New Roman"/>
          <w:color w:val="000000"/>
          <w:kern w:val="0"/>
        </w:rPr>
        <w:t>AUC</w:t>
      </w:r>
      <w:r w:rsidR="00C763CD" w:rsidRPr="00C763CD">
        <w:rPr>
          <w:rFonts w:ascii="Times New Roman" w:hAnsi="Times New Roman" w:cs="Times New Roman"/>
          <w:color w:val="000000"/>
          <w:kern w:val="0"/>
          <w:vertAlign w:val="subscript"/>
        </w:rPr>
        <w:t>0-∞</w:t>
      </w:r>
      <w:r w:rsidR="00C763CD" w:rsidRPr="00C763CD">
        <w:rPr>
          <w:rFonts w:ascii="Times New Roman" w:hAnsi="Times New Roman" w:cs="Times New Roman"/>
          <w:color w:val="000000"/>
          <w:kern w:val="0"/>
        </w:rPr>
        <w:t>作为生物等效性评价指标</w:t>
      </w:r>
      <w:r w:rsidR="00C763CD" w:rsidRPr="00C763CD">
        <w:rPr>
          <w:rFonts w:ascii="Times New Roman" w:hAnsi="Times New Roman" w:cs="Times New Roman" w:hint="eastAsia"/>
          <w:color w:val="000000"/>
          <w:kern w:val="0"/>
        </w:rPr>
        <w:t>。</w:t>
      </w:r>
      <w:r w:rsidR="00C763CD" w:rsidRPr="00C763CD">
        <w:rPr>
          <w:rFonts w:ascii="Times New Roman" w:hAnsi="Times New Roman" w:cs="Times New Roman"/>
          <w:color w:val="000000"/>
          <w:kern w:val="0"/>
        </w:rPr>
        <w:t>如</w:t>
      </w:r>
      <w:r w:rsidR="00C763CD" w:rsidRPr="00C763CD">
        <w:rPr>
          <w:rFonts w:ascii="Times New Roman" w:hAnsi="Times New Roman" w:cs="Times New Roman"/>
          <w:color w:val="000000"/>
        </w:rPr>
        <w:t>采用平均生物等效性方法进行评价</w:t>
      </w:r>
      <w:r w:rsidR="00C763CD" w:rsidRPr="00C763CD">
        <w:rPr>
          <w:rFonts w:ascii="Times New Roman" w:hAnsi="Times New Roman" w:cs="Times New Roman"/>
          <w:color w:val="000000"/>
          <w:kern w:val="0"/>
        </w:rPr>
        <w:t>，</w:t>
      </w:r>
      <w:bookmarkStart w:id="3" w:name="OLE_LINK11"/>
      <w:r w:rsidR="00C763CD" w:rsidRPr="00C763CD">
        <w:rPr>
          <w:rFonts w:ascii="Times New Roman" w:hAnsi="Times New Roman" w:cs="Times New Roman"/>
          <w:color w:val="000000"/>
        </w:rPr>
        <w:t>受试制剂与参比制剂的</w:t>
      </w:r>
      <w:bookmarkEnd w:id="3"/>
      <w:r w:rsidR="00C763CD" w:rsidRPr="00C763CD">
        <w:rPr>
          <w:rFonts w:ascii="Times New Roman" w:hAnsi="Times New Roman" w:cs="Times New Roman"/>
          <w:color w:val="000000"/>
        </w:rPr>
        <w:t>C</w:t>
      </w:r>
      <w:r w:rsidR="00C763CD" w:rsidRPr="00C763CD">
        <w:rPr>
          <w:rFonts w:ascii="Times New Roman" w:hAnsi="Times New Roman" w:cs="Times New Roman"/>
          <w:color w:val="000000"/>
          <w:vertAlign w:val="subscript"/>
        </w:rPr>
        <w:t>max</w:t>
      </w:r>
      <w:r w:rsidR="00C763CD" w:rsidRPr="00C763CD">
        <w:rPr>
          <w:rFonts w:ascii="Times New Roman" w:hAnsi="Times New Roman" w:cs="Times New Roman"/>
          <w:color w:val="000000"/>
        </w:rPr>
        <w:t>、</w:t>
      </w:r>
      <w:r w:rsidR="00C763CD" w:rsidRPr="00C763CD">
        <w:rPr>
          <w:rFonts w:ascii="Times New Roman" w:hAnsi="Times New Roman" w:cs="Times New Roman"/>
          <w:color w:val="000000"/>
        </w:rPr>
        <w:t>AUC</w:t>
      </w:r>
      <w:r w:rsidR="00C763CD" w:rsidRPr="00C763CD">
        <w:rPr>
          <w:rFonts w:ascii="Times New Roman" w:hAnsi="Times New Roman" w:cs="Times New Roman"/>
          <w:color w:val="000000"/>
          <w:vertAlign w:val="subscript"/>
        </w:rPr>
        <w:t>0-t</w:t>
      </w:r>
      <w:r w:rsidR="00C763CD" w:rsidRPr="00C763CD">
        <w:rPr>
          <w:rFonts w:ascii="Times New Roman" w:hAnsi="Times New Roman" w:cs="Times New Roman"/>
          <w:color w:val="000000"/>
        </w:rPr>
        <w:t>和</w:t>
      </w:r>
      <w:r w:rsidR="00C763CD" w:rsidRPr="00C763CD">
        <w:rPr>
          <w:rFonts w:ascii="Times New Roman" w:hAnsi="Times New Roman" w:cs="Times New Roman"/>
          <w:color w:val="000000"/>
        </w:rPr>
        <w:t>AUC</w:t>
      </w:r>
      <w:r w:rsidR="00C763CD" w:rsidRPr="00C763CD">
        <w:rPr>
          <w:rFonts w:ascii="Times New Roman" w:hAnsi="Times New Roman" w:cs="Times New Roman"/>
          <w:color w:val="000000"/>
          <w:vertAlign w:val="subscript"/>
        </w:rPr>
        <w:t>0-∞</w:t>
      </w:r>
      <w:r w:rsidR="00C763CD" w:rsidRPr="00C763CD">
        <w:rPr>
          <w:rFonts w:ascii="Times New Roman" w:hAnsi="Times New Roman" w:cs="Times New Roman"/>
          <w:color w:val="000000"/>
        </w:rPr>
        <w:t>的几何均值比</w:t>
      </w:r>
      <w:r w:rsidR="00C763CD" w:rsidRPr="00C763CD">
        <w:rPr>
          <w:rFonts w:ascii="Times New Roman" w:hAnsi="Times New Roman" w:cs="Times New Roman"/>
          <w:color w:val="000000"/>
        </w:rPr>
        <w:lastRenderedPageBreak/>
        <w:t>的</w:t>
      </w:r>
      <w:r w:rsidR="00C763CD" w:rsidRPr="00C763CD">
        <w:rPr>
          <w:rFonts w:ascii="Times New Roman" w:hAnsi="Times New Roman" w:cs="Times New Roman"/>
          <w:color w:val="000000"/>
        </w:rPr>
        <w:t>90%</w:t>
      </w:r>
      <w:r w:rsidR="00C763CD" w:rsidRPr="00C763CD">
        <w:rPr>
          <w:rFonts w:ascii="Times New Roman" w:hAnsi="Times New Roman" w:cs="Times New Roman"/>
          <w:color w:val="000000"/>
        </w:rPr>
        <w:t>置信区间在</w:t>
      </w:r>
      <w:r w:rsidR="00C763CD" w:rsidRPr="00C763CD">
        <w:rPr>
          <w:rFonts w:ascii="Times New Roman" w:hAnsi="Times New Roman" w:cs="Times New Roman"/>
          <w:color w:val="000000"/>
        </w:rPr>
        <w:t>80.00%~125.00%</w:t>
      </w:r>
      <w:r w:rsidR="00C763CD" w:rsidRPr="00C763CD">
        <w:rPr>
          <w:rFonts w:ascii="Times New Roman" w:hAnsi="Times New Roman" w:cs="Times New Roman"/>
          <w:color w:val="000000"/>
        </w:rPr>
        <w:t>范围内。如采用</w:t>
      </w:r>
      <w:r w:rsidR="00C763CD" w:rsidRPr="00C763CD">
        <w:rPr>
          <w:rFonts w:ascii="Times New Roman" w:hAnsi="Times New Roman" w:cs="Times New Roman"/>
          <w:szCs w:val="32"/>
        </w:rPr>
        <w:t>参比制剂标度的平均生物等效性方法进行评价，参比制剂的个体内标准差（</w:t>
      </w:r>
      <w:r w:rsidR="00C763CD" w:rsidRPr="00C763CD">
        <w:rPr>
          <w:rFonts w:ascii="Times New Roman" w:hAnsi="Times New Roman" w:cs="Times New Roman"/>
          <w:i/>
          <w:iCs/>
          <w:szCs w:val="32"/>
        </w:rPr>
        <w:t>S</w:t>
      </w:r>
      <w:r w:rsidR="00C763CD" w:rsidRPr="00C763CD">
        <w:rPr>
          <w:rFonts w:ascii="Times New Roman" w:hAnsi="Times New Roman" w:cs="Times New Roman"/>
          <w:i/>
          <w:iCs/>
          <w:szCs w:val="32"/>
          <w:vertAlign w:val="subscript"/>
        </w:rPr>
        <w:t>WR</w:t>
      </w:r>
      <w:r w:rsidR="00C763CD" w:rsidRPr="00C763CD">
        <w:rPr>
          <w:rFonts w:ascii="Times New Roman" w:hAnsi="Times New Roman" w:cs="Times New Roman"/>
          <w:szCs w:val="32"/>
        </w:rPr>
        <w:t>）应</w:t>
      </w:r>
      <w:r w:rsidR="00C763CD" w:rsidRPr="00C763CD">
        <w:rPr>
          <w:rFonts w:ascii="Times New Roman" w:hAnsi="Times New Roman" w:cs="Times New Roman" w:hint="eastAsia"/>
          <w:szCs w:val="32"/>
        </w:rPr>
        <w:t>大于等于</w:t>
      </w:r>
      <w:r w:rsidR="00C763CD" w:rsidRPr="00C763CD">
        <w:rPr>
          <w:rFonts w:ascii="Times New Roman" w:hAnsi="Times New Roman" w:cs="Times New Roman"/>
          <w:szCs w:val="32"/>
        </w:rPr>
        <w:t>0.294</w:t>
      </w:r>
      <w:r w:rsidR="00C763CD" w:rsidRPr="00C763CD">
        <w:rPr>
          <w:rFonts w:ascii="Times New Roman" w:hAnsi="Times New Roman" w:cs="Times New Roman"/>
          <w:szCs w:val="32"/>
        </w:rPr>
        <w:t>，</w:t>
      </w:r>
      <w:bookmarkStart w:id="4" w:name="OLE_LINK13"/>
      <w:r w:rsidR="00C763CD" w:rsidRPr="00C763CD">
        <w:rPr>
          <w:rFonts w:ascii="Times New Roman" w:eastAsia="等线" w:hAnsi="Times New Roman" w:cs="Times New Roman"/>
          <w:color w:val="000000"/>
          <w:position w:val="-16"/>
          <w:szCs w:val="32"/>
        </w:rPr>
        <w:object w:dxaOrig="166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3.25pt" o:ole="">
            <v:imagedata r:id="rId6" o:title=""/>
          </v:shape>
          <o:OLEObject Type="Embed" ProgID="Equation.DSMT4" ShapeID="_x0000_i1025" DrawAspect="Content" ObjectID="_1751201364" r:id="rId7"/>
        </w:object>
      </w:r>
      <w:bookmarkEnd w:id="4"/>
      <w:r w:rsidR="00C763CD" w:rsidRPr="00C763CD">
        <w:rPr>
          <w:rFonts w:ascii="Times New Roman" w:hAnsi="Times New Roman" w:cs="Times New Roman"/>
          <w:color w:val="000000"/>
          <w:kern w:val="0"/>
          <w:szCs w:val="32"/>
        </w:rPr>
        <w:t>的单侧</w:t>
      </w:r>
      <w:r w:rsidR="00C763CD" w:rsidRPr="00C763CD">
        <w:rPr>
          <w:rFonts w:ascii="Times New Roman" w:hAnsi="Times New Roman" w:cs="Times New Roman"/>
          <w:color w:val="000000"/>
          <w:kern w:val="0"/>
          <w:szCs w:val="32"/>
        </w:rPr>
        <w:t>95%</w:t>
      </w:r>
      <w:r w:rsidR="00C763CD" w:rsidRPr="00C763CD">
        <w:rPr>
          <w:rFonts w:ascii="Times New Roman" w:hAnsi="Times New Roman" w:cs="Times New Roman"/>
          <w:color w:val="000000"/>
          <w:kern w:val="0"/>
          <w:szCs w:val="32"/>
        </w:rPr>
        <w:t>置信区间上限小于等于零，同时，制剂间</w:t>
      </w:r>
      <w:r w:rsidR="00C763CD" w:rsidRPr="00C763CD">
        <w:rPr>
          <w:rFonts w:ascii="Times New Roman" w:hAnsi="Times New Roman" w:cs="Times New Roman"/>
          <w:color w:val="000000"/>
          <w:szCs w:val="32"/>
        </w:rPr>
        <w:t>主要药动学参数的几何均值比的点估计值应在</w:t>
      </w:r>
      <w:r w:rsidR="00C763CD" w:rsidRPr="00C763CD">
        <w:rPr>
          <w:rFonts w:ascii="Times New Roman" w:hAnsi="Times New Roman" w:cs="Times New Roman"/>
          <w:color w:val="000000"/>
          <w:szCs w:val="32"/>
        </w:rPr>
        <w:t>80.00%~125.00%</w:t>
      </w:r>
      <w:r w:rsidR="00C763CD" w:rsidRPr="00C763CD">
        <w:rPr>
          <w:rFonts w:ascii="Times New Roman" w:hAnsi="Times New Roman" w:cs="Times New Roman"/>
          <w:color w:val="000000"/>
          <w:szCs w:val="32"/>
        </w:rPr>
        <w:t>范围内</w:t>
      </w:r>
      <w:r w:rsidR="00C763CD" w:rsidRPr="00C763CD">
        <w:rPr>
          <w:rFonts w:ascii="Times New Roman" w:hAnsi="Times New Roman" w:cs="Times New Roman" w:hint="eastAsia"/>
          <w:color w:val="000000"/>
          <w:szCs w:val="32"/>
        </w:rPr>
        <w:t>。</w:t>
      </w:r>
    </w:p>
    <w:p w:rsidR="00635C83" w:rsidRDefault="00C763CD" w:rsidP="00C763CD">
      <w:pPr>
        <w:adjustRightInd w:val="0"/>
        <w:snapToGrid w:val="0"/>
        <w:spacing w:line="360" w:lineRule="auto"/>
        <w:ind w:firstLineChars="200" w:firstLine="640"/>
        <w:rPr>
          <w:rFonts w:ascii="Times New Roman" w:hAnsi="Times New Roman" w:cs="Times New Roman"/>
        </w:rPr>
      </w:pPr>
      <w:r>
        <w:rPr>
          <w:rFonts w:ascii="Times New Roman" w:hAnsi="Times New Roman" w:cs="Times New Roman" w:hint="eastAsia"/>
        </w:rPr>
        <w:t>硫辛酸片</w:t>
      </w:r>
      <w:r w:rsidR="00635C83" w:rsidRPr="009D7813">
        <w:rPr>
          <w:rFonts w:ascii="Times New Roman" w:hAnsi="Times New Roman" w:cs="Times New Roman"/>
        </w:rPr>
        <w:t>生物等效性研究应符合本指导原则，还应参照《以药动学参数</w:t>
      </w:r>
      <w:r w:rsidR="00635C83">
        <w:rPr>
          <w:rFonts w:ascii="Times New Roman" w:hAnsi="Times New Roman" w:cs="Times New Roman"/>
        </w:rPr>
        <w:t>为终点评价指标的化学药物仿制药人体生物等效性研究技术指导原则》</w:t>
      </w:r>
      <w:r w:rsidR="00635C83" w:rsidRPr="00AC35C4">
        <w:rPr>
          <w:rFonts w:ascii="Times New Roman" w:hAnsi="Times New Roman" w:cs="Times New Roman" w:hint="eastAsia"/>
        </w:rPr>
        <w:t>、《生物等效性研究的统计学指导原则》</w:t>
      </w:r>
      <w:r>
        <w:rPr>
          <w:rFonts w:ascii="Times New Roman" w:hAnsi="Times New Roman" w:cs="Times New Roman" w:hint="eastAsia"/>
          <w:bCs/>
          <w:szCs w:val="32"/>
        </w:rPr>
        <w:t>和《高变异药物生物等效性研究技术指导原则》</w:t>
      </w:r>
      <w:r w:rsidR="00635C83" w:rsidRPr="009D7813">
        <w:rPr>
          <w:rFonts w:ascii="Times New Roman" w:hAnsi="Times New Roman" w:cs="Times New Roman"/>
        </w:rPr>
        <w:t>等相关指导原则。</w:t>
      </w:r>
    </w:p>
    <w:p w:rsidR="00635C83" w:rsidRPr="00C52120" w:rsidRDefault="00635C83" w:rsidP="00C763CD">
      <w:pPr>
        <w:adjustRightInd w:val="0"/>
        <w:snapToGrid w:val="0"/>
        <w:spacing w:line="360" w:lineRule="auto"/>
        <w:ind w:firstLineChars="200" w:firstLine="640"/>
        <w:rPr>
          <w:rFonts w:ascii="Times New Roman" w:hAnsi="Times New Roman" w:cs="Times New Roman"/>
        </w:rPr>
      </w:pPr>
      <w:r w:rsidRPr="00C52120">
        <w:rPr>
          <w:rFonts w:ascii="黑体" w:eastAsia="黑体" w:hAnsi="黑体" w:hint="eastAsia"/>
        </w:rPr>
        <w:t>五、需要说明的问题</w:t>
      </w:r>
    </w:p>
    <w:p w:rsidR="0027508E" w:rsidRPr="00635C83" w:rsidRDefault="00635C83" w:rsidP="00C763CD">
      <w:pPr>
        <w:adjustRightInd w:val="0"/>
        <w:snapToGrid w:val="0"/>
        <w:spacing w:line="360" w:lineRule="auto"/>
        <w:ind w:firstLineChars="200" w:firstLine="640"/>
        <w:rPr>
          <w:rFonts w:ascii="Times New Roman" w:hAnsi="Times New Roman" w:cs="Times New Roman"/>
        </w:rPr>
      </w:pPr>
      <w:r w:rsidRPr="00C52120">
        <w:rPr>
          <w:rFonts w:ascii="Times New Roman" w:hAnsi="Times New Roman" w:cs="Times New Roman" w:hint="eastAsia"/>
        </w:rPr>
        <w:t>无。</w:t>
      </w:r>
    </w:p>
    <w:sectPr w:rsidR="0027508E" w:rsidRPr="00635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CE" w:rsidRDefault="00664ACE" w:rsidP="00635C83">
      <w:r>
        <w:separator/>
      </w:r>
    </w:p>
  </w:endnote>
  <w:endnote w:type="continuationSeparator" w:id="0">
    <w:p w:rsidR="00664ACE" w:rsidRDefault="00664ACE" w:rsidP="0063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CE" w:rsidRDefault="00664ACE" w:rsidP="00635C83">
      <w:r>
        <w:separator/>
      </w:r>
    </w:p>
  </w:footnote>
  <w:footnote w:type="continuationSeparator" w:id="0">
    <w:p w:rsidR="00664ACE" w:rsidRDefault="00664ACE" w:rsidP="0063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3"/>
    <w:rsid w:val="00001DEC"/>
    <w:rsid w:val="000038F4"/>
    <w:rsid w:val="00015C8A"/>
    <w:rsid w:val="00017554"/>
    <w:rsid w:val="0003537E"/>
    <w:rsid w:val="000456BE"/>
    <w:rsid w:val="000A0193"/>
    <w:rsid w:val="000A2950"/>
    <w:rsid w:val="000D12DA"/>
    <w:rsid w:val="000D45A8"/>
    <w:rsid w:val="000E049A"/>
    <w:rsid w:val="000F0F60"/>
    <w:rsid w:val="001169E0"/>
    <w:rsid w:val="001264A8"/>
    <w:rsid w:val="00156EFD"/>
    <w:rsid w:val="001630BF"/>
    <w:rsid w:val="00181D36"/>
    <w:rsid w:val="00183ABC"/>
    <w:rsid w:val="00187472"/>
    <w:rsid w:val="00203F58"/>
    <w:rsid w:val="00204EA5"/>
    <w:rsid w:val="002169DA"/>
    <w:rsid w:val="002262EB"/>
    <w:rsid w:val="002264B7"/>
    <w:rsid w:val="002333C2"/>
    <w:rsid w:val="00233B00"/>
    <w:rsid w:val="00242642"/>
    <w:rsid w:val="002472B2"/>
    <w:rsid w:val="0027508E"/>
    <w:rsid w:val="00293FFD"/>
    <w:rsid w:val="00296230"/>
    <w:rsid w:val="002C44FF"/>
    <w:rsid w:val="002C561E"/>
    <w:rsid w:val="002C59E9"/>
    <w:rsid w:val="002F12C7"/>
    <w:rsid w:val="0031457B"/>
    <w:rsid w:val="003317E3"/>
    <w:rsid w:val="00335197"/>
    <w:rsid w:val="00344869"/>
    <w:rsid w:val="00346B89"/>
    <w:rsid w:val="003704AA"/>
    <w:rsid w:val="003A1470"/>
    <w:rsid w:val="003A35B5"/>
    <w:rsid w:val="003A3F55"/>
    <w:rsid w:val="003B4A1A"/>
    <w:rsid w:val="003C551C"/>
    <w:rsid w:val="003E7741"/>
    <w:rsid w:val="003F2D91"/>
    <w:rsid w:val="00410D2B"/>
    <w:rsid w:val="00415EA4"/>
    <w:rsid w:val="0046597B"/>
    <w:rsid w:val="00487729"/>
    <w:rsid w:val="00492948"/>
    <w:rsid w:val="004B2BF9"/>
    <w:rsid w:val="004B693D"/>
    <w:rsid w:val="004D4746"/>
    <w:rsid w:val="004F0E6A"/>
    <w:rsid w:val="00502D8D"/>
    <w:rsid w:val="00505275"/>
    <w:rsid w:val="00532CEF"/>
    <w:rsid w:val="005461DE"/>
    <w:rsid w:val="0058496A"/>
    <w:rsid w:val="005850B5"/>
    <w:rsid w:val="005E251D"/>
    <w:rsid w:val="005F7CC2"/>
    <w:rsid w:val="00627CC1"/>
    <w:rsid w:val="00635C83"/>
    <w:rsid w:val="00645EA3"/>
    <w:rsid w:val="00650D38"/>
    <w:rsid w:val="00664ACE"/>
    <w:rsid w:val="006675DE"/>
    <w:rsid w:val="00683327"/>
    <w:rsid w:val="0068766F"/>
    <w:rsid w:val="00691B30"/>
    <w:rsid w:val="006953E0"/>
    <w:rsid w:val="006B323E"/>
    <w:rsid w:val="006B7DD3"/>
    <w:rsid w:val="006B7E17"/>
    <w:rsid w:val="006E2B2D"/>
    <w:rsid w:val="00755479"/>
    <w:rsid w:val="0075788E"/>
    <w:rsid w:val="00775492"/>
    <w:rsid w:val="00776058"/>
    <w:rsid w:val="00780D82"/>
    <w:rsid w:val="007B0AAE"/>
    <w:rsid w:val="00832BC5"/>
    <w:rsid w:val="00840EDD"/>
    <w:rsid w:val="008674D6"/>
    <w:rsid w:val="008706ED"/>
    <w:rsid w:val="008A533A"/>
    <w:rsid w:val="008C4507"/>
    <w:rsid w:val="008D3EDE"/>
    <w:rsid w:val="008E5896"/>
    <w:rsid w:val="009044AD"/>
    <w:rsid w:val="009154A0"/>
    <w:rsid w:val="009352DA"/>
    <w:rsid w:val="009B3524"/>
    <w:rsid w:val="009E6F3C"/>
    <w:rsid w:val="009F382F"/>
    <w:rsid w:val="00A239C1"/>
    <w:rsid w:val="00A2490D"/>
    <w:rsid w:val="00A27925"/>
    <w:rsid w:val="00A44173"/>
    <w:rsid w:val="00A56A62"/>
    <w:rsid w:val="00A70A15"/>
    <w:rsid w:val="00AD0063"/>
    <w:rsid w:val="00AF185A"/>
    <w:rsid w:val="00B12126"/>
    <w:rsid w:val="00B15B68"/>
    <w:rsid w:val="00B35B70"/>
    <w:rsid w:val="00B668DA"/>
    <w:rsid w:val="00B7784B"/>
    <w:rsid w:val="00BA10E8"/>
    <w:rsid w:val="00BB41F0"/>
    <w:rsid w:val="00BC6CE9"/>
    <w:rsid w:val="00BE2226"/>
    <w:rsid w:val="00C0003D"/>
    <w:rsid w:val="00C034A6"/>
    <w:rsid w:val="00C1223C"/>
    <w:rsid w:val="00C56DFA"/>
    <w:rsid w:val="00C5755E"/>
    <w:rsid w:val="00C763CD"/>
    <w:rsid w:val="00C764AE"/>
    <w:rsid w:val="00CF5248"/>
    <w:rsid w:val="00D24C57"/>
    <w:rsid w:val="00D26B99"/>
    <w:rsid w:val="00D31D6D"/>
    <w:rsid w:val="00D35DF3"/>
    <w:rsid w:val="00D81562"/>
    <w:rsid w:val="00DC1846"/>
    <w:rsid w:val="00DD60A9"/>
    <w:rsid w:val="00E13405"/>
    <w:rsid w:val="00E3201B"/>
    <w:rsid w:val="00E35F47"/>
    <w:rsid w:val="00E371D0"/>
    <w:rsid w:val="00E4727A"/>
    <w:rsid w:val="00E51001"/>
    <w:rsid w:val="00E51D1D"/>
    <w:rsid w:val="00E81421"/>
    <w:rsid w:val="00E84FFD"/>
    <w:rsid w:val="00E87521"/>
    <w:rsid w:val="00EC6654"/>
    <w:rsid w:val="00EF37E7"/>
    <w:rsid w:val="00F25787"/>
    <w:rsid w:val="00F25A47"/>
    <w:rsid w:val="00F33E5A"/>
    <w:rsid w:val="00F432EB"/>
    <w:rsid w:val="00F85A98"/>
    <w:rsid w:val="00F954C5"/>
    <w:rsid w:val="00FA2970"/>
    <w:rsid w:val="00FA526F"/>
    <w:rsid w:val="00FC0A70"/>
    <w:rsid w:val="00FC76B7"/>
    <w:rsid w:val="00FF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31A2"/>
  <w15:chartTrackingRefBased/>
  <w15:docId w15:val="{B662FFC8-23A3-4DCC-9380-5EE98B25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8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83"/>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a4">
    <w:name w:val="页眉 字符"/>
    <w:basedOn w:val="a0"/>
    <w:link w:val="a3"/>
    <w:uiPriority w:val="99"/>
    <w:rsid w:val="00635C83"/>
    <w:rPr>
      <w:sz w:val="18"/>
      <w:szCs w:val="18"/>
    </w:rPr>
  </w:style>
  <w:style w:type="paragraph" w:styleId="a5">
    <w:name w:val="footer"/>
    <w:basedOn w:val="a"/>
    <w:link w:val="a6"/>
    <w:uiPriority w:val="99"/>
    <w:unhideWhenUsed/>
    <w:rsid w:val="00635C83"/>
    <w:pPr>
      <w:tabs>
        <w:tab w:val="center" w:pos="4153"/>
        <w:tab w:val="right" w:pos="8306"/>
      </w:tabs>
      <w:snapToGrid w:val="0"/>
      <w:jc w:val="left"/>
    </w:pPr>
    <w:rPr>
      <w:rFonts w:eastAsiaTheme="minorEastAsia"/>
      <w:sz w:val="18"/>
      <w:szCs w:val="18"/>
    </w:rPr>
  </w:style>
  <w:style w:type="character" w:customStyle="1" w:styleId="a6">
    <w:name w:val="页脚 字符"/>
    <w:basedOn w:val="a0"/>
    <w:link w:val="a5"/>
    <w:uiPriority w:val="99"/>
    <w:rsid w:val="00635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李栋</dc:creator>
  <cp:keywords/>
  <dc:description/>
  <cp:lastModifiedBy>哈莉莉</cp:lastModifiedBy>
  <cp:revision>4</cp:revision>
  <dcterms:created xsi:type="dcterms:W3CDTF">2023-07-18T01:27:00Z</dcterms:created>
  <dcterms:modified xsi:type="dcterms:W3CDTF">2023-07-18T08:01:00Z</dcterms:modified>
</cp:coreProperties>
</file>