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F7" w:rsidRDefault="00635C83" w:rsidP="00F22ABF">
      <w:pPr>
        <w:spacing w:line="360" w:lineRule="auto"/>
        <w:jc w:val="center"/>
        <w:rPr>
          <w:rFonts w:ascii="方正小标宋简体" w:eastAsia="方正小标宋简体" w:hAnsi="Calibri" w:cs="Times New Roman"/>
          <w:sz w:val="36"/>
          <w:szCs w:val="36"/>
        </w:rPr>
      </w:pPr>
      <w:r w:rsidRPr="00944124">
        <w:rPr>
          <w:rFonts w:ascii="方正小标宋简体" w:eastAsia="方正小标宋简体" w:hAnsi="Calibri" w:cs="Times New Roman" w:hint="eastAsia"/>
          <w:sz w:val="36"/>
          <w:szCs w:val="36"/>
        </w:rPr>
        <w:t>《</w:t>
      </w:r>
      <w:r w:rsidR="00F22ABF" w:rsidRPr="00F22ABF">
        <w:rPr>
          <w:rFonts w:ascii="方正小标宋简体" w:eastAsia="方正小标宋简体" w:hAnsi="Calibri" w:cs="Times New Roman" w:hint="eastAsia"/>
          <w:sz w:val="36"/>
          <w:szCs w:val="36"/>
        </w:rPr>
        <w:t>利丙双卡因乳膏</w:t>
      </w:r>
      <w:r w:rsidRPr="00944124">
        <w:rPr>
          <w:rFonts w:ascii="方正小标宋简体" w:eastAsia="方正小标宋简体" w:hAnsi="Calibri" w:cs="Times New Roman" w:hint="eastAsia"/>
          <w:sz w:val="36"/>
          <w:szCs w:val="36"/>
        </w:rPr>
        <w:t>生物等效性研究技术指导原则</w:t>
      </w:r>
    </w:p>
    <w:p w:rsidR="00635C83" w:rsidRPr="005B6043" w:rsidRDefault="000033F7" w:rsidP="00F22ABF">
      <w:pPr>
        <w:spacing w:line="360" w:lineRule="auto"/>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（征求意见稿）</w:t>
      </w:r>
      <w:r w:rsidR="00635C83" w:rsidRPr="00944124">
        <w:rPr>
          <w:rFonts w:ascii="方正小标宋简体" w:eastAsia="方正小标宋简体" w:hAnsi="Calibri" w:cs="Times New Roman" w:hint="eastAsia"/>
          <w:sz w:val="36"/>
          <w:szCs w:val="36"/>
        </w:rPr>
        <w:t>》</w:t>
      </w:r>
      <w:r w:rsidR="00635C83" w:rsidRPr="001136CE">
        <w:rPr>
          <w:rFonts w:ascii="方正小标宋简体" w:eastAsia="方正小标宋简体" w:hint="eastAsia"/>
          <w:sz w:val="36"/>
          <w:szCs w:val="36"/>
        </w:rPr>
        <w:t>起草说明</w:t>
      </w:r>
    </w:p>
    <w:p w:rsidR="00635C83" w:rsidRPr="001136CE" w:rsidRDefault="00635C83" w:rsidP="00635C83">
      <w:pPr>
        <w:spacing w:line="360" w:lineRule="auto"/>
        <w:jc w:val="center"/>
        <w:rPr>
          <w:rFonts w:ascii="方正小标宋简体" w:eastAsia="方正小标宋简体" w:hAnsi="Calibri" w:cs="Times New Roman"/>
          <w:sz w:val="36"/>
          <w:szCs w:val="36"/>
        </w:rPr>
      </w:pPr>
    </w:p>
    <w:p w:rsidR="00635C83" w:rsidRPr="00075DF1" w:rsidRDefault="00635C83" w:rsidP="00635C83">
      <w:pPr>
        <w:spacing w:line="360" w:lineRule="auto"/>
        <w:ind w:firstLineChars="200" w:firstLine="640"/>
        <w:rPr>
          <w:rFonts w:ascii="黑体" w:eastAsia="黑体" w:hAnsi="黑体"/>
        </w:rPr>
      </w:pPr>
      <w:r w:rsidRPr="00075DF1">
        <w:rPr>
          <w:rFonts w:ascii="黑体" w:eastAsia="黑体" w:hAnsi="黑体"/>
        </w:rPr>
        <w:t>一、背景和目的</w:t>
      </w:r>
    </w:p>
    <w:p w:rsidR="00635C83" w:rsidRPr="009D7813" w:rsidRDefault="0014183B" w:rsidP="00635C83">
      <w:pPr>
        <w:spacing w:line="360" w:lineRule="auto"/>
        <w:ind w:firstLineChars="200" w:firstLine="640"/>
        <w:rPr>
          <w:rFonts w:ascii="Times New Roman" w:hAnsi="Times New Roman" w:cs="Times New Roman"/>
        </w:rPr>
      </w:pPr>
      <w:r>
        <w:rPr>
          <w:rFonts w:hint="eastAsia"/>
        </w:rPr>
        <w:t>利丙双卡因乳膏（</w:t>
      </w:r>
      <w:r w:rsidRPr="000033F7">
        <w:rPr>
          <w:rFonts w:ascii="Times New Roman" w:hAnsi="Times New Roman" w:cs="Times New Roman"/>
        </w:rPr>
        <w:t>Lidocaine and Prilocaine Cream</w:t>
      </w:r>
      <w:r>
        <w:t>）是利多卡因和丙胺卡因按重量比</w:t>
      </w:r>
      <w:r>
        <w:t>1</w:t>
      </w:r>
      <w:r>
        <w:rPr>
          <w:rFonts w:hint="eastAsia"/>
        </w:rPr>
        <w:t>:</w:t>
      </w:r>
      <w:r>
        <w:t>1</w:t>
      </w:r>
      <w:r>
        <w:t>混合制备而成的复方乳膏剂，用于针穿刺、浅层外科手术的皮肤局部麻醉。</w:t>
      </w:r>
    </w:p>
    <w:p w:rsidR="00635C83" w:rsidRPr="009D7813" w:rsidRDefault="00635C83" w:rsidP="00635C83">
      <w:pPr>
        <w:spacing w:line="360" w:lineRule="auto"/>
        <w:ind w:firstLineChars="200" w:firstLine="640"/>
        <w:rPr>
          <w:rFonts w:ascii="Times New Roman" w:hAnsi="Times New Roman" w:cs="Times New Roman"/>
        </w:rPr>
      </w:pPr>
      <w:r w:rsidRPr="009D7813">
        <w:rPr>
          <w:rFonts w:ascii="Times New Roman" w:hAnsi="Times New Roman" w:cs="Times New Roman"/>
        </w:rPr>
        <w:t>目前，我国尚无本品生物等效性研究技术指导原则。为构建以指导原则为核心的审评标准体系，进一步规范</w:t>
      </w:r>
      <w:r w:rsidR="0014183B">
        <w:rPr>
          <w:rFonts w:ascii="Times New Roman" w:hAnsi="Times New Roman" w:cs="Times New Roman" w:hint="eastAsia"/>
        </w:rPr>
        <w:t>利丙双卡因乳膏</w:t>
      </w:r>
      <w:r w:rsidRPr="009D7813">
        <w:rPr>
          <w:rFonts w:ascii="Times New Roman" w:hAnsi="Times New Roman" w:cs="Times New Roman"/>
        </w:rPr>
        <w:t>生物等效性研究，药审中心组织起草了本指导原则，以期为</w:t>
      </w:r>
      <w:r w:rsidR="0014183B">
        <w:rPr>
          <w:rFonts w:ascii="Times New Roman" w:hAnsi="Times New Roman" w:cs="Times New Roman" w:hint="eastAsia"/>
        </w:rPr>
        <w:t>利丙双卡因乳膏</w:t>
      </w:r>
      <w:r w:rsidRPr="009D7813">
        <w:rPr>
          <w:rFonts w:ascii="Times New Roman" w:hAnsi="Times New Roman" w:cs="Times New Roman"/>
        </w:rPr>
        <w:t>生物等效性研究提供技术指导。</w:t>
      </w:r>
    </w:p>
    <w:p w:rsidR="00635C83" w:rsidRPr="00075DF1" w:rsidRDefault="00635C83" w:rsidP="00635C83">
      <w:pPr>
        <w:spacing w:line="360" w:lineRule="auto"/>
        <w:ind w:firstLineChars="200" w:firstLine="640"/>
        <w:rPr>
          <w:rFonts w:ascii="Times New Roman" w:eastAsia="黑体" w:hAnsi="Times New Roman" w:cs="Times New Roman"/>
        </w:rPr>
      </w:pPr>
      <w:r w:rsidRPr="00075DF1">
        <w:rPr>
          <w:rFonts w:ascii="Times New Roman" w:eastAsia="黑体" w:hAnsi="Times New Roman" w:cs="Times New Roman"/>
        </w:rPr>
        <w:t>二、起草过程</w:t>
      </w:r>
    </w:p>
    <w:p w:rsidR="00635C83" w:rsidRPr="00015D07" w:rsidRDefault="00635C83" w:rsidP="00635C83">
      <w:pPr>
        <w:spacing w:line="360" w:lineRule="auto"/>
        <w:ind w:firstLineChars="200" w:firstLine="640"/>
        <w:rPr>
          <w:rFonts w:ascii="楷体_GB2312" w:eastAsia="楷体_GB2312" w:hAnsi="Times New Roman" w:cs="Times New Roman"/>
        </w:rPr>
      </w:pPr>
      <w:r w:rsidRPr="00015D07">
        <w:rPr>
          <w:rFonts w:ascii="楷体_GB2312" w:eastAsia="楷体_GB2312" w:hAnsi="Times New Roman" w:cs="Times New Roman" w:hint="eastAsia"/>
        </w:rPr>
        <w:t>（一）起草前期调研论证情况</w:t>
      </w:r>
    </w:p>
    <w:p w:rsidR="00635C83" w:rsidRDefault="00635C83" w:rsidP="00635C83">
      <w:pPr>
        <w:spacing w:line="360" w:lineRule="auto"/>
        <w:ind w:firstLineChars="200" w:firstLine="640"/>
        <w:rPr>
          <w:rFonts w:ascii="Times New Roman" w:hAnsi="Times New Roman" w:cs="Times New Roman"/>
        </w:rPr>
      </w:pPr>
      <w:r>
        <w:rPr>
          <w:rFonts w:ascii="Times New Roman" w:hAnsi="Times New Roman" w:cs="Times New Roman" w:hint="eastAsia"/>
        </w:rPr>
        <w:t>FDA</w:t>
      </w:r>
      <w:r w:rsidR="0014183B">
        <w:rPr>
          <w:rFonts w:ascii="Times New Roman" w:hAnsi="Times New Roman" w:cs="Times New Roman" w:hint="eastAsia"/>
        </w:rPr>
        <w:t>已</w:t>
      </w:r>
      <w:r>
        <w:rPr>
          <w:rFonts w:ascii="Times New Roman" w:hAnsi="Times New Roman" w:cs="Times New Roman" w:hint="eastAsia"/>
        </w:rPr>
        <w:t>发布</w:t>
      </w:r>
      <w:r w:rsidR="0014183B">
        <w:rPr>
          <w:rFonts w:ascii="Times New Roman" w:hAnsi="Times New Roman" w:cs="Times New Roman" w:hint="eastAsia"/>
        </w:rPr>
        <w:t>利丙双卡因乳膏</w:t>
      </w:r>
      <w:r w:rsidR="0014183B" w:rsidRPr="009D7813">
        <w:rPr>
          <w:rFonts w:ascii="Times New Roman" w:hAnsi="Times New Roman" w:cs="Times New Roman"/>
        </w:rPr>
        <w:t>生物等效性研究</w:t>
      </w:r>
      <w:r>
        <w:rPr>
          <w:rFonts w:ascii="Times New Roman" w:hAnsi="Times New Roman" w:cs="Times New Roman" w:hint="eastAsia"/>
        </w:rPr>
        <w:t>的</w:t>
      </w:r>
      <w:r>
        <w:rPr>
          <w:rFonts w:ascii="Times New Roman" w:hAnsi="Times New Roman" w:cs="Times New Roman"/>
        </w:rPr>
        <w:t>个药指导原则</w:t>
      </w:r>
      <w:r>
        <w:rPr>
          <w:rFonts w:ascii="Times New Roman" w:hAnsi="Times New Roman" w:cs="Times New Roman" w:hint="eastAsia"/>
        </w:rPr>
        <w:t>。</w:t>
      </w:r>
    </w:p>
    <w:p w:rsidR="00635C83" w:rsidRDefault="00635C83" w:rsidP="00635C83">
      <w:pPr>
        <w:spacing w:line="360" w:lineRule="auto"/>
        <w:ind w:firstLineChars="200" w:firstLine="640"/>
        <w:rPr>
          <w:rFonts w:ascii="Times New Roman" w:hAnsi="Times New Roman" w:cs="Times New Roman"/>
        </w:rPr>
      </w:pPr>
      <w:r>
        <w:rPr>
          <w:rFonts w:ascii="Times New Roman" w:hAnsi="Times New Roman" w:cs="Times New Roman" w:hint="eastAsia"/>
        </w:rPr>
        <w:t>目前</w:t>
      </w:r>
      <w:r>
        <w:rPr>
          <w:rFonts w:ascii="Times New Roman" w:hAnsi="Times New Roman" w:cs="Times New Roman"/>
        </w:rPr>
        <w:t>，</w:t>
      </w:r>
      <w:r w:rsidRPr="00A20275">
        <w:rPr>
          <w:rFonts w:ascii="Times New Roman" w:hAnsi="Times New Roman" w:cs="Times New Roman" w:hint="eastAsia"/>
        </w:rPr>
        <w:t>我国已按照现行《注册管理办法》新注册分类及现行标准批准</w:t>
      </w:r>
      <w:r w:rsidR="000033F7" w:rsidRPr="000033F7">
        <w:rPr>
          <w:rFonts w:ascii="Times New Roman" w:hAnsi="Times New Roman" w:cs="Times New Roman"/>
        </w:rPr>
        <w:t>2</w:t>
      </w:r>
      <w:r w:rsidRPr="000033F7">
        <w:rPr>
          <w:rFonts w:ascii="Times New Roman" w:hAnsi="Times New Roman" w:cs="Times New Roman" w:hint="eastAsia"/>
        </w:rPr>
        <w:t>个</w:t>
      </w:r>
      <w:r w:rsidR="000033F7" w:rsidRPr="000033F7">
        <w:rPr>
          <w:rFonts w:ascii="Times New Roman" w:hAnsi="Times New Roman" w:cs="Times New Roman" w:hint="eastAsia"/>
        </w:rPr>
        <w:t>利丙双卡因乳膏</w:t>
      </w:r>
      <w:r w:rsidRPr="000033F7">
        <w:rPr>
          <w:rFonts w:ascii="Times New Roman" w:hAnsi="Times New Roman" w:cs="Times New Roman" w:hint="eastAsia"/>
        </w:rPr>
        <w:t>仿制药</w:t>
      </w:r>
      <w:r w:rsidR="000033F7" w:rsidRPr="000033F7">
        <w:rPr>
          <w:rFonts w:ascii="Times New Roman" w:hAnsi="Times New Roman" w:cs="Times New Roman" w:hint="eastAsia"/>
        </w:rPr>
        <w:t>上市申请</w:t>
      </w:r>
      <w:r w:rsidR="000033F7" w:rsidRPr="000033F7">
        <w:rPr>
          <w:rFonts w:ascii="Times New Roman" w:hAnsi="Times New Roman" w:cs="Times New Roman"/>
        </w:rPr>
        <w:t>，</w:t>
      </w:r>
      <w:r w:rsidR="000033F7" w:rsidRPr="000033F7">
        <w:rPr>
          <w:rFonts w:ascii="Times New Roman" w:hAnsi="Times New Roman" w:cs="Times New Roman" w:hint="eastAsia"/>
        </w:rPr>
        <w:t>1</w:t>
      </w:r>
      <w:r w:rsidR="000033F7" w:rsidRPr="000033F7">
        <w:rPr>
          <w:rFonts w:ascii="Times New Roman" w:hAnsi="Times New Roman" w:cs="Times New Roman" w:hint="eastAsia"/>
        </w:rPr>
        <w:t>个利丙双卡因乳膏补充</w:t>
      </w:r>
      <w:r w:rsidR="000033F7" w:rsidRPr="000033F7">
        <w:rPr>
          <w:rFonts w:ascii="Times New Roman" w:hAnsi="Times New Roman" w:cs="Times New Roman"/>
        </w:rPr>
        <w:t>申请</w:t>
      </w:r>
      <w:r w:rsidRPr="000033F7">
        <w:rPr>
          <w:rFonts w:ascii="Times New Roman" w:hAnsi="Times New Roman" w:cs="Times New Roman" w:hint="eastAsia"/>
        </w:rPr>
        <w:t>，</w:t>
      </w:r>
      <w:r w:rsidR="000033F7" w:rsidRPr="000033F7">
        <w:rPr>
          <w:rFonts w:ascii="Times New Roman" w:hAnsi="Times New Roman" w:cs="Times New Roman"/>
        </w:rPr>
        <w:t>18</w:t>
      </w:r>
      <w:r w:rsidRPr="000033F7">
        <w:rPr>
          <w:rFonts w:ascii="Times New Roman" w:hAnsi="Times New Roman" w:cs="Times New Roman" w:hint="eastAsia"/>
        </w:rPr>
        <w:t>个</w:t>
      </w:r>
      <w:r w:rsidRPr="000033F7">
        <w:rPr>
          <w:rFonts w:ascii="Times New Roman" w:hAnsi="Times New Roman" w:cs="Times New Roman"/>
        </w:rPr>
        <w:t>正在</w:t>
      </w:r>
      <w:r w:rsidRPr="000033F7">
        <w:rPr>
          <w:rFonts w:ascii="Times New Roman" w:hAnsi="Times New Roman" w:cs="Times New Roman" w:hint="eastAsia"/>
        </w:rPr>
        <w:t>审评中</w:t>
      </w:r>
      <w:r w:rsidRPr="000033F7">
        <w:rPr>
          <w:rFonts w:ascii="Times New Roman" w:hAnsi="Times New Roman" w:cs="Times New Roman"/>
        </w:rPr>
        <w:t>，</w:t>
      </w:r>
      <w:r w:rsidR="000033F7" w:rsidRPr="000033F7">
        <w:rPr>
          <w:rFonts w:ascii="Times New Roman" w:hAnsi="Times New Roman" w:cs="Times New Roman"/>
        </w:rPr>
        <w:t>17</w:t>
      </w:r>
      <w:r w:rsidRPr="000033F7">
        <w:rPr>
          <w:rFonts w:ascii="Times New Roman" w:hAnsi="Times New Roman" w:cs="Times New Roman" w:hint="eastAsia"/>
        </w:rPr>
        <w:t>个已</w:t>
      </w:r>
      <w:r w:rsidRPr="000033F7">
        <w:rPr>
          <w:rFonts w:ascii="Times New Roman" w:hAnsi="Times New Roman" w:cs="Times New Roman"/>
        </w:rPr>
        <w:t>备案开展生物等效性研究。</w:t>
      </w:r>
    </w:p>
    <w:p w:rsidR="00635C83" w:rsidRDefault="00635C83" w:rsidP="00635C83">
      <w:pPr>
        <w:spacing w:line="360" w:lineRule="auto"/>
        <w:ind w:firstLineChars="200" w:firstLine="640"/>
        <w:rPr>
          <w:rFonts w:ascii="Times New Roman" w:hAnsi="Times New Roman" w:cs="Times New Roman"/>
        </w:rPr>
      </w:pPr>
      <w:r>
        <w:rPr>
          <w:rFonts w:ascii="Times New Roman" w:hAnsi="Times New Roman" w:cs="Times New Roman" w:hint="eastAsia"/>
        </w:rPr>
        <w:t>结合</w:t>
      </w:r>
      <w:r>
        <w:rPr>
          <w:rFonts w:ascii="Times New Roman" w:hAnsi="Times New Roman" w:cs="Times New Roman"/>
        </w:rPr>
        <w:t>国内已有的研究数据</w:t>
      </w:r>
      <w:r>
        <w:rPr>
          <w:rFonts w:ascii="Times New Roman" w:hAnsi="Times New Roman" w:cs="Times New Roman" w:hint="eastAsia"/>
        </w:rPr>
        <w:t>、</w:t>
      </w:r>
      <w:r>
        <w:rPr>
          <w:rFonts w:ascii="Times New Roman" w:hAnsi="Times New Roman" w:cs="Times New Roman"/>
        </w:rPr>
        <w:t>备案情况等，</w:t>
      </w:r>
      <w:r>
        <w:rPr>
          <w:rFonts w:ascii="Times New Roman" w:hAnsi="Times New Roman" w:cs="Times New Roman" w:hint="eastAsia"/>
        </w:rPr>
        <w:t>对</w:t>
      </w:r>
      <w:r w:rsidR="0014183B">
        <w:rPr>
          <w:rFonts w:ascii="Times New Roman" w:hAnsi="Times New Roman" w:cs="Times New Roman" w:hint="eastAsia"/>
        </w:rPr>
        <w:t>利丙双卡因乳膏</w:t>
      </w:r>
      <w:r>
        <w:rPr>
          <w:rFonts w:ascii="Times New Roman" w:hAnsi="Times New Roman" w:cs="Times New Roman"/>
        </w:rPr>
        <w:t>生物等效性研究的</w:t>
      </w:r>
      <w:r>
        <w:rPr>
          <w:rFonts w:ascii="Times New Roman" w:hAnsi="Times New Roman" w:cs="Times New Roman" w:hint="eastAsia"/>
        </w:rPr>
        <w:t>设计做出推荐。</w:t>
      </w:r>
    </w:p>
    <w:p w:rsidR="00635C83" w:rsidRPr="003F4352" w:rsidRDefault="00635C83" w:rsidP="00635C83">
      <w:pPr>
        <w:spacing w:line="360" w:lineRule="auto"/>
        <w:ind w:firstLineChars="200" w:firstLine="640"/>
        <w:rPr>
          <w:rFonts w:ascii="楷体_GB2312" w:eastAsia="楷体_GB2312" w:hAnsi="Times New Roman" w:cs="Times New Roman"/>
        </w:rPr>
      </w:pPr>
      <w:r w:rsidRPr="003F4352">
        <w:rPr>
          <w:rFonts w:ascii="楷体_GB2312" w:eastAsia="楷体_GB2312" w:hAnsi="Times New Roman" w:cs="Times New Roman" w:hint="eastAsia"/>
        </w:rPr>
        <w:t>（二）指导原则制定或修订情况</w:t>
      </w:r>
    </w:p>
    <w:p w:rsidR="00635C83" w:rsidRPr="009D7813" w:rsidRDefault="00635C83" w:rsidP="00635C83">
      <w:pPr>
        <w:spacing w:line="360" w:lineRule="auto"/>
        <w:ind w:firstLineChars="200" w:firstLine="640"/>
        <w:rPr>
          <w:rFonts w:ascii="Times New Roman" w:hAnsi="Times New Roman" w:cs="Times New Roman"/>
        </w:rPr>
      </w:pPr>
      <w:r w:rsidRPr="009D7813">
        <w:rPr>
          <w:rFonts w:ascii="Times New Roman" w:hAnsi="Times New Roman" w:cs="Times New Roman"/>
        </w:rPr>
        <w:lastRenderedPageBreak/>
        <w:t>本指导原则由统计与临床药理学部</w:t>
      </w:r>
      <w:r>
        <w:rPr>
          <w:rFonts w:ascii="Times New Roman" w:hAnsi="Times New Roman" w:cs="Times New Roman" w:hint="eastAsia"/>
        </w:rPr>
        <w:t>起草</w:t>
      </w:r>
      <w:r w:rsidRPr="009D7813">
        <w:rPr>
          <w:rFonts w:ascii="Times New Roman" w:hAnsi="Times New Roman" w:cs="Times New Roman"/>
        </w:rPr>
        <w:t>，纳入了中心</w:t>
      </w:r>
      <w:r w:rsidRPr="009D7813">
        <w:rPr>
          <w:rFonts w:ascii="Times New Roman" w:hAnsi="Times New Roman" w:cs="Times New Roman"/>
        </w:rPr>
        <w:t>20</w:t>
      </w:r>
      <w:r>
        <w:rPr>
          <w:rFonts w:ascii="Times New Roman" w:hAnsi="Times New Roman" w:cs="Times New Roman"/>
        </w:rPr>
        <w:t>23</w:t>
      </w:r>
      <w:r w:rsidRPr="009D7813">
        <w:rPr>
          <w:rFonts w:ascii="Times New Roman" w:hAnsi="Times New Roman" w:cs="Times New Roman"/>
        </w:rPr>
        <w:t>年指导原则制修订计划</w:t>
      </w:r>
      <w:r>
        <w:rPr>
          <w:rFonts w:ascii="Times New Roman" w:hAnsi="Times New Roman" w:cs="Times New Roman" w:hint="eastAsia"/>
        </w:rPr>
        <w:t>。</w:t>
      </w:r>
      <w:r w:rsidRPr="009D7813">
        <w:rPr>
          <w:rFonts w:ascii="Times New Roman" w:hAnsi="Times New Roman" w:cs="Times New Roman"/>
        </w:rPr>
        <w:t>根据个药指导原则制定计划，统计与临床药理学部成立工作组，深入调研了美、欧、日等国的生物等效性技术要求及评判标准、审评报告、相关文献等，</w:t>
      </w:r>
      <w:r>
        <w:rPr>
          <w:rFonts w:ascii="Times New Roman" w:hAnsi="Times New Roman" w:cs="Times New Roman" w:hint="eastAsia"/>
        </w:rPr>
        <w:t>参考国内既往</w:t>
      </w:r>
      <w:r>
        <w:rPr>
          <w:rFonts w:ascii="Times New Roman" w:hAnsi="Times New Roman" w:cs="Times New Roman"/>
        </w:rPr>
        <w:t>审评经验，</w:t>
      </w:r>
      <w:r w:rsidRPr="009D7813">
        <w:rPr>
          <w:rFonts w:ascii="Times New Roman" w:hAnsi="Times New Roman" w:cs="Times New Roman"/>
        </w:rPr>
        <w:t>于</w:t>
      </w:r>
      <w:r w:rsidRPr="008626D9">
        <w:rPr>
          <w:rFonts w:ascii="Times New Roman" w:hAnsi="Times New Roman" w:cs="Times New Roman" w:hint="eastAsia"/>
        </w:rPr>
        <w:t>部门内</w:t>
      </w:r>
      <w:r w:rsidRPr="009D7813">
        <w:rPr>
          <w:rFonts w:ascii="Times New Roman" w:hAnsi="Times New Roman" w:cs="Times New Roman"/>
        </w:rPr>
        <w:t>开展多次讨论，初步形成指导原则初稿。</w:t>
      </w:r>
    </w:p>
    <w:p w:rsidR="00635C83" w:rsidRDefault="00635C83" w:rsidP="00635C83">
      <w:pPr>
        <w:spacing w:line="360" w:lineRule="auto"/>
        <w:ind w:firstLineChars="200" w:firstLine="640"/>
        <w:rPr>
          <w:rFonts w:ascii="Times New Roman" w:hAnsi="Times New Roman" w:cs="Times New Roman"/>
        </w:rPr>
      </w:pPr>
      <w:r w:rsidRPr="00747AD6">
        <w:rPr>
          <w:rFonts w:ascii="Times New Roman" w:hAnsi="Times New Roman" w:cs="Times New Roman"/>
        </w:rPr>
        <w:t>2022</w:t>
      </w:r>
      <w:r w:rsidRPr="00747AD6">
        <w:rPr>
          <w:rFonts w:ascii="Times New Roman" w:hAnsi="Times New Roman" w:cs="Times New Roman"/>
        </w:rPr>
        <w:t>年</w:t>
      </w:r>
      <w:r w:rsidR="0014183B">
        <w:rPr>
          <w:rFonts w:ascii="Times New Roman" w:hAnsi="Times New Roman" w:cs="Times New Roman"/>
        </w:rPr>
        <w:t>8</w:t>
      </w:r>
      <w:r w:rsidRPr="00747AD6">
        <w:rPr>
          <w:rFonts w:ascii="Times New Roman" w:hAnsi="Times New Roman" w:cs="Times New Roman"/>
        </w:rPr>
        <w:t>月</w:t>
      </w:r>
      <w:r w:rsidRPr="009D7813">
        <w:rPr>
          <w:rFonts w:ascii="Times New Roman" w:hAnsi="Times New Roman" w:cs="Times New Roman"/>
        </w:rPr>
        <w:t>，邀请学术界、产业界等多位一线专家召开改稿会，对关键技术要点进行研讨，并经中心内部征求意见和部门技术委员会审核，形成征求意见稿。</w:t>
      </w:r>
    </w:p>
    <w:p w:rsidR="00635C83" w:rsidRPr="009D7813" w:rsidRDefault="00635C83" w:rsidP="00635C83">
      <w:pPr>
        <w:spacing w:line="360" w:lineRule="auto"/>
        <w:ind w:firstLineChars="200" w:firstLine="640"/>
        <w:rPr>
          <w:rFonts w:ascii="黑体" w:eastAsia="黑体" w:hAnsi="黑体"/>
        </w:rPr>
      </w:pPr>
      <w:r w:rsidRPr="009D7813">
        <w:rPr>
          <w:rFonts w:ascii="黑体" w:eastAsia="黑体" w:hAnsi="黑体"/>
        </w:rPr>
        <w:t>三、</w:t>
      </w:r>
      <w:r>
        <w:rPr>
          <w:rFonts w:ascii="黑体" w:eastAsia="黑体" w:hAnsi="黑体" w:hint="eastAsia"/>
        </w:rPr>
        <w:t>起草思路</w:t>
      </w:r>
    </w:p>
    <w:p w:rsidR="00635C83" w:rsidRPr="00AC35C4" w:rsidRDefault="000033F7" w:rsidP="00635C83">
      <w:pPr>
        <w:spacing w:line="360" w:lineRule="auto"/>
        <w:ind w:firstLineChars="200" w:firstLine="640"/>
        <w:rPr>
          <w:rFonts w:ascii="Times New Roman" w:hAnsi="Times New Roman" w:cs="Times New Roman"/>
        </w:rPr>
      </w:pPr>
      <w:bookmarkStart w:id="0" w:name="OLE_LINK1"/>
      <w:bookmarkStart w:id="1" w:name="OLE_LINK2"/>
      <w:r w:rsidRPr="000033F7">
        <w:rPr>
          <w:rFonts w:ascii="Times New Roman" w:hAnsi="Times New Roman" w:cs="Times New Roman" w:hint="eastAsia"/>
        </w:rPr>
        <w:t>利丙双卡因乳膏</w:t>
      </w:r>
      <w:r>
        <w:rPr>
          <w:rFonts w:ascii="Times New Roman" w:hAnsi="Times New Roman" w:cs="Times New Roman" w:hint="eastAsia"/>
        </w:rPr>
        <w:t>为皮肤</w:t>
      </w:r>
      <w:r>
        <w:rPr>
          <w:rFonts w:ascii="Times New Roman" w:hAnsi="Times New Roman" w:cs="Times New Roman"/>
        </w:rPr>
        <w:t>制剂</w:t>
      </w:r>
      <w:r w:rsidR="00635C83">
        <w:rPr>
          <w:rFonts w:ascii="Times New Roman" w:hAnsi="Times New Roman" w:cs="Times New Roman"/>
        </w:rPr>
        <w:t>，</w:t>
      </w:r>
      <w:r w:rsidR="00635C83">
        <w:rPr>
          <w:rFonts w:ascii="Times New Roman" w:hAnsi="Times New Roman" w:cs="Times New Roman" w:hint="eastAsia"/>
        </w:rPr>
        <w:t>在</w:t>
      </w:r>
      <w:r w:rsidR="00635C83">
        <w:rPr>
          <w:rFonts w:ascii="Times New Roman" w:hAnsi="Times New Roman" w:cs="Times New Roman"/>
        </w:rPr>
        <w:t>生物等效性研究中应关注给药剂量、</w:t>
      </w:r>
      <w:r>
        <w:rPr>
          <w:rFonts w:ascii="Times New Roman" w:hAnsi="Times New Roman" w:cs="Times New Roman" w:hint="eastAsia"/>
        </w:rPr>
        <w:t>给药</w:t>
      </w:r>
      <w:r w:rsidR="00635C83">
        <w:rPr>
          <w:rFonts w:ascii="Times New Roman" w:hAnsi="Times New Roman" w:cs="Times New Roman"/>
        </w:rPr>
        <w:t>方法、</w:t>
      </w:r>
      <w:r>
        <w:rPr>
          <w:rFonts w:ascii="Times New Roman" w:hAnsi="Times New Roman" w:cs="Times New Roman" w:hint="eastAsia"/>
        </w:rPr>
        <w:t>血样采集</w:t>
      </w:r>
      <w:r>
        <w:rPr>
          <w:rFonts w:ascii="Times New Roman" w:hAnsi="Times New Roman" w:cs="Times New Roman"/>
        </w:rPr>
        <w:t>及</w:t>
      </w:r>
      <w:r w:rsidR="00635C83" w:rsidRPr="003B0F12">
        <w:rPr>
          <w:rFonts w:ascii="Times New Roman" w:hAnsi="Times New Roman" w:cs="Times New Roman" w:hint="eastAsia"/>
        </w:rPr>
        <w:t>生物等效性评价</w:t>
      </w:r>
      <w:r w:rsidR="00635C83">
        <w:rPr>
          <w:rFonts w:ascii="Times New Roman" w:hAnsi="Times New Roman" w:cs="Times New Roman" w:hint="eastAsia"/>
        </w:rPr>
        <w:t>等。</w:t>
      </w:r>
    </w:p>
    <w:p w:rsidR="00635C83" w:rsidRPr="00F16574" w:rsidRDefault="00635C83" w:rsidP="00635C83">
      <w:pPr>
        <w:spacing w:line="360" w:lineRule="auto"/>
        <w:ind w:firstLineChars="200" w:firstLine="640"/>
        <w:rPr>
          <w:rFonts w:ascii="Times New Roman" w:hAnsi="Times New Roman" w:cs="Times New Roman"/>
        </w:rPr>
      </w:pPr>
      <w:r w:rsidRPr="00F16574">
        <w:rPr>
          <w:rFonts w:ascii="黑体" w:eastAsia="黑体" w:hAnsi="黑体" w:hint="eastAsia"/>
        </w:rPr>
        <w:t>四、主要内容</w:t>
      </w:r>
    </w:p>
    <w:p w:rsidR="00635C83" w:rsidRDefault="00635C83" w:rsidP="00635C83">
      <w:pPr>
        <w:spacing w:line="360" w:lineRule="auto"/>
        <w:ind w:firstLineChars="200" w:firstLine="640"/>
        <w:rPr>
          <w:rFonts w:ascii="Times New Roman" w:hAnsi="Times New Roman" w:cs="Times New Roman"/>
        </w:rPr>
      </w:pPr>
      <w:r w:rsidRPr="009D7813">
        <w:rPr>
          <w:rFonts w:ascii="Times New Roman" w:hAnsi="Times New Roman" w:cs="Times New Roman"/>
        </w:rPr>
        <w:t>本指导原则旨在为</w:t>
      </w:r>
      <w:r w:rsidR="000033F7" w:rsidRPr="000033F7">
        <w:rPr>
          <w:rFonts w:ascii="Times New Roman" w:hAnsi="Times New Roman" w:cs="Times New Roman" w:hint="eastAsia"/>
        </w:rPr>
        <w:t>利丙双卡因乳膏</w:t>
      </w:r>
      <w:r w:rsidRPr="009D7813">
        <w:rPr>
          <w:rFonts w:ascii="Times New Roman" w:hAnsi="Times New Roman" w:cs="Times New Roman"/>
        </w:rPr>
        <w:t>生物等效性研究提供技术指导，主要内容包括研究类型、受试人群、给药剂量</w:t>
      </w:r>
      <w:r w:rsidR="007A3794">
        <w:rPr>
          <w:rFonts w:ascii="Times New Roman" w:hAnsi="Times New Roman" w:cs="Times New Roman" w:hint="eastAsia"/>
        </w:rPr>
        <w:t>、</w:t>
      </w:r>
      <w:r w:rsidR="007A3794">
        <w:rPr>
          <w:rFonts w:ascii="Times New Roman" w:hAnsi="Times New Roman" w:cs="Times New Roman"/>
        </w:rPr>
        <w:t>给药</w:t>
      </w:r>
      <w:r w:rsidRPr="003B0F12">
        <w:rPr>
          <w:rFonts w:ascii="Times New Roman" w:hAnsi="Times New Roman" w:cs="Times New Roman" w:hint="eastAsia"/>
        </w:rPr>
        <w:t>方法</w:t>
      </w:r>
      <w:r w:rsidRPr="009D7813">
        <w:rPr>
          <w:rFonts w:ascii="Times New Roman" w:hAnsi="Times New Roman" w:cs="Times New Roman"/>
        </w:rPr>
        <w:t>、血样采集、检测物质、生物等效性评价</w:t>
      </w:r>
      <w:r>
        <w:rPr>
          <w:rFonts w:ascii="Times New Roman" w:hAnsi="Times New Roman" w:cs="Times New Roman" w:hint="eastAsia"/>
        </w:rPr>
        <w:t>以及</w:t>
      </w:r>
      <w:r>
        <w:rPr>
          <w:rFonts w:ascii="Times New Roman" w:hAnsi="Times New Roman" w:cs="Times New Roman"/>
        </w:rPr>
        <w:t>其他</w:t>
      </w:r>
      <w:r w:rsidRPr="009D7813">
        <w:rPr>
          <w:rFonts w:ascii="Times New Roman" w:hAnsi="Times New Roman" w:cs="Times New Roman"/>
        </w:rPr>
        <w:t>等。</w:t>
      </w:r>
    </w:p>
    <w:bookmarkEnd w:id="0"/>
    <w:bookmarkEnd w:id="1"/>
    <w:p w:rsidR="00635C83" w:rsidRPr="00610E13" w:rsidRDefault="00635C83" w:rsidP="00635C83">
      <w:pPr>
        <w:spacing w:line="360" w:lineRule="auto"/>
        <w:ind w:firstLineChars="200" w:firstLine="640"/>
        <w:rPr>
          <w:rFonts w:ascii="Times New Roman" w:hAnsi="Times New Roman" w:cs="Times New Roman"/>
        </w:rPr>
      </w:pPr>
      <w:r w:rsidRPr="009D7813">
        <w:rPr>
          <w:rFonts w:ascii="Times New Roman" w:hAnsi="Times New Roman" w:cs="Times New Roman"/>
        </w:rPr>
        <w:t>本指导原则</w:t>
      </w:r>
      <w:r w:rsidRPr="00C605CE">
        <w:rPr>
          <w:rFonts w:ascii="Times New Roman" w:hAnsi="Times New Roman" w:cs="Times New Roman" w:hint="eastAsia"/>
        </w:rPr>
        <w:t>关键内容为：</w:t>
      </w:r>
      <w:r w:rsidRPr="009D7813">
        <w:rPr>
          <w:rFonts w:ascii="Times New Roman" w:hAnsi="Times New Roman" w:cs="Times New Roman"/>
        </w:rPr>
        <w:t>（</w:t>
      </w:r>
      <w:r w:rsidRPr="009D7813">
        <w:rPr>
          <w:rFonts w:ascii="Times New Roman" w:hAnsi="Times New Roman" w:cs="Times New Roman"/>
        </w:rPr>
        <w:t>1</w:t>
      </w:r>
      <w:r w:rsidRPr="009D7813">
        <w:rPr>
          <w:rFonts w:ascii="Times New Roman" w:hAnsi="Times New Roman" w:cs="Times New Roman"/>
        </w:rPr>
        <w:t>）</w:t>
      </w:r>
      <w:r w:rsidR="007A3794" w:rsidRPr="007A3794">
        <w:rPr>
          <w:rFonts w:ascii="Times New Roman" w:hAnsi="Times New Roman" w:cs="Times New Roman" w:hint="eastAsia"/>
        </w:rPr>
        <w:t>研究类型</w:t>
      </w:r>
      <w:r>
        <w:rPr>
          <w:rFonts w:ascii="Times New Roman" w:hAnsi="Times New Roman" w:cs="Times New Roman" w:hint="eastAsia"/>
        </w:rPr>
        <w:t>部分</w:t>
      </w:r>
      <w:r>
        <w:rPr>
          <w:rFonts w:ascii="Times New Roman" w:hAnsi="Times New Roman" w:cs="Times New Roman"/>
        </w:rPr>
        <w:t>，</w:t>
      </w:r>
      <w:r w:rsidRPr="00BB572B">
        <w:rPr>
          <w:rFonts w:ascii="Times New Roman" w:hAnsi="Times New Roman" w:cs="Times New Roman" w:hint="eastAsia"/>
        </w:rPr>
        <w:t>建议</w:t>
      </w:r>
      <w:r w:rsidR="007A3794" w:rsidRPr="007A3794">
        <w:rPr>
          <w:rFonts w:ascii="Times New Roman" w:hAnsi="Times New Roman" w:cs="Times New Roman" w:hint="eastAsia"/>
        </w:rPr>
        <w:t>采用两制剂、两周期、两</w:t>
      </w:r>
      <w:r w:rsidR="007A3794">
        <w:rPr>
          <w:rFonts w:ascii="Times New Roman" w:hAnsi="Times New Roman" w:cs="Times New Roman" w:hint="eastAsia"/>
        </w:rPr>
        <w:t>序列交叉设计，进行空腹条件下的单次皮肤给药的人体生物等效性研究</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w:t>
      </w:r>
      <w:r w:rsidR="007A3794" w:rsidRPr="007A3794">
        <w:rPr>
          <w:rFonts w:ascii="Times New Roman" w:hAnsi="Times New Roman" w:cs="Times New Roman" w:hint="eastAsia"/>
        </w:rPr>
        <w:t>给药剂量</w:t>
      </w:r>
      <w:r>
        <w:rPr>
          <w:rFonts w:ascii="Times New Roman" w:hAnsi="Times New Roman" w:cs="Times New Roman"/>
        </w:rPr>
        <w:t>，建议</w:t>
      </w:r>
      <w:r w:rsidR="007A3794" w:rsidRPr="007A3794">
        <w:rPr>
          <w:rFonts w:ascii="Times New Roman" w:hAnsi="Times New Roman" w:cs="Times New Roman" w:hint="eastAsia"/>
        </w:rPr>
        <w:t>根据原研进口产品说明书，成人每</w:t>
      </w:r>
      <w:r w:rsidR="007A3794" w:rsidRPr="007A3794">
        <w:rPr>
          <w:rFonts w:ascii="Times New Roman" w:hAnsi="Times New Roman" w:cs="Times New Roman"/>
        </w:rPr>
        <w:t>10</w:t>
      </w:r>
      <w:r w:rsidR="007A3794" w:rsidRPr="007A3794">
        <w:rPr>
          <w:rFonts w:ascii="Times New Roman" w:hAnsi="Times New Roman" w:cs="Times New Roman"/>
        </w:rPr>
        <w:t>平方厘米约给药</w:t>
      </w:r>
      <w:r w:rsidR="007A3794" w:rsidRPr="007A3794">
        <w:rPr>
          <w:rFonts w:ascii="Times New Roman" w:hAnsi="Times New Roman" w:cs="Times New Roman"/>
        </w:rPr>
        <w:t>1.5g</w:t>
      </w:r>
      <w:r w:rsidR="007A3794" w:rsidRPr="007A3794">
        <w:rPr>
          <w:rFonts w:ascii="Times New Roman" w:hAnsi="Times New Roman" w:cs="Times New Roman"/>
        </w:rPr>
        <w:t>。建议单次给药总量不超过</w:t>
      </w:r>
      <w:r w:rsidR="007A3794" w:rsidRPr="007A3794">
        <w:rPr>
          <w:rFonts w:ascii="Times New Roman" w:hAnsi="Times New Roman" w:cs="Times New Roman"/>
        </w:rPr>
        <w:t>60g</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w:t>
      </w:r>
      <w:r w:rsidR="007A3794">
        <w:rPr>
          <w:rFonts w:ascii="Times New Roman" w:hAnsi="Times New Roman" w:cs="Times New Roman" w:hint="eastAsia"/>
        </w:rPr>
        <w:t>给药方法</w:t>
      </w:r>
      <w:r>
        <w:rPr>
          <w:rFonts w:ascii="Times New Roman" w:hAnsi="Times New Roman" w:cs="Times New Roman"/>
        </w:rPr>
        <w:t>，建议</w:t>
      </w:r>
      <w:r w:rsidR="007A3794" w:rsidRPr="007A3794">
        <w:rPr>
          <w:rFonts w:ascii="Times New Roman" w:hAnsi="Times New Roman" w:cs="Times New Roman" w:hint="eastAsia"/>
        </w:rPr>
        <w:t>皮肤局部涂</w:t>
      </w:r>
      <w:r w:rsidR="007A3794" w:rsidRPr="007A3794">
        <w:rPr>
          <w:rFonts w:ascii="Times New Roman" w:hAnsi="Times New Roman" w:cs="Times New Roman" w:hint="eastAsia"/>
        </w:rPr>
        <w:lastRenderedPageBreak/>
        <w:t>抹</w:t>
      </w:r>
      <w:r w:rsidR="007A3794">
        <w:rPr>
          <w:rFonts w:ascii="Times New Roman" w:hAnsi="Times New Roman" w:cs="Times New Roman" w:hint="eastAsia"/>
        </w:rPr>
        <w:t>。</w:t>
      </w:r>
    </w:p>
    <w:p w:rsidR="00635C83" w:rsidRDefault="007A3794" w:rsidP="00635C83">
      <w:pPr>
        <w:spacing w:line="360" w:lineRule="auto"/>
        <w:ind w:firstLineChars="200" w:firstLine="640"/>
        <w:rPr>
          <w:rFonts w:ascii="Times New Roman" w:hAnsi="Times New Roman" w:cs="Times New Roman"/>
        </w:rPr>
      </w:pPr>
      <w:r w:rsidRPr="007A3794">
        <w:rPr>
          <w:rFonts w:ascii="Times New Roman" w:hAnsi="Times New Roman" w:cs="Times New Roman" w:hint="eastAsia"/>
        </w:rPr>
        <w:t>利丙双卡因乳膏</w:t>
      </w:r>
      <w:r w:rsidR="00635C83" w:rsidRPr="009D7813">
        <w:rPr>
          <w:rFonts w:ascii="Times New Roman" w:hAnsi="Times New Roman" w:cs="Times New Roman"/>
        </w:rPr>
        <w:t>生物等效性研究应符合本指导原则，还应参照</w:t>
      </w:r>
      <w:r w:rsidRPr="007A3794">
        <w:rPr>
          <w:rFonts w:ascii="Times New Roman" w:hAnsi="Times New Roman" w:cs="Times New Roman" w:hint="eastAsia"/>
        </w:rPr>
        <w:t>《皮肤外用化学仿制药研究技术指导原则（试行）》</w:t>
      </w:r>
      <w:r>
        <w:rPr>
          <w:rFonts w:ascii="Times New Roman" w:hAnsi="Times New Roman" w:cs="Times New Roman" w:hint="eastAsia"/>
        </w:rPr>
        <w:t>、</w:t>
      </w:r>
      <w:r w:rsidR="00635C83" w:rsidRPr="009D7813">
        <w:rPr>
          <w:rFonts w:ascii="Times New Roman" w:hAnsi="Times New Roman" w:cs="Times New Roman"/>
        </w:rPr>
        <w:t>《以药动学参数</w:t>
      </w:r>
      <w:r w:rsidR="00635C83">
        <w:rPr>
          <w:rFonts w:ascii="Times New Roman" w:hAnsi="Times New Roman" w:cs="Times New Roman"/>
        </w:rPr>
        <w:t>为终点评价指标的化学药物仿制药人体生物等效性研究技术指导原则》</w:t>
      </w:r>
      <w:r w:rsidR="00635C83" w:rsidRPr="00AC35C4">
        <w:rPr>
          <w:rFonts w:ascii="Times New Roman" w:hAnsi="Times New Roman" w:cs="Times New Roman" w:hint="eastAsia"/>
        </w:rPr>
        <w:t>、《生物等效性研究的统计学指导原则》</w:t>
      </w:r>
      <w:r w:rsidR="00635C83" w:rsidRPr="009D7813">
        <w:rPr>
          <w:rFonts w:ascii="Times New Roman" w:hAnsi="Times New Roman" w:cs="Times New Roman"/>
        </w:rPr>
        <w:t>等相关指导原则。</w:t>
      </w:r>
    </w:p>
    <w:p w:rsidR="00635C83" w:rsidRPr="00C52120" w:rsidRDefault="00635C83" w:rsidP="00635C83">
      <w:pPr>
        <w:spacing w:line="360" w:lineRule="auto"/>
        <w:ind w:firstLineChars="200" w:firstLine="640"/>
        <w:rPr>
          <w:rFonts w:ascii="Times New Roman" w:hAnsi="Times New Roman" w:cs="Times New Roman"/>
        </w:rPr>
      </w:pPr>
      <w:r w:rsidRPr="00C52120">
        <w:rPr>
          <w:rFonts w:ascii="黑体" w:eastAsia="黑体" w:hAnsi="黑体" w:hint="eastAsia"/>
        </w:rPr>
        <w:t>五、需要说明的问题</w:t>
      </w:r>
    </w:p>
    <w:p w:rsidR="0027508E" w:rsidRPr="00635C83" w:rsidRDefault="00635C83" w:rsidP="006B0210">
      <w:pPr>
        <w:spacing w:line="360" w:lineRule="auto"/>
        <w:ind w:firstLineChars="200" w:firstLine="640"/>
        <w:rPr>
          <w:rFonts w:ascii="Times New Roman" w:hAnsi="Times New Roman" w:cs="Times New Roman" w:hint="eastAsia"/>
        </w:rPr>
      </w:pPr>
      <w:r w:rsidRPr="00C52120">
        <w:rPr>
          <w:rFonts w:ascii="Times New Roman" w:hAnsi="Times New Roman" w:cs="Times New Roman" w:hint="eastAsia"/>
        </w:rPr>
        <w:t>无。</w:t>
      </w:r>
      <w:bookmarkStart w:id="2" w:name="_GoBack"/>
      <w:bookmarkEnd w:id="2"/>
    </w:p>
    <w:sectPr w:rsidR="0027508E" w:rsidRPr="00635C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0B" w:rsidRDefault="00B34E0B" w:rsidP="00635C83">
      <w:r>
        <w:separator/>
      </w:r>
    </w:p>
  </w:endnote>
  <w:endnote w:type="continuationSeparator" w:id="0">
    <w:p w:rsidR="00B34E0B" w:rsidRDefault="00B34E0B" w:rsidP="0063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0B" w:rsidRDefault="00B34E0B" w:rsidP="00635C83">
      <w:r>
        <w:separator/>
      </w:r>
    </w:p>
  </w:footnote>
  <w:footnote w:type="continuationSeparator" w:id="0">
    <w:p w:rsidR="00B34E0B" w:rsidRDefault="00B34E0B" w:rsidP="00635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93"/>
    <w:rsid w:val="00001DEC"/>
    <w:rsid w:val="000033F7"/>
    <w:rsid w:val="000038F4"/>
    <w:rsid w:val="00015C8A"/>
    <w:rsid w:val="00017554"/>
    <w:rsid w:val="0003537E"/>
    <w:rsid w:val="000456BE"/>
    <w:rsid w:val="000A0193"/>
    <w:rsid w:val="000A2950"/>
    <w:rsid w:val="000D12DA"/>
    <w:rsid w:val="000D45A8"/>
    <w:rsid w:val="000E049A"/>
    <w:rsid w:val="000F0F60"/>
    <w:rsid w:val="001169E0"/>
    <w:rsid w:val="001264A8"/>
    <w:rsid w:val="0014183B"/>
    <w:rsid w:val="00156EFD"/>
    <w:rsid w:val="001630BF"/>
    <w:rsid w:val="00181D36"/>
    <w:rsid w:val="00183ABC"/>
    <w:rsid w:val="00187472"/>
    <w:rsid w:val="00203F58"/>
    <w:rsid w:val="002169DA"/>
    <w:rsid w:val="002262EB"/>
    <w:rsid w:val="002264B7"/>
    <w:rsid w:val="002333C2"/>
    <w:rsid w:val="00233B00"/>
    <w:rsid w:val="00242642"/>
    <w:rsid w:val="002472B2"/>
    <w:rsid w:val="0027508E"/>
    <w:rsid w:val="00293FFD"/>
    <w:rsid w:val="00296230"/>
    <w:rsid w:val="002C561E"/>
    <w:rsid w:val="002C59E9"/>
    <w:rsid w:val="002F12C7"/>
    <w:rsid w:val="0031457B"/>
    <w:rsid w:val="003317E3"/>
    <w:rsid w:val="00335197"/>
    <w:rsid w:val="00344869"/>
    <w:rsid w:val="00346B89"/>
    <w:rsid w:val="003A1470"/>
    <w:rsid w:val="003A35B5"/>
    <w:rsid w:val="003A3F55"/>
    <w:rsid w:val="003B4A1A"/>
    <w:rsid w:val="003C551C"/>
    <w:rsid w:val="003E7741"/>
    <w:rsid w:val="003F2D91"/>
    <w:rsid w:val="00410D2B"/>
    <w:rsid w:val="00415EA4"/>
    <w:rsid w:val="0046597B"/>
    <w:rsid w:val="00487729"/>
    <w:rsid w:val="00492948"/>
    <w:rsid w:val="004B2BF9"/>
    <w:rsid w:val="004B693D"/>
    <w:rsid w:val="004F0E6A"/>
    <w:rsid w:val="00502D8D"/>
    <w:rsid w:val="00505275"/>
    <w:rsid w:val="00532CEF"/>
    <w:rsid w:val="005461DE"/>
    <w:rsid w:val="0058496A"/>
    <w:rsid w:val="005850B5"/>
    <w:rsid w:val="005E251D"/>
    <w:rsid w:val="005F7CC2"/>
    <w:rsid w:val="00627CC1"/>
    <w:rsid w:val="00635C83"/>
    <w:rsid w:val="00645EA3"/>
    <w:rsid w:val="00650D38"/>
    <w:rsid w:val="006675DE"/>
    <w:rsid w:val="00683327"/>
    <w:rsid w:val="0068766F"/>
    <w:rsid w:val="00691B30"/>
    <w:rsid w:val="006953E0"/>
    <w:rsid w:val="006B0210"/>
    <w:rsid w:val="006B323E"/>
    <w:rsid w:val="006B7DD3"/>
    <w:rsid w:val="006B7E17"/>
    <w:rsid w:val="006E2B2D"/>
    <w:rsid w:val="00710E55"/>
    <w:rsid w:val="00755479"/>
    <w:rsid w:val="0075788E"/>
    <w:rsid w:val="00775492"/>
    <w:rsid w:val="00776058"/>
    <w:rsid w:val="00780D82"/>
    <w:rsid w:val="007A3794"/>
    <w:rsid w:val="007B0AAE"/>
    <w:rsid w:val="00840EDD"/>
    <w:rsid w:val="008674D6"/>
    <w:rsid w:val="008706ED"/>
    <w:rsid w:val="008A533A"/>
    <w:rsid w:val="008C4507"/>
    <w:rsid w:val="008D3EDE"/>
    <w:rsid w:val="008E5896"/>
    <w:rsid w:val="009044AD"/>
    <w:rsid w:val="009154A0"/>
    <w:rsid w:val="009352DA"/>
    <w:rsid w:val="009B3524"/>
    <w:rsid w:val="009E6F3C"/>
    <w:rsid w:val="009F382F"/>
    <w:rsid w:val="00A2490D"/>
    <w:rsid w:val="00A27925"/>
    <w:rsid w:val="00A44173"/>
    <w:rsid w:val="00A56A62"/>
    <w:rsid w:val="00A70A15"/>
    <w:rsid w:val="00AD0063"/>
    <w:rsid w:val="00AF185A"/>
    <w:rsid w:val="00B12126"/>
    <w:rsid w:val="00B15B68"/>
    <w:rsid w:val="00B34E0B"/>
    <w:rsid w:val="00B35B70"/>
    <w:rsid w:val="00B668DA"/>
    <w:rsid w:val="00B7784B"/>
    <w:rsid w:val="00BA10E8"/>
    <w:rsid w:val="00BB41F0"/>
    <w:rsid w:val="00BC6CE9"/>
    <w:rsid w:val="00BE2226"/>
    <w:rsid w:val="00C0003D"/>
    <w:rsid w:val="00C034A6"/>
    <w:rsid w:val="00C1223C"/>
    <w:rsid w:val="00C56DFA"/>
    <w:rsid w:val="00CF5248"/>
    <w:rsid w:val="00D24C57"/>
    <w:rsid w:val="00D26B99"/>
    <w:rsid w:val="00D31D6D"/>
    <w:rsid w:val="00D35DF3"/>
    <w:rsid w:val="00DC1846"/>
    <w:rsid w:val="00DD60A9"/>
    <w:rsid w:val="00E13405"/>
    <w:rsid w:val="00E3201B"/>
    <w:rsid w:val="00E371D0"/>
    <w:rsid w:val="00E4727A"/>
    <w:rsid w:val="00E51001"/>
    <w:rsid w:val="00E51D1D"/>
    <w:rsid w:val="00E81421"/>
    <w:rsid w:val="00E84FFD"/>
    <w:rsid w:val="00E87521"/>
    <w:rsid w:val="00EC6654"/>
    <w:rsid w:val="00EF37E7"/>
    <w:rsid w:val="00F22ABF"/>
    <w:rsid w:val="00F25787"/>
    <w:rsid w:val="00F25A47"/>
    <w:rsid w:val="00F33E5A"/>
    <w:rsid w:val="00F432EB"/>
    <w:rsid w:val="00F85A98"/>
    <w:rsid w:val="00F954C5"/>
    <w:rsid w:val="00FA2970"/>
    <w:rsid w:val="00FA526F"/>
    <w:rsid w:val="00FC0A70"/>
    <w:rsid w:val="00FC76B7"/>
    <w:rsid w:val="00FF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E6CE5"/>
  <w15:chartTrackingRefBased/>
  <w15:docId w15:val="{B662FFC8-23A3-4DCC-9380-5EE98B25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C83"/>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C8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4">
    <w:name w:val="页眉 字符"/>
    <w:basedOn w:val="a0"/>
    <w:link w:val="a3"/>
    <w:uiPriority w:val="99"/>
    <w:rsid w:val="00635C83"/>
    <w:rPr>
      <w:sz w:val="18"/>
      <w:szCs w:val="18"/>
    </w:rPr>
  </w:style>
  <w:style w:type="paragraph" w:styleId="a5">
    <w:name w:val="footer"/>
    <w:basedOn w:val="a"/>
    <w:link w:val="a6"/>
    <w:uiPriority w:val="99"/>
    <w:unhideWhenUsed/>
    <w:rsid w:val="00635C83"/>
    <w:pPr>
      <w:tabs>
        <w:tab w:val="center" w:pos="4153"/>
        <w:tab w:val="right" w:pos="8306"/>
      </w:tabs>
      <w:snapToGrid w:val="0"/>
      <w:jc w:val="left"/>
    </w:pPr>
    <w:rPr>
      <w:rFonts w:eastAsiaTheme="minorEastAsia"/>
      <w:sz w:val="18"/>
      <w:szCs w:val="18"/>
    </w:rPr>
  </w:style>
  <w:style w:type="character" w:customStyle="1" w:styleId="a6">
    <w:name w:val="页脚 字符"/>
    <w:basedOn w:val="a0"/>
    <w:link w:val="a5"/>
    <w:uiPriority w:val="99"/>
    <w:rsid w:val="00635C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156</Words>
  <Characters>895</Characters>
  <Application>Microsoft Office Word</Application>
  <DocSecurity>0</DocSecurity>
  <Lines>7</Lines>
  <Paragraphs>2</Paragraphs>
  <ScaleCrop>false</ScaleCrop>
  <Company>Microsoft</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李栋</dc:creator>
  <cp:keywords/>
  <dc:description/>
  <cp:lastModifiedBy>哈莉莉</cp:lastModifiedBy>
  <cp:revision>7</cp:revision>
  <dcterms:created xsi:type="dcterms:W3CDTF">2023-07-17T02:07:00Z</dcterms:created>
  <dcterms:modified xsi:type="dcterms:W3CDTF">2023-07-18T07:53:00Z</dcterms:modified>
</cp:coreProperties>
</file>