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焦谷芽配方颗粒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宋体" w:cs="Times New Roman"/>
          <w:kern w:val="2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</w:rPr>
        <w:t>Jiaoguya Peifangkeli</w:t>
      </w:r>
    </w:p>
    <w:p>
      <w:pPr>
        <w:spacing w:before="30" w:after="30" w:line="36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>【来源】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本品为禾本科植物粟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Setaria italica</w:t>
      </w:r>
      <w:r>
        <w:rPr>
          <w:rFonts w:ascii="Times New Roman" w:hAnsi="Times New Roman" w:eastAsia="宋体" w:cs="Times New Roman"/>
          <w:sz w:val="24"/>
          <w:szCs w:val="24"/>
        </w:rPr>
        <w:t>(L.)Beauv.的成熟果实经发芽干燥的炮制加工品经</w:t>
      </w:r>
      <w:r>
        <w:rPr>
          <w:rFonts w:ascii="Times New Roman" w:hAnsi="Times New Roman" w:eastAsia="宋体" w:cs="Times New Roman"/>
          <w:sz w:val="24"/>
        </w:rPr>
        <w:t>炮制并按标准汤剂的主要质量指标</w:t>
      </w:r>
      <w:r>
        <w:rPr>
          <w:rFonts w:ascii="Times New Roman" w:hAnsi="Times New Roman" w:eastAsia="宋体" w:cs="Times New Roman"/>
          <w:sz w:val="24"/>
          <w:szCs w:val="24"/>
        </w:rPr>
        <w:t>加工制成的配方颗粒。</w:t>
      </w:r>
    </w:p>
    <w:p>
      <w:pPr>
        <w:spacing w:before="30" w:after="30" w:line="360" w:lineRule="auto"/>
        <w:ind w:firstLine="48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取焦谷芽饮片5900g，加水煎煮，滤过，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滤液浓缩成清膏（</w:t>
      </w:r>
      <w:r>
        <w:rPr>
          <w:rFonts w:ascii="Times New Roman" w:hAnsi="Times New Roman" w:eastAsia="宋体" w:cs="Times New Roman"/>
          <w:sz w:val="24"/>
          <w:szCs w:val="24"/>
        </w:rPr>
        <w:t>干浸膏出膏率为10</w:t>
      </w:r>
      <w:r>
        <w:rPr>
          <w:rFonts w:ascii="Times New Roman" w:hAnsi="Times New Roman" w:eastAsia="宋体" w:cs="Times New Roman"/>
          <w:sz w:val="24"/>
        </w:rPr>
        <w:t>～</w:t>
      </w:r>
      <w:r>
        <w:rPr>
          <w:rFonts w:ascii="Times New Roman" w:hAnsi="Times New Roman" w:eastAsia="宋体" w:cs="Times New Roman"/>
          <w:sz w:val="24"/>
          <w:szCs w:val="24"/>
        </w:rPr>
        <w:t>16.9%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干燥（或干燥，粉碎）</w:t>
      </w:r>
      <w:r>
        <w:rPr>
          <w:rFonts w:ascii="Times New Roman" w:hAnsi="Times New Roman" w:eastAsia="宋体" w:cs="Times New Roman"/>
          <w:sz w:val="24"/>
          <w:szCs w:val="24"/>
        </w:rPr>
        <w:t>，加入辅料适量，混匀，制粒，制成1000g，即得。</w:t>
      </w:r>
    </w:p>
    <w:p>
      <w:pPr>
        <w:spacing w:before="30" w:after="30" w:line="360" w:lineRule="auto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本品为土黄色至黄褐色颗粒；具焦香气，味微甘。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【鉴别】 </w:t>
      </w:r>
      <w:r>
        <w:rPr>
          <w:rFonts w:ascii="Times New Roman" w:hAnsi="Times New Roman" w:eastAsia="宋体" w:cs="Times New Roman"/>
          <w:sz w:val="24"/>
          <w:szCs w:val="24"/>
        </w:rPr>
        <w:t>取本品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g，研细，加无水乙醇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0ml，超声处理40分钟，滤过，滤液加50%氢氧化钾溶液1.5ml，加热回流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15</w:t>
      </w:r>
      <w:r>
        <w:rPr>
          <w:rFonts w:ascii="Times New Roman" w:hAnsi="Times New Roman" w:eastAsia="宋体" w:cs="Times New Roman"/>
          <w:sz w:val="24"/>
          <w:szCs w:val="24"/>
        </w:rPr>
        <w:t>分钟，置冰浴中冷却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分钟，用石油醚（30～60</w:t>
      </w:r>
      <w:r>
        <w:rPr>
          <w:rFonts w:ascii="Times New Roman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）振摇提取 3 次，每次10ml，合并石油醚液，挥干，残渣加乙酸乙酯1ml使溶解，作为供试品溶液。另取谷芽对照药材</w:t>
      </w: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 xml:space="preserve">g，同法制成对照药材溶液。照薄层色谱法 </w:t>
      </w:r>
      <w:r>
        <w:rPr>
          <w:rFonts w:ascii="Times New Roman" w:hAnsi="Times New Roman" w:eastAsia="宋体" w:cs="Times New Roman"/>
          <w:bCs/>
          <w:color w:val="000000"/>
          <w:kern w:val="0"/>
          <w:sz w:val="24"/>
          <w:szCs w:val="24"/>
        </w:rPr>
        <w:t>（中国药典2020年版 通则0502）</w:t>
      </w:r>
      <w:r>
        <w:rPr>
          <w:rFonts w:ascii="Times New Roman" w:hAnsi="Times New Roman" w:eastAsia="宋体" w:cs="Times New Roman"/>
          <w:sz w:val="24"/>
          <w:szCs w:val="24"/>
        </w:rPr>
        <w:t>试验，吸取上述两种溶液各</w:t>
      </w:r>
      <w:r>
        <w:rPr>
          <w:rFonts w:hint="eastAsia" w:ascii="Times New Roman" w:hAnsi="Times New Roman" w:eastAsia="宋体" w:cs="Times New Roman"/>
          <w:sz w:val="24"/>
          <w:szCs w:val="24"/>
        </w:rPr>
        <w:t>30</w:t>
      </w:r>
      <w:r>
        <w:rPr>
          <w:rFonts w:ascii="Times New Roman" w:hAnsi="Times New Roman" w:eastAsia="宋体" w:cs="Times New Roman"/>
          <w:sz w:val="24"/>
          <w:szCs w:val="24"/>
        </w:rPr>
        <w:t>μl，分别点于同一硅胶G薄层板上，以石油醚（30～60</w:t>
      </w:r>
      <w:r>
        <w:rPr>
          <w:rFonts w:ascii="Times New Roman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）–乙酸乙酯（4︰1）为展开剂，展开，取出，晾干，喷以香草醛硫酸试液，在105</w:t>
      </w:r>
      <w:r>
        <w:rPr>
          <w:rFonts w:ascii="Times New Roman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加热至斑点显色清晰，日光下检视，供试品色谱中，在与对照药材色谱相应的位置上，显相同颜色的斑点</w:t>
      </w:r>
      <w:r>
        <w:rPr>
          <w:rFonts w:ascii="Times New Roman" w:hAnsi="Times New Roman" w:eastAsia="宋体" w:cs="Times New Roman"/>
          <w:bCs/>
          <w:color w:val="000000"/>
          <w:kern w:val="0"/>
          <w:sz w:val="24"/>
          <w:szCs w:val="24"/>
        </w:rPr>
        <w:t>。</w:t>
      </w:r>
    </w:p>
    <w:p>
      <w:pPr>
        <w:spacing w:before="30" w:after="30"/>
        <w:ind w:firstLine="501" w:firstLineChars="208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b w:val="0"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4"/>
        </w:rPr>
        <w:t>同【含量测定】项</w:t>
      </w:r>
    </w:p>
    <w:p>
      <w:pPr>
        <w:spacing w:line="336" w:lineRule="auto"/>
        <w:ind w:left="420" w:left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参照物溶液的制备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取4-香豆酸对照品适量，精密称定，加甲醇制成每1ml</w:t>
      </w:r>
    </w:p>
    <w:p>
      <w:pPr>
        <w:spacing w:line="336" w:lineRule="auto"/>
        <w:jc w:val="left"/>
        <w:rPr>
          <w:rFonts w:hint="eastAsia" w:ascii="Times New Roman" w:hAnsi="Times New Roman" w:eastAsia="宋体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含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0μg的溶液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sz w:val="24"/>
          <w:szCs w:val="24"/>
        </w:rPr>
        <w:t>取</w:t>
      </w:r>
      <w:r>
        <w:rPr>
          <w:rFonts w:ascii="Times New Roman" w:hAnsi="Times New Roman" w:eastAsia="宋体" w:cs="Times New Roman"/>
          <w:sz w:val="24"/>
          <w:szCs w:val="24"/>
        </w:rPr>
        <w:t>5-羟甲基糠醛对照品适量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精密称定，加甲醇制成每1ml含10μg的溶液，作为对照品参照物溶液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before="30" w:after="30" w:line="336" w:lineRule="auto"/>
        <w:ind w:firstLine="501" w:firstLineChars="20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同【</w:t>
      </w:r>
      <w:r>
        <w:rPr>
          <w:rFonts w:hint="eastAsia" w:ascii="Times New Roman" w:hAnsi="Times New Roman" w:eastAsia="宋体" w:cs="Times New Roman"/>
          <w:sz w:val="24"/>
          <w:szCs w:val="24"/>
        </w:rPr>
        <w:t>含量测定</w:t>
      </w:r>
      <w:r>
        <w:rPr>
          <w:rFonts w:ascii="Times New Roman" w:hAnsi="Times New Roman" w:eastAsia="宋体" w:cs="Times New Roman"/>
          <w:sz w:val="24"/>
          <w:szCs w:val="24"/>
        </w:rPr>
        <w:t>】</w:t>
      </w:r>
      <w:r>
        <w:rPr>
          <w:rFonts w:hint="eastAsia" w:ascii="Times New Roman" w:hAnsi="Times New Roman" w:eastAsia="宋体" w:cs="Times New Roman"/>
          <w:sz w:val="24"/>
          <w:szCs w:val="24"/>
        </w:rPr>
        <w:t>项下供试品溶液</w:t>
      </w:r>
    </w:p>
    <w:p>
      <w:pPr>
        <w:spacing w:line="336" w:lineRule="auto"/>
        <w:ind w:firstLine="482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供试品色谱中应呈现5个特征峰，其中峰1应与5-羟甲基糠醛对照品参照物峰的保留时间相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对应</w:t>
      </w:r>
      <w:r>
        <w:rPr>
          <w:rFonts w:ascii="Times New Roman" w:hAnsi="Times New Roman" w:eastAsia="宋体" w:cs="Times New Roman"/>
          <w:sz w:val="24"/>
          <w:szCs w:val="24"/>
        </w:rPr>
        <w:t>，与4-香豆酸参照物峰相应的峰为S峰，计算各特征峰与S峰的相对保留时间，相对保留时间应在规定值的±10%之内。规定值为：</w:t>
      </w:r>
      <w:r>
        <w:rPr>
          <w:rFonts w:hint="eastAsia" w:ascii="Times New Roman" w:hAnsi="Times New Roman" w:eastAsia="宋体" w:cs="Times New Roman"/>
          <w:sz w:val="24"/>
          <w:szCs w:val="24"/>
        </w:rPr>
        <w:t>0.32（峰1）、</w:t>
      </w:r>
      <w:r>
        <w:rPr>
          <w:rFonts w:ascii="Times New Roman" w:hAnsi="Times New Roman" w:eastAsia="宋体" w:cs="Times New Roman"/>
          <w:sz w:val="24"/>
          <w:szCs w:val="24"/>
        </w:rPr>
        <w:t>0.91（峰2）、0.95（峰3）、1.12（峰5）。</w:t>
      </w:r>
    </w:p>
    <w:p>
      <w:pPr>
        <w:spacing w:line="360" w:lineRule="auto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5271770" cy="1869440"/>
            <wp:effectExtent l="0" t="0" r="5080" b="5461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6867525" cy="1895475"/>
                      <a:chOff x="1138238" y="2481263"/>
                      <a:chExt cx="6867525" cy="1895475"/>
                    </a:xfrm>
                  </a:grpSpPr>
                  <a:grpSp>
                    <a:nvGrpSpPr>
                      <a:cNvPr id="14" name="组合 13"/>
                      <a:cNvGrpSpPr/>
                    </a:nvGrpSpPr>
                    <a:grpSpPr>
                      <a:xfrm>
                        <a:off x="1138238" y="2481263"/>
                        <a:ext cx="6867525" cy="1895475"/>
                        <a:chOff x="1138238" y="2481263"/>
                        <a:chExt cx="6867525" cy="1895475"/>
                      </a:xfrm>
                    </a:grpSpPr>
                    <a:pic>
                      <a:nvPicPr>
                        <a:cNvPr id="1029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4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138238" y="2481263"/>
                          <a:ext cx="6867525" cy="1895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cxnSp>
                      <a:nvCxnSpPr>
                        <a:cNvPr id="7" name="直接连接符 6"/>
                        <a:cNvCxnSpPr/>
                      </a:nvCxnSpPr>
                      <a:spPr>
                        <a:xfrm>
                          <a:off x="1475656" y="2492896"/>
                          <a:ext cx="633670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9" name="TextBox 8"/>
                        <a:cNvSpPr txBox="1"/>
                      </a:nvSpPr>
                      <a:spPr>
                        <a:xfrm>
                          <a:off x="2987824" y="2924944"/>
                          <a:ext cx="50405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 </a:t>
                            </a:r>
                            <a:r>
                              <a:rPr lang="en-US" altLang="zh-CN" sz="1400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1</a:t>
                            </a:r>
                            <a:endParaRPr lang="zh-CN" altLang="en-US" dirty="0">
                              <a:latin typeface="Times New Roman" panose="02020603050405020304" charset="0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Box 9"/>
                        <a:cNvSpPr txBox="1"/>
                      </a:nvSpPr>
                      <a:spPr>
                        <a:xfrm>
                          <a:off x="5868144" y="3284984"/>
                          <a:ext cx="36004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 </a:t>
                            </a:r>
                            <a:r>
                              <a:rPr lang="en-US" altLang="zh-CN" sz="1400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2</a:t>
                            </a:r>
                            <a:endParaRPr lang="zh-CN" altLang="en-US" dirty="0">
                              <a:latin typeface="Times New Roman" panose="02020603050405020304" charset="0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6012160" y="2996952"/>
                          <a:ext cx="43204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 </a:t>
                            </a:r>
                            <a:r>
                              <a:rPr lang="en-US" altLang="zh-CN" sz="1400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3</a:t>
                            </a:r>
                            <a:endParaRPr lang="zh-CN" altLang="en-US" dirty="0">
                              <a:latin typeface="Times New Roman" panose="02020603050405020304" charset="0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6228184" y="2689175"/>
                          <a:ext cx="792088" cy="30777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sz="1400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4(S)</a:t>
                            </a:r>
                            <a:endParaRPr lang="zh-CN" altLang="en-US" sz="1400" dirty="0">
                              <a:latin typeface="Times New Roman" panose="02020603050405020304" charset="0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6876256" y="3347700"/>
                          <a:ext cx="360040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 </a:t>
                            </a:r>
                            <a:r>
                              <a:rPr lang="en-US" altLang="zh-CN" sz="1400" dirty="0" smtClean="0">
                                <a:latin typeface="Times New Roman" panose="02020603050405020304" charset="0"/>
                                <a:cs typeface="Times New Roman" panose="02020603050405020304" charset="0"/>
                              </a:rPr>
                              <a:t>5</a:t>
                            </a:r>
                            <a:endParaRPr lang="zh-CN" altLang="en-US" dirty="0">
                              <a:latin typeface="Times New Roman" panose="02020603050405020304" charset="0"/>
                              <a:cs typeface="Times New Roman" panose="0202060305040502030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对照特征图谱</w:t>
      </w:r>
    </w:p>
    <w:p>
      <w:pPr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</w:rPr>
        <w:t>峰1：5-羟甲基糠醛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; </w:t>
      </w:r>
      <w:r>
        <w:rPr>
          <w:rFonts w:ascii="Times New Roman" w:hAnsi="Times New Roman" w:eastAsia="宋体" w:cs="Times New Roman"/>
          <w:szCs w:val="21"/>
        </w:rPr>
        <w:t>峰4：</w:t>
      </w:r>
      <w:r>
        <w:rPr>
          <w:rFonts w:ascii="Times New Roman" w:hAnsi="Times New Roman" w:eastAsia="宋体" w:cs="Times New Roman"/>
        </w:rPr>
        <w:t xml:space="preserve">4-香豆酸   </w:t>
      </w:r>
    </w:p>
    <w:p>
      <w:pPr>
        <w:spacing w:before="30" w:after="30" w:line="360" w:lineRule="auto"/>
        <w:ind w:firstLine="437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色谱柱：</w:t>
      </w:r>
      <w:r>
        <w:rPr>
          <w:rFonts w:ascii="Times New Roman" w:hAnsi="Times New Roman" w:eastAsia="宋体" w:cs="Times New Roman"/>
          <w:szCs w:val="21"/>
        </w:rPr>
        <w:t>Wondasil C18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，</w:t>
      </w:r>
      <w:r>
        <w:rPr>
          <w:rFonts w:ascii="Times New Roman" w:hAnsi="Times New Roman" w:eastAsia="宋体" w:cs="Times New Roman"/>
        </w:rPr>
        <w:t>4.6</w:t>
      </w:r>
      <w:r>
        <w:rPr>
          <w:rFonts w:hint="default" w:ascii="Times New Roman" w:hAnsi="Times New Roman" w:eastAsia="宋体" w:cs="Times New Roman"/>
        </w:rPr>
        <w:t>×</w:t>
      </w:r>
      <w:r>
        <w:rPr>
          <w:rFonts w:ascii="Times New Roman" w:hAnsi="Times New Roman" w:eastAsia="宋体" w:cs="Times New Roman"/>
        </w:rPr>
        <w:t>250mm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ascii="Times New Roman" w:hAnsi="Times New Roman" w:eastAsia="宋体" w:cs="Times New Roman"/>
        </w:rPr>
        <w:t>5μm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【检查】</w:t>
      </w:r>
      <w:r>
        <w:rPr>
          <w:rFonts w:hint="eastAsia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应符合颗粒剂项下有关的各项规定（中国药典2020年版 通则0104）。</w:t>
      </w:r>
    </w:p>
    <w:p>
      <w:pPr>
        <w:spacing w:line="360" w:lineRule="auto"/>
        <w:ind w:firstLine="482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【浸出物】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</w:rPr>
        <w:t>照醇溶性浸出物测定法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（</w:t>
      </w:r>
      <w:r>
        <w:rPr>
          <w:rFonts w:ascii="Times New Roman" w:hAnsi="Times New Roman" w:eastAsia="宋体" w:cs="Times New Roman"/>
          <w:color w:val="000000"/>
          <w:sz w:val="24"/>
        </w:rPr>
        <w:t>中国药典2020年版 通则2201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）项下的热浸法测定，用乙醇作溶剂，应不得少于5.0%。</w:t>
      </w:r>
    </w:p>
    <w:p>
      <w:pPr>
        <w:snapToGrid w:val="0"/>
        <w:spacing w:line="360" w:lineRule="auto"/>
        <w:ind w:firstLine="434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【含量测定】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照高效液相色谱法（中国药典2020年版通则0512）测定。</w:t>
      </w:r>
    </w:p>
    <w:p>
      <w:pPr>
        <w:spacing w:line="360" w:lineRule="auto"/>
        <w:ind w:firstLine="482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</w:rPr>
        <w:t>色谱条件与系统适用性试验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</w:rPr>
        <w:t>以十八烷基硅烷键合硅胶为填充剂（柱长为250mm，内径为4.6mm，粒径为5μm）色谱柱；以乙腈为流动相A，以0.5%乙酸为流动相B，按下表进行梯度</w:t>
      </w:r>
      <w:r>
        <w:rPr>
          <w:rFonts w:ascii="Times New Roman" w:hAnsi="Times New Roman" w:eastAsia="宋体" w:cs="Times New Roman"/>
          <w:sz w:val="24"/>
          <w:szCs w:val="24"/>
        </w:rPr>
        <w:t>洗脱；流速为每分钟0.8ml；柱温为30</w:t>
      </w:r>
      <w:r>
        <w:rPr>
          <w:rFonts w:ascii="Times New Roman" w:hAnsi="宋体" w:eastAsia="宋体" w:cs="Times New Roman"/>
          <w:sz w:val="24"/>
          <w:szCs w:val="24"/>
        </w:rPr>
        <w:t>℃</w:t>
      </w:r>
      <w:r>
        <w:rPr>
          <w:rFonts w:ascii="Times New Roman" w:hAnsi="Times New Roman" w:eastAsia="宋体" w:cs="Times New Roman"/>
          <w:sz w:val="24"/>
          <w:szCs w:val="24"/>
        </w:rPr>
        <w:t>；检测波长为310nm。理论板数按4-香豆酸峰计算应不低于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000。</w:t>
      </w:r>
    </w:p>
    <w:tbl>
      <w:tblPr>
        <w:tblStyle w:val="7"/>
        <w:tblpPr w:leftFromText="180" w:rightFromText="180" w:vertAnchor="text" w:tblpXSpec="center" w:tblpY="1"/>
        <w:tblOverlap w:val="never"/>
        <w:tblW w:w="8143" w:type="dxa"/>
        <w:tblInd w:w="-8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2"/>
        <w:gridCol w:w="2912"/>
        <w:gridCol w:w="24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时间（分钟）</w:t>
            </w:r>
          </w:p>
        </w:tc>
        <w:tc>
          <w:tcPr>
            <w:tcW w:w="29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流动相A(%)</w:t>
            </w: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流动相B（%）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8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0～15</w:t>
            </w:r>
          </w:p>
        </w:tc>
        <w:tc>
          <w:tcPr>
            <w:tcW w:w="29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5→10</w:t>
            </w:r>
          </w:p>
        </w:tc>
        <w:tc>
          <w:tcPr>
            <w:tcW w:w="244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95→90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15～17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10→14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90→86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17～50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14→20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86→80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7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50～60</w:t>
            </w:r>
          </w:p>
        </w:tc>
        <w:tc>
          <w:tcPr>
            <w:tcW w:w="29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20→22</w:t>
            </w:r>
          </w:p>
        </w:tc>
        <w:tc>
          <w:tcPr>
            <w:tcW w:w="24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</w:rPr>
              <w:t>80→78</w:t>
            </w:r>
          </w:p>
        </w:tc>
      </w:tr>
    </w:tbl>
    <w:p>
      <w:pPr>
        <w:spacing w:line="336" w:lineRule="auto"/>
        <w:ind w:left="420" w:left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对照</w:t>
      </w:r>
      <w:r>
        <w:rPr>
          <w:rFonts w:ascii="Times New Roman" w:hAnsi="Times New Roman" w:eastAsia="宋体" w:cs="Times New Roman"/>
          <w:b/>
          <w:sz w:val="24"/>
          <w:szCs w:val="24"/>
        </w:rPr>
        <w:t>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取4-香豆酸对照品适量，精密称定，加甲醇制成每1ml</w:t>
      </w:r>
    </w:p>
    <w:p>
      <w:pPr>
        <w:spacing w:line="336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含</w:t>
      </w: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0μg的溶液，作为对照品溶液。</w:t>
      </w:r>
    </w:p>
    <w:p>
      <w:pPr>
        <w:spacing w:before="30" w:after="30" w:line="336" w:lineRule="auto"/>
        <w:ind w:firstLine="501" w:firstLineChars="208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供试品溶液的制备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取本品适量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研细，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取</w:t>
      </w:r>
      <w:r>
        <w:rPr>
          <w:rFonts w:ascii="Times New Roman" w:hAnsi="Times New Roman" w:eastAsia="宋体" w:cs="Times New Roman"/>
          <w:sz w:val="24"/>
          <w:szCs w:val="24"/>
        </w:rPr>
        <w:t>1.0g，精密称定，加50%甲醇50ml，称定重量，超声（频率250W，功率40kHz）处理30分钟，取出，放冷，滤过，滤液</w:t>
      </w:r>
      <w:r>
        <w:rPr>
          <w:rFonts w:hint="eastAsia" w:ascii="Times New Roman" w:hAnsi="Times New Roman" w:eastAsia="宋体" w:cs="Times New Roman"/>
          <w:sz w:val="24"/>
          <w:szCs w:val="24"/>
        </w:rPr>
        <w:t>浓缩至5ml，</w:t>
      </w:r>
      <w:r>
        <w:rPr>
          <w:rFonts w:ascii="Times New Roman" w:hAnsi="Times New Roman" w:eastAsia="宋体" w:cs="Times New Roman"/>
          <w:sz w:val="24"/>
          <w:szCs w:val="24"/>
        </w:rPr>
        <w:t>转移至10ml容量瓶中，加50%甲醇至刻度，摇匀，滤过，即得。</w:t>
      </w:r>
    </w:p>
    <w:p>
      <w:pPr>
        <w:spacing w:line="336" w:lineRule="auto"/>
        <w:ind w:firstLine="482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测定法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分别精密吸取参照物溶液与供试品溶液各10μl，注入液相色谱仪，测定，即得。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color w:val="FF0000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本品每1g含4-香豆酸（C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）应为0.0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4"/>
        </w:rPr>
        <w:t>mg~0.2</w:t>
      </w:r>
      <w:r>
        <w:rPr>
          <w:rFonts w:hint="eastAsia" w:ascii="Times New Roman" w:hAnsi="Times New Roman" w:eastAsia="宋体" w:cs="Times New Roman"/>
          <w:sz w:val="24"/>
          <w:szCs w:val="24"/>
        </w:rPr>
        <w:t>0</w:t>
      </w:r>
      <w:r>
        <w:rPr>
          <w:rFonts w:ascii="Times New Roman" w:hAnsi="Times New Roman" w:eastAsia="宋体" w:cs="Times New Roman"/>
          <w:sz w:val="24"/>
          <w:szCs w:val="24"/>
        </w:rPr>
        <w:t>mg。</w:t>
      </w:r>
    </w:p>
    <w:p>
      <w:pPr>
        <w:spacing w:line="360" w:lineRule="auto"/>
        <w:ind w:firstLine="424" w:firstLineChars="176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【规格】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每1g配方颗粒相当于饮片5.9g</w:t>
      </w:r>
    </w:p>
    <w:p>
      <w:pPr>
        <w:spacing w:line="360" w:lineRule="auto"/>
        <w:ind w:firstLine="424" w:firstLineChars="176"/>
        <w:rPr>
          <w:rFonts w:ascii="Times New Roman" w:hAnsi="Times New Roman" w:eastAsia="宋体" w:cs="Times New Roman"/>
          <w:color w:val="000000"/>
          <w:kern w:val="0"/>
          <w:sz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【贮藏】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4"/>
        </w:rPr>
        <w:t>密封。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lang w:val="en-AU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BA6C49"/>
    <w:rsid w:val="00003B10"/>
    <w:rsid w:val="000A2C4E"/>
    <w:rsid w:val="00105627"/>
    <w:rsid w:val="00116C86"/>
    <w:rsid w:val="001F5131"/>
    <w:rsid w:val="002A2D65"/>
    <w:rsid w:val="002A4A25"/>
    <w:rsid w:val="0030266D"/>
    <w:rsid w:val="00392C4E"/>
    <w:rsid w:val="003E6817"/>
    <w:rsid w:val="00455440"/>
    <w:rsid w:val="004A5D98"/>
    <w:rsid w:val="005506EC"/>
    <w:rsid w:val="00591E32"/>
    <w:rsid w:val="005A150D"/>
    <w:rsid w:val="005E04F0"/>
    <w:rsid w:val="006E5244"/>
    <w:rsid w:val="006F3B6A"/>
    <w:rsid w:val="00723B48"/>
    <w:rsid w:val="008C5B6A"/>
    <w:rsid w:val="008D184C"/>
    <w:rsid w:val="00AC0594"/>
    <w:rsid w:val="00B06072"/>
    <w:rsid w:val="00B27C67"/>
    <w:rsid w:val="00B6385E"/>
    <w:rsid w:val="00B64988"/>
    <w:rsid w:val="00BA6C49"/>
    <w:rsid w:val="00C80F27"/>
    <w:rsid w:val="00D10149"/>
    <w:rsid w:val="00E81C26"/>
    <w:rsid w:val="00E90DFF"/>
    <w:rsid w:val="00E943B6"/>
    <w:rsid w:val="065D0F4D"/>
    <w:rsid w:val="0A5A7983"/>
    <w:rsid w:val="3EE940A2"/>
    <w:rsid w:val="4BB169C2"/>
    <w:rsid w:val="500E502F"/>
    <w:rsid w:val="62F37D50"/>
    <w:rsid w:val="64AD54DA"/>
    <w:rsid w:val="6C6A2B21"/>
    <w:rsid w:val="782957BF"/>
    <w:rsid w:val="7956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100" w:firstLineChars="100"/>
      <w:outlineLvl w:val="0"/>
    </w:pPr>
    <w:rPr>
      <w:b/>
      <w:bCs/>
      <w:kern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1260</Words>
  <Characters>1549</Characters>
  <Lines>11</Lines>
  <Paragraphs>3</Paragraphs>
  <TotalTime>1</TotalTime>
  <ScaleCrop>false</ScaleCrop>
  <LinksUpToDate>false</LinksUpToDate>
  <CharactersWithSpaces>1585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2022-04-11T08:25:00Z</dcterms:created>
  <dc:creator>NTKO</dc:creator>
  <cp:lastModifiedBy>WPS_1582357334</cp:lastModifiedBy>
  <dcterms:modified xsi:type="dcterms:W3CDTF">2023-05-24T01:19:43Z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7CA79DFAE54343978FB2FF787DF26E80</vt:lpwstr>
  </property>
</Properties>
</file>