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snapToGrid/>
          <w:color w:val="000000"/>
          <w:spacing w:val="0"/>
          <w:kern w:val="0"/>
          <w:position w:val="0"/>
          <w:sz w:val="28"/>
          <w:szCs w:val="24"/>
          <w:lang w:val="en-US" w:eastAsia="zh-CN" w:bidi="zh-CN"/>
        </w:rPr>
      </w:pPr>
      <w:bookmarkStart w:id="0" w:name="_Toc26494"/>
      <w:r>
        <w:rPr>
          <w:rFonts w:hint="eastAsia" w:ascii="Times New Roman" w:hAnsi="Times New Roman" w:eastAsia="宋体" w:cs="Times New Roman"/>
          <w:b/>
          <w:snapToGrid/>
          <w:color w:val="000000"/>
          <w:spacing w:val="0"/>
          <w:kern w:val="0"/>
          <w:position w:val="0"/>
          <w:sz w:val="28"/>
          <w:szCs w:val="24"/>
          <w:lang w:val="en-US" w:eastAsia="zh-CN" w:bidi="zh-CN"/>
        </w:rPr>
        <w:t>蜜金樱子配方颗粒</w:t>
      </w:r>
      <w:bookmarkEnd w:id="0"/>
    </w:p>
    <w:p>
      <w:pPr>
        <w:autoSpaceDE/>
        <w:autoSpaceDN/>
        <w:adjustRightInd w:val="0"/>
        <w:snapToGrid w:val="0"/>
        <w:spacing w:before="0" w:after="0" w:line="360" w:lineRule="auto"/>
        <w:ind w:left="0" w:right="0" w:firstLine="0" w:firstLineChars="0"/>
        <w:jc w:val="center"/>
        <w:rPr>
          <w:rFonts w:hint="default" w:ascii="Times New Roman" w:hAnsi="Times New Roman" w:eastAsia="宋体" w:cs="Times New Roman"/>
          <w:kern w:val="2"/>
          <w:sz w:val="28"/>
          <w:szCs w:val="28"/>
          <w:lang w:val="en-US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Mijin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bidi="ar-SA"/>
        </w:rPr>
        <w:t xml:space="preserve">yingzi 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bidi="ar-SA"/>
        </w:rPr>
        <w:t>Peifangkeli</w:t>
      </w:r>
    </w:p>
    <w:p>
      <w:pPr>
        <w:adjustRightInd/>
        <w:snapToGrid/>
        <w:ind w:firstLine="420"/>
        <w:jc w:val="left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【</w:t>
      </w:r>
      <w:r>
        <w:rPr>
          <w:b/>
          <w:bCs/>
          <w:sz w:val="24"/>
          <w:szCs w:val="24"/>
        </w:rPr>
        <w:t>来源</w:t>
      </w:r>
      <w:r>
        <w:rPr>
          <w:sz w:val="24"/>
          <w:szCs w:val="24"/>
        </w:rPr>
        <w:t>】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本品为</w:t>
      </w:r>
      <w:r>
        <w:rPr>
          <w:rFonts w:hint="eastAsia"/>
          <w:sz w:val="24"/>
          <w:szCs w:val="24"/>
        </w:rPr>
        <w:t>蔷薇科植物</w:t>
      </w:r>
      <w:r>
        <w:rPr>
          <w:rFonts w:hint="eastAsia"/>
          <w:sz w:val="24"/>
          <w:szCs w:val="24"/>
          <w:lang w:eastAsia="zh-CN"/>
        </w:rPr>
        <w:t>金樱子</w:t>
      </w:r>
      <w:r>
        <w:rPr>
          <w:i/>
          <w:sz w:val="24"/>
          <w:szCs w:val="24"/>
        </w:rPr>
        <w:t>Rosa laevigata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Michx.</w:t>
      </w:r>
      <w:r>
        <w:rPr>
          <w:rFonts w:hint="eastAsia"/>
          <w:sz w:val="24"/>
          <w:szCs w:val="24"/>
        </w:rPr>
        <w:t>的干燥成熟果实</w:t>
      </w:r>
      <w:r>
        <w:rPr>
          <w:sz w:val="24"/>
          <w:szCs w:val="24"/>
        </w:rPr>
        <w:t>经</w:t>
      </w:r>
      <w:r>
        <w:rPr>
          <w:rFonts w:hint="eastAsia"/>
          <w:sz w:val="24"/>
          <w:szCs w:val="24"/>
        </w:rPr>
        <w:t>炮制并按标准汤剂的主要质量指标</w:t>
      </w:r>
      <w:r>
        <w:rPr>
          <w:sz w:val="24"/>
          <w:szCs w:val="24"/>
        </w:rPr>
        <w:t>加工制成的配方颗粒。</w:t>
      </w:r>
    </w:p>
    <w:p>
      <w:pPr>
        <w:ind w:firstLine="422"/>
        <w:rPr>
          <w:rStyle w:val="6"/>
          <w:rFonts w:hint="default" w:ascii="Times New Roman" w:hAnsi="Times New Roman" w:eastAsia="宋体" w:cs="Times New Roman"/>
          <w:b w:val="0"/>
          <w:sz w:val="24"/>
          <w:szCs w:val="24"/>
        </w:rPr>
      </w:pPr>
      <w:r>
        <w:rPr>
          <w:rStyle w:val="6"/>
          <w:rFonts w:hint="default" w:ascii="Times New Roman" w:hAnsi="Times New Roman" w:eastAsia="宋体" w:cs="Times New Roman"/>
          <w:sz w:val="24"/>
          <w:szCs w:val="24"/>
        </w:rPr>
        <w:t>【制法】</w:t>
      </w:r>
      <w:r>
        <w:rPr>
          <w:rStyle w:val="6"/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eastAsia="宋体" w:cs="Times New Roman"/>
          <w:b w:val="0"/>
          <w:bCs/>
          <w:sz w:val="24"/>
          <w:szCs w:val="24"/>
        </w:rPr>
        <w:t>取蜜金樱子饮片1300g，加水煎煮，滤过，滤液浓缩成清膏（干浸膏出膏率为27%~57%），加入辅料适量，干燥，再加入辅料适量，混匀，制粒，制成1000g，即得。</w:t>
      </w:r>
    </w:p>
    <w:p>
      <w:pPr>
        <w:ind w:firstLine="420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【</w:t>
      </w:r>
      <w:r>
        <w:rPr>
          <w:rStyle w:val="6"/>
          <w:rFonts w:hint="default" w:ascii="Times New Roman" w:hAnsi="Times New Roman" w:eastAsia="宋体" w:cs="Times New Roman"/>
          <w:sz w:val="24"/>
          <w:szCs w:val="24"/>
        </w:rPr>
        <w:t>性状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】</w:t>
      </w:r>
      <w:r>
        <w:rPr>
          <w:rFonts w:hint="eastAsia" w:cs="Times New Roman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本品为黄棕色至红棕色的颗粒；气微，味微酸而涩</w:t>
      </w:r>
      <w:r>
        <w:rPr>
          <w:rFonts w:hint="eastAsia" w:cs="Times New Roman"/>
          <w:b w:val="0"/>
          <w:sz w:val="24"/>
          <w:szCs w:val="24"/>
          <w:lang w:eastAsia="zh-CN"/>
        </w:rPr>
        <w:t>。</w:t>
      </w:r>
    </w:p>
    <w:p>
      <w:pPr>
        <w:ind w:firstLine="422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【鉴别】</w:t>
      </w:r>
      <w:r>
        <w:rPr>
          <w:rFonts w:hint="eastAsia" w:eastAsia="黑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取本品1g，研细，加水25ml使溶解，用乙酸乙酯振摇提取两次，每次30ml，合并乙酸乙酯液，蒸干，残渣加甲醇0.5ml使溶解，作为供试品溶液。取金樱子对照药材2g，加水70ml，煮沸30分钟，滤过，滤液浓缩至25ml，用乙酸乙酯振摇提取两次，同法制成对照药材溶液。照薄层色谱法（中国药典2020年版通则0502）试验，吸取上述两种溶液各6µl，分别点于同一硅胶G薄层板上，以三氯甲烷-乙酸乙酯-甲醇-甲酸（5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5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1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0.1）为展开剂，展开，取出，晾干，置紫外光灯（365nm）下检视。供试品色谱中，在与对照药材色谱相应的位置上，显相同颜色的荧光斑点。</w:t>
      </w:r>
    </w:p>
    <w:p>
      <w:pPr>
        <w:ind w:firstLine="42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【特征图谱】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照高效液相色谱法（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>中国药典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2020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>年版通则0512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）测定。</w:t>
      </w:r>
    </w:p>
    <w:p>
      <w:pPr>
        <w:ind w:firstLine="422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以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十八烷基硅烷键合硅胶为填充剂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（柱长100mm，内径2.1mm，</w:t>
      </w:r>
      <w:r>
        <w:rPr>
          <w:rFonts w:hint="eastAsia" w:cs="Times New Roman"/>
          <w:bCs/>
          <w:color w:val="auto"/>
          <w:sz w:val="24"/>
          <w:szCs w:val="24"/>
          <w:highlight w:val="none"/>
          <w:lang w:val="en-US" w:eastAsia="zh-CN"/>
        </w:rPr>
        <w:t>粒径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1.8μm）；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</w:rPr>
        <w:t>以甲醇-0.05%磷酸（4</w:t>
      </w:r>
      <w:r>
        <w:rPr>
          <w:rFonts w:hint="eastAsia" w:cs="Times New Roman" w:eastAsiaTheme="minorEastAsia"/>
          <w:sz w:val="21"/>
          <w:szCs w:val="21"/>
        </w:rPr>
        <w:t>∶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</w:rPr>
        <w:t>96）为流动相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流速为每分钟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  <w:lang w:val="en-US" w:eastAsia="zh-CN"/>
        </w:rPr>
        <w:t>0.35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ml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柱温为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℃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检测波长为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nm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4"/>
          <w:szCs w:val="24"/>
        </w:rPr>
        <w:t>理论板数按儿茶素峰计算应不低于6000。</w:t>
      </w:r>
    </w:p>
    <w:p>
      <w:pPr>
        <w:ind w:firstLine="42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参照物溶液的制备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取</w:t>
      </w:r>
      <w:r>
        <w:rPr>
          <w:rFonts w:hint="default" w:ascii="Times New Roman" w:hAnsi="Times New Roman" w:eastAsia="宋体" w:cs="Times New Roman"/>
          <w:b w:val="0"/>
          <w:sz w:val="24"/>
          <w:szCs w:val="24"/>
          <w:lang w:val="en-US" w:eastAsia="zh-CN"/>
        </w:rPr>
        <w:t>金樱子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对照药材0.3g，置具塞锥形瓶中，加50%甲醇20ml，加热回流30分钟，放冷，摇匀，滤过，取续滤液，作为对照药材参照物溶液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</w:rPr>
        <w:t>。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eastAsia="zh-CN"/>
        </w:rPr>
        <w:t>另取儿茶素对照品适量，精密称定，加甲醇制成每1ml含20μg的溶液，即得</w:t>
      </w:r>
      <w:r>
        <w:rPr>
          <w:rFonts w:hint="eastAsia" w:cs="Times New Roman"/>
          <w:color w:val="auto"/>
          <w:sz w:val="24"/>
          <w:szCs w:val="24"/>
          <w:highlight w:val="none"/>
          <w:lang w:val="en-US" w:eastAsia="zh-CN"/>
        </w:rPr>
        <w:t>对照品参照物溶液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eastAsia="zh-CN"/>
        </w:rPr>
        <w:t>。</w:t>
      </w:r>
    </w:p>
    <w:p>
      <w:pPr>
        <w:ind w:firstLine="42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取</w:t>
      </w:r>
      <w:r>
        <w:rPr>
          <w:rFonts w:hint="default" w:ascii="Times New Roman" w:hAnsi="Times New Roman" w:cs="Times New Roman"/>
          <w:b w:val="0"/>
          <w:sz w:val="24"/>
          <w:szCs w:val="24"/>
          <w:lang w:eastAsia="zh-CN"/>
        </w:rPr>
        <w:t>本品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适量，研细，取约0.5g，置具塞锥形瓶中，加50%甲醇20ml，</w:t>
      </w:r>
      <w:r>
        <w:rPr>
          <w:rFonts w:hint="eastAsia" w:cs="Times New Roman"/>
          <w:b w:val="0"/>
          <w:sz w:val="24"/>
          <w:szCs w:val="24"/>
          <w:lang w:val="en-US" w:eastAsia="zh-CN"/>
        </w:rPr>
        <w:t>加热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回流30分钟，取出，放冷，摇匀，滤过，取续滤液，即得。</w:t>
      </w:r>
    </w:p>
    <w:p>
      <w:pPr>
        <w:ind w:firstLine="42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分别精密吸取参照物溶液与供试品溶液各1μl，注入液相色谱仪，测定，即得。</w:t>
      </w:r>
    </w:p>
    <w:p>
      <w:pPr>
        <w:ind w:firstLine="420"/>
        <w:jc w:val="lef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 w:val="0"/>
          <w:sz w:val="24"/>
          <w:szCs w:val="24"/>
        </w:rPr>
        <w:t>供试品色谱中应呈现4个特征峰，并应与对照药材参照物色谱中的4个特征峰保留时间相对应；与儿茶素参照物峰相对应的峰为S峰，计算</w:t>
      </w:r>
      <w:r>
        <w:rPr>
          <w:rFonts w:hint="eastAsia" w:cs="Times New Roman" w:eastAsiaTheme="minorEastAsia"/>
          <w:b w:val="0"/>
          <w:sz w:val="24"/>
          <w:szCs w:val="24"/>
          <w:lang w:val="en-US" w:eastAsia="zh-CN"/>
        </w:rPr>
        <w:t>峰1、峰2、峰4</w:t>
      </w:r>
      <w:r>
        <w:rPr>
          <w:rFonts w:hint="default" w:ascii="Times New Roman" w:hAnsi="Times New Roman" w:cs="Times New Roman" w:eastAsiaTheme="minorEastAsia"/>
          <w:b w:val="0"/>
          <w:sz w:val="24"/>
          <w:szCs w:val="24"/>
        </w:rPr>
        <w:t>与S峰的相对保留时间，其相对保留时间应在规定值的±10％</w:t>
      </w:r>
      <w:r>
        <w:rPr>
          <w:rFonts w:hint="eastAsia" w:cs="Times New Roman" w:eastAsiaTheme="minorEastAsia"/>
          <w:b w:val="0"/>
          <w:sz w:val="24"/>
          <w:szCs w:val="24"/>
          <w:lang w:eastAsia="zh-CN"/>
        </w:rPr>
        <w:t>范围</w:t>
      </w:r>
      <w:r>
        <w:rPr>
          <w:rFonts w:hint="default" w:ascii="Times New Roman" w:hAnsi="Times New Roman" w:cs="Times New Roman" w:eastAsiaTheme="minorEastAsia"/>
          <w:b w:val="0"/>
          <w:sz w:val="24"/>
          <w:szCs w:val="24"/>
        </w:rPr>
        <w:t>之内，规定值为：0.56（峰1）、0.91（峰2）、1.21（峰4）。</w:t>
      </w:r>
    </w:p>
    <w:p>
      <w:pPr>
        <w:spacing w:line="240" w:lineRule="auto"/>
        <w:ind w:firstLine="0" w:firstLineChars="0"/>
        <w:jc w:val="center"/>
        <w:rPr>
          <w:rFonts w:hint="default" w:ascii="Times New Roman" w:hAnsi="Times New Roman" w:cs="Times New Roman"/>
          <w:sz w:val="24"/>
          <w:szCs w:val="24"/>
        </w:rPr>
      </w:pPr>
    </w:p>
    <w:p>
      <w:pPr>
        <w:widowControl/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sz w:val="18"/>
          <w:szCs w:val="20"/>
          <w:lang w:eastAsia="zh-CN"/>
        </w:rPr>
      </w:pPr>
      <w:r>
        <w:rPr>
          <w:rFonts w:hint="eastAsia" w:ascii="Times New Roman" w:hAnsi="Times New Roman" w:eastAsia="宋体" w:cs="Times New Roman"/>
          <w:sz w:val="18"/>
          <w:szCs w:val="20"/>
          <w:lang w:eastAsia="zh-CN"/>
        </w:rPr>
        <w:drawing>
          <wp:inline distT="0" distB="0" distL="114300" distR="114300">
            <wp:extent cx="4714875" cy="2219325"/>
            <wp:effectExtent l="0" t="0" r="9525" b="9525"/>
            <wp:docPr id="218" name="图片 218" descr="配方颗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 descr="配方颗粒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ind w:firstLine="0" w:firstLineChars="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对照特征图谱</w:t>
      </w:r>
    </w:p>
    <w:p>
      <w:pPr>
        <w:widowControl/>
        <w:spacing w:line="240" w:lineRule="auto"/>
        <w:ind w:firstLine="0" w:firstLineChars="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峰3</w:t>
      </w:r>
      <w:r>
        <w:rPr>
          <w:rFonts w:hint="default" w:ascii="Times New Roman" w:hAnsi="Times New Roman" w:eastAsia="宋体" w:cs="Times New Roman"/>
          <w:b w:val="0"/>
          <w:sz w:val="21"/>
          <w:szCs w:val="21"/>
        </w:rPr>
        <w:t>（S）：儿茶素</w:t>
      </w:r>
    </w:p>
    <w:p>
      <w:pPr>
        <w:ind w:firstLine="360"/>
        <w:jc w:val="center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highlight w:val="none"/>
        </w:rPr>
        <w:t>色谱柱：</w:t>
      </w:r>
      <w:r>
        <w:rPr>
          <w:rFonts w:hint="default" w:ascii="Times New Roman" w:hAnsi="Times New Roman" w:eastAsia="宋体" w:cs="Times New Roman"/>
          <w:sz w:val="21"/>
          <w:szCs w:val="21"/>
        </w:rPr>
        <w:t>HSS T3</w:t>
      </w:r>
      <w:r>
        <w:rPr>
          <w:rFonts w:hint="eastAsia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2.1mm×100mm，1.8μm</w:t>
      </w:r>
    </w:p>
    <w:p>
      <w:pPr>
        <w:ind w:firstLine="422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【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检查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】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溶化性 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照颗粒剂溶化性检查方法（中国药典2020年版通则0104）检查，加热水200ml，搅拌5分钟（必要时加热煮沸5分钟），立即观察，应全部溶化，不得有异物和焦屑。</w:t>
      </w:r>
    </w:p>
    <w:p>
      <w:pPr>
        <w:ind w:firstLine="422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 w:val="0"/>
          <w:sz w:val="24"/>
          <w:szCs w:val="24"/>
          <w:lang w:eastAsia="zh-CN"/>
        </w:rPr>
        <w:t>其他</w:t>
      </w:r>
      <w:r>
        <w:rPr>
          <w:rFonts w:hint="eastAsia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应符合颗粒剂项下有关的各项规定（中国药典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  <w:lang w:val="en-US" w:eastAsia="zh-CN"/>
        </w:rPr>
        <w:t>2020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highlight w:val="none"/>
        </w:rPr>
        <w:t>年版通则0104）。</w:t>
      </w:r>
    </w:p>
    <w:p>
      <w:pPr>
        <w:ind w:firstLine="422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  <w:t>浸出物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】</w:t>
      </w:r>
      <w:r>
        <w:rPr>
          <w:rFonts w:hint="eastAsia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sz w:val="24"/>
          <w:szCs w:val="24"/>
          <w:highlight w:val="none"/>
        </w:rPr>
        <w:t>取</w:t>
      </w:r>
      <w:r>
        <w:rPr>
          <w:rFonts w:hint="default" w:ascii="Times New Roman" w:hAnsi="Times New Roman" w:eastAsia="宋体" w:cs="Times New Roman"/>
          <w:b w:val="0"/>
          <w:kern w:val="0"/>
          <w:sz w:val="24"/>
          <w:szCs w:val="24"/>
          <w:highlight w:val="none"/>
        </w:rPr>
        <w:t>本品</w:t>
      </w:r>
      <w:r>
        <w:rPr>
          <w:rFonts w:hint="eastAsia" w:cs="Times New Roman"/>
          <w:b w:val="0"/>
          <w:kern w:val="0"/>
          <w:sz w:val="24"/>
          <w:szCs w:val="24"/>
          <w:highlight w:val="none"/>
          <w:lang w:val="en-US" w:eastAsia="zh-CN"/>
        </w:rPr>
        <w:t>适量，</w:t>
      </w:r>
      <w:r>
        <w:rPr>
          <w:rFonts w:hint="default" w:ascii="Times New Roman" w:hAnsi="Times New Roman" w:eastAsia="宋体" w:cs="Times New Roman"/>
          <w:b w:val="0"/>
          <w:kern w:val="0"/>
          <w:sz w:val="24"/>
          <w:szCs w:val="24"/>
          <w:highlight w:val="none"/>
        </w:rPr>
        <w:t>研细，取约2g，</w:t>
      </w:r>
      <w:r>
        <w:rPr>
          <w:rFonts w:hint="default" w:ascii="Times New Roman" w:hAnsi="Times New Roman" w:eastAsia="宋体" w:cs="Times New Roman"/>
          <w:b w:val="0"/>
          <w:sz w:val="24"/>
          <w:szCs w:val="24"/>
          <w:highlight w:val="none"/>
        </w:rPr>
        <w:t>精密称定，精密加入乙醇100ml，照醇溶性浸出物测定法（</w:t>
      </w:r>
      <w:r>
        <w:rPr>
          <w:rFonts w:hint="default" w:ascii="Times New Roman" w:hAnsi="Times New Roman" w:cs="Times New Roman"/>
          <w:b w:val="0"/>
          <w:sz w:val="24"/>
          <w:szCs w:val="24"/>
          <w:highlight w:val="none"/>
          <w:lang w:eastAsia="zh-CN"/>
        </w:rPr>
        <w:t>中国药典2020年版</w:t>
      </w:r>
      <w:r>
        <w:rPr>
          <w:rFonts w:hint="default" w:ascii="Times New Roman" w:hAnsi="Times New Roman" w:eastAsia="宋体" w:cs="Times New Roman"/>
          <w:b w:val="0"/>
          <w:sz w:val="24"/>
          <w:szCs w:val="24"/>
          <w:highlight w:val="none"/>
        </w:rPr>
        <w:t>通则2201）项下的热浸法测定，不得少于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>1</w:t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.0%。</w:t>
      </w:r>
    </w:p>
    <w:p>
      <w:pPr>
        <w:ind w:firstLine="42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【</w:t>
      </w:r>
      <w:r>
        <w:rPr>
          <w:rFonts w:hint="default" w:ascii="Times New Roman" w:hAnsi="Times New Roman" w:cs="Times New Roman"/>
          <w:b/>
          <w:sz w:val="24"/>
          <w:szCs w:val="24"/>
        </w:rPr>
        <w:t>含量测定】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照高效液相色谱法（中国药典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2020</w:t>
      </w:r>
      <w:r>
        <w:rPr>
          <w:rFonts w:hint="default" w:ascii="Times New Roman" w:hAnsi="Times New Roman" w:cs="Times New Roman"/>
          <w:sz w:val="24"/>
          <w:szCs w:val="24"/>
        </w:rPr>
        <w:t>年版通则0512）测定。</w:t>
      </w:r>
    </w:p>
    <w:p>
      <w:pPr>
        <w:ind w:firstLine="422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色谱条件与系统适用性试验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以十八烷基硅烷键合硅胶为填充剂；以甲醇-0.1%磷酸溶液（40</w:t>
      </w:r>
      <w:r>
        <w:rPr>
          <w:rFonts w:hint="eastAsia" w:cs="Times New Roman" w:eastAsiaTheme="minorEastAsia"/>
          <w:sz w:val="21"/>
          <w:szCs w:val="21"/>
        </w:rPr>
        <w:t>∶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60）为流动相；检测波长为254nm。理论板数按鞣花酸峰计算应不低于4000。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left"/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对照品溶液的制备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取鞣花酸对照品适量，精密称定，置棕色量瓶中，加甲醇制成每1ml 含</w:t>
      </w:r>
      <w:r>
        <w:rPr>
          <w:rFonts w:hint="eastAsia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>0μg的溶液，即得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供试品溶液的制备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取本品适量，研细，取0.2g，精密称定，置具塞锥形瓶中，加甲醇50ml，称定重量，加热回流45分钟，取出，放冷，再称定重量，加甲醇补足减失的重量，摇匀，滤过，取续滤液，即得。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测定法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分别精密吸取对照品溶液与供试品溶液各10μl，注入液相色谱仪，测定，即得。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本品每1g含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鞣花酸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（C</w:t>
      </w:r>
      <w:r>
        <w:rPr>
          <w:rFonts w:hint="eastAsia" w:cs="Times New Roman"/>
          <w:sz w:val="24"/>
          <w:szCs w:val="24"/>
          <w:highlight w:val="none"/>
          <w:vertAlign w:val="subscript"/>
          <w:lang w:val="en-US" w:eastAsia="zh-CN"/>
        </w:rPr>
        <w:t>14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H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bscript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O</w:t>
      </w:r>
      <w:r>
        <w:rPr>
          <w:rFonts w:hint="eastAsia" w:cs="Times New Roman"/>
          <w:sz w:val="24"/>
          <w:szCs w:val="24"/>
          <w:highlight w:val="none"/>
          <w:vertAlign w:val="subscript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）含量应为0.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mg~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2.0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mg。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rFonts w:hint="default" w:ascii="Times New Roman" w:hAnsi="Times New Roman" w:eastAsia="宋体" w:cs="Times New Roman"/>
          <w:b w:val="0"/>
          <w:sz w:val="24"/>
          <w:szCs w:val="24"/>
        </w:rPr>
        <w:t>【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规格</w:t>
      </w:r>
      <w:r>
        <w:rPr>
          <w:rStyle w:val="6"/>
          <w:rFonts w:hint="default" w:ascii="Times New Roman" w:hAnsi="Times New Roman" w:eastAsia="宋体" w:cs="Times New Roman"/>
          <w:b w:val="0"/>
          <w:sz w:val="24"/>
          <w:szCs w:val="24"/>
        </w:rPr>
        <w:t>】</w:t>
      </w:r>
      <w:r>
        <w:rPr>
          <w:rStyle w:val="6"/>
          <w:rFonts w:hint="eastAsia" w:cs="Times New Roman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每1g配方颗粒相当于饮片</w:t>
      </w:r>
      <w:r>
        <w:rPr>
          <w:rFonts w:hint="default" w:ascii="Times New Roman" w:hAnsi="Times New Roman" w:cs="Times New Roman"/>
          <w:b w:val="0"/>
          <w:sz w:val="24"/>
          <w:szCs w:val="24"/>
          <w:lang w:val="en-US" w:eastAsia="zh-CN"/>
        </w:rPr>
        <w:t>1.3</w:t>
      </w:r>
      <w:r>
        <w:rPr>
          <w:rFonts w:hint="default" w:ascii="Times New Roman" w:hAnsi="Times New Roman" w:eastAsia="宋体" w:cs="Times New Roman"/>
          <w:b w:val="0"/>
          <w:sz w:val="24"/>
          <w:szCs w:val="24"/>
        </w:rPr>
        <w:t>g</w:t>
      </w:r>
    </w:p>
    <w:p>
      <w:pPr>
        <w:pStyle w:val="3"/>
        <w:ind w:firstLine="422"/>
        <w:rPr>
          <w:rFonts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</w:rPr>
        <w:t>【贮藏】</w:t>
      </w:r>
      <w:r>
        <w:rPr>
          <w:rFonts w:hint="eastAsia" w:ascii="Times New Roman" w:hAnsi="Times New Roman" w:cs="Times New Roman"/>
          <w:b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kern w:val="0"/>
          <w:sz w:val="24"/>
          <w:szCs w:val="24"/>
        </w:rPr>
        <w:t>密封。</w:t>
      </w:r>
    </w:p>
    <w:p>
      <w:pPr>
        <w:rPr>
          <w:rFonts w:hint="default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9EC5E55"/>
    <w:rsid w:val="1FBB67D4"/>
    <w:rsid w:val="34781430"/>
    <w:rsid w:val="3AC0556D"/>
    <w:rsid w:val="5F1E34DB"/>
    <w:rsid w:val="74A8299F"/>
    <w:rsid w:val="7BB663A6"/>
    <w:rsid w:val="7C0D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Times New Roman"/>
      <w:kern w:val="0"/>
      <w:sz w:val="20"/>
      <w:szCs w:val="21"/>
    </w:rPr>
  </w:style>
  <w:style w:type="character" w:customStyle="1" w:styleId="6">
    <w:name w:val="黑体字 Char"/>
    <w:link w:val="7"/>
    <w:qFormat/>
    <w:uiPriority w:val="0"/>
    <w:rPr>
      <w:rFonts w:ascii="黑体" w:hAnsi="黑体" w:eastAsia="黑体" w:cs="Times New Roman"/>
      <w:b/>
      <w:szCs w:val="24"/>
    </w:rPr>
  </w:style>
  <w:style w:type="paragraph" w:customStyle="1" w:styleId="7">
    <w:name w:val="黑体字"/>
    <w:basedOn w:val="1"/>
    <w:link w:val="6"/>
    <w:qFormat/>
    <w:uiPriority w:val="0"/>
    <w:pPr>
      <w:ind w:firstLine="413" w:firstLineChars="196"/>
    </w:pPr>
    <w:rPr>
      <w:rFonts w:ascii="黑体" w:hAnsi="黑体" w:eastAsia="黑体" w:cs="Times New Roman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1366</Words>
  <Characters>1626</Characters>
  <Lines>0</Lines>
  <Paragraphs>0</Paragraphs>
  <TotalTime>1</TotalTime>
  <ScaleCrop>false</ScaleCrop>
  <LinksUpToDate>false</LinksUpToDate>
  <CharactersWithSpaces>1653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2023-05-23T06:00:14Z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45B1444065BA4496A178B2DF37FC69B0_12</vt:lpwstr>
  </property>
</Properties>
</file>