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_GB2312" w:eastAsia="方正小标宋简体" w:cs="仿宋_GB2312"/>
          <w:kern w:val="2"/>
          <w:sz w:val="44"/>
          <w:szCs w:val="44"/>
          <w:lang w:eastAsia="zh-CN"/>
        </w:rPr>
      </w:pPr>
      <w:r>
        <w:rPr>
          <w:rFonts w:hint="eastAsia" w:ascii="方正小标宋简体" w:eastAsia="方正小标宋简体"/>
          <w:sz w:val="44"/>
          <w:szCs w:val="44"/>
          <w:highlight w:val="none"/>
        </w:rPr>
        <w:t>安徽省职业健康专家库管理办法</w:t>
      </w:r>
      <w:r>
        <w:rPr>
          <w:rFonts w:hint="eastAsia" w:ascii="方正小标宋简体" w:hAnsi="仿宋_GB2312" w:eastAsia="方正小标宋简体" w:cs="仿宋_GB2312"/>
          <w:kern w:val="2"/>
          <w:sz w:val="44"/>
          <w:szCs w:val="44"/>
          <w:lang w:eastAsia="zh-CN"/>
        </w:rPr>
        <w:t>（征求意见稿）</w:t>
      </w:r>
    </w:p>
    <w:p>
      <w:pPr>
        <w:spacing w:line="580" w:lineRule="exact"/>
        <w:jc w:val="center"/>
        <w:rPr>
          <w:rFonts w:hint="eastAsia" w:ascii="方正小标宋简体" w:hAnsi="仿宋_GB2312" w:eastAsia="方正小标宋简体" w:cs="仿宋_GB2312"/>
          <w:kern w:val="2"/>
          <w:sz w:val="44"/>
          <w:szCs w:val="44"/>
          <w:lang w:eastAsia="zh-CN"/>
        </w:rPr>
      </w:pPr>
    </w:p>
    <w:p>
      <w:pPr>
        <w:pStyle w:val="7"/>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pPr>
        <w:widowControl/>
        <w:shd w:val="clear" w:color="auto" w:fill="FFFFFF"/>
        <w:spacing w:line="58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 xml:space="preserve">第一条  </w:t>
      </w:r>
      <w:r>
        <w:rPr>
          <w:rFonts w:hint="eastAsia" w:ascii="仿宋_GB2312" w:hAnsi="仿宋_GB2312" w:eastAsia="仿宋_GB2312" w:cs="仿宋_GB2312"/>
          <w:kern w:val="0"/>
          <w:sz w:val="32"/>
          <w:szCs w:val="32"/>
          <w:highlight w:val="none"/>
        </w:rPr>
        <w:t>为加强安徽省职业健康专家库的管理，切实发挥专家在职业健康工作中的技术支撑作用，依据《中华人民共和国职业病防治法》等法律法规规定，制定本办法。</w:t>
      </w:r>
    </w:p>
    <w:p>
      <w:pPr>
        <w:widowControl/>
        <w:shd w:val="clear" w:color="auto" w:fill="FFFFFF"/>
        <w:spacing w:line="58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第二条</w:t>
      </w:r>
      <w:r>
        <w:rPr>
          <w:rFonts w:hint="eastAsia" w:ascii="仿宋_GB2312" w:hAnsi="仿宋_GB2312" w:eastAsia="仿宋_GB2312" w:cs="仿宋_GB2312"/>
          <w:kern w:val="0"/>
          <w:sz w:val="32"/>
          <w:szCs w:val="32"/>
          <w:highlight w:val="none"/>
        </w:rPr>
        <w:t xml:space="preserve">  本办法适用于安徽省职业健康专家库（以下简称“专家库”）的建设和管理，</w:t>
      </w:r>
      <w:r>
        <w:rPr>
          <w:rFonts w:hint="eastAsia" w:ascii="仿宋_GB2312" w:hAnsi="仿宋_GB2312" w:eastAsia="仿宋_GB2312" w:cs="仿宋_GB2312"/>
          <w:kern w:val="0"/>
          <w:sz w:val="32"/>
          <w:szCs w:val="32"/>
          <w:highlight w:val="none"/>
          <w:lang w:eastAsia="zh-CN"/>
        </w:rPr>
        <w:t>地</w:t>
      </w:r>
      <w:r>
        <w:rPr>
          <w:rFonts w:hint="eastAsia" w:ascii="仿宋_GB2312" w:hAnsi="仿宋_GB2312" w:eastAsia="仿宋_GB2312" w:cs="仿宋_GB2312"/>
          <w:kern w:val="0"/>
          <w:sz w:val="32"/>
          <w:szCs w:val="32"/>
          <w:highlight w:val="none"/>
        </w:rPr>
        <w:t>市级职业健康专家库参照执行。</w:t>
      </w:r>
    </w:p>
    <w:p>
      <w:pPr>
        <w:widowControl/>
        <w:shd w:val="clear" w:color="auto" w:fill="FFFFFF"/>
        <w:spacing w:line="58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第三条</w:t>
      </w:r>
      <w:r>
        <w:rPr>
          <w:rFonts w:hint="eastAsia" w:ascii="仿宋_GB2312" w:hAnsi="仿宋_GB2312" w:eastAsia="仿宋_GB2312" w:cs="仿宋_GB2312"/>
          <w:kern w:val="0"/>
          <w:sz w:val="32"/>
          <w:szCs w:val="32"/>
          <w:highlight w:val="none"/>
        </w:rPr>
        <w:t xml:space="preserve">  安徽省卫生健康委负责专家库的建设和管理，具体工作由委职业健康处承担，委机关相关处室及直属事业单位按职责配合。</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各相关部门和单位应积极支持专家库专家参与职业健康各项工作。</w:t>
      </w:r>
    </w:p>
    <w:p>
      <w:pPr>
        <w:pStyle w:val="7"/>
        <w:jc w:val="center"/>
        <w:rPr>
          <w:rFonts w:ascii="黑体" w:hAnsi="黑体" w:eastAsia="黑体" w:cs="黑体"/>
          <w:sz w:val="32"/>
          <w:szCs w:val="32"/>
          <w:highlight w:val="none"/>
        </w:rPr>
      </w:pPr>
      <w:r>
        <w:rPr>
          <w:rFonts w:hint="eastAsia" w:ascii="黑体" w:hAnsi="黑体" w:eastAsia="黑体" w:cs="黑体"/>
          <w:sz w:val="32"/>
          <w:szCs w:val="32"/>
          <w:highlight w:val="none"/>
        </w:rPr>
        <w:t>第二章  专家入库遴选</w:t>
      </w:r>
    </w:p>
    <w:p>
      <w:pPr>
        <w:widowControl/>
        <w:shd w:val="clear" w:color="auto" w:fill="FFFFFF"/>
        <w:spacing w:line="58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第四条</w:t>
      </w:r>
      <w:r>
        <w:rPr>
          <w:rFonts w:hint="eastAsia" w:ascii="仿宋_GB2312" w:hAnsi="仿宋_GB2312" w:eastAsia="仿宋_GB2312" w:cs="仿宋_GB2312"/>
          <w:b/>
          <w:bCs/>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专家库专家（以下简称“专家”）主要由符合本办法规定的条件和要求，在安徽省行政区域内有关科研院所、高等院校、省管医院、企事业单位等从事职业健康相关技术工作，并在职业卫生检测评价、职业健康监护、放射卫生检测评价和职业卫生工程防护等方面具有较高专业理论水平和丰富实践工作经验的专业人员组成。</w:t>
      </w:r>
    </w:p>
    <w:p>
      <w:pPr>
        <w:widowControl/>
        <w:shd w:val="clear" w:color="auto" w:fill="FFFFFF"/>
        <w:spacing w:line="58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 xml:space="preserve">第五条  </w:t>
      </w:r>
      <w:r>
        <w:rPr>
          <w:rFonts w:hint="eastAsia" w:ascii="仿宋_GB2312" w:hAnsi="仿宋_GB2312" w:eastAsia="仿宋_GB2312" w:cs="仿宋_GB2312"/>
          <w:kern w:val="0"/>
          <w:sz w:val="32"/>
          <w:szCs w:val="32"/>
          <w:highlight w:val="none"/>
        </w:rPr>
        <w:t>专家应当具备以下条件：</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（一）政治立场坚定，遵纪守法，热爱职业健康事业，具有良好的职业道德，坚持原则，作风正派，能够认真、客观、公正、廉洁地履行职责，无不良行为和信用记录；</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（二）熟悉职业病防治相关法律法规、规章规范和技术标准；</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具有职业健康相关专业副高及以上技术职称，且近5年来一直从事职业健康相关技术工作；对于实践经验非常突出，在相关行业享有较高声誉，且近10年来一直从事职业健康相关技术工作的，经审核合格后可适当放宽职称要求；</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（四）身体健康，精力和时间能够保证正常履行专家职责，首聘年龄一般不超过65周岁（“两院”院士除外）。</w:t>
      </w:r>
    </w:p>
    <w:p>
      <w:pPr>
        <w:widowControl/>
        <w:shd w:val="clear" w:color="auto" w:fill="FFFFFF"/>
        <w:spacing w:line="60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 xml:space="preserve">第六条  </w:t>
      </w:r>
      <w:r>
        <w:rPr>
          <w:rFonts w:hint="eastAsia" w:ascii="仿宋_GB2312" w:hAnsi="仿宋_GB2312" w:eastAsia="仿宋_GB2312" w:cs="仿宋_GB2312"/>
          <w:kern w:val="0"/>
          <w:sz w:val="32"/>
          <w:szCs w:val="32"/>
          <w:highlight w:val="none"/>
        </w:rPr>
        <w:t>专家库启动征选后，专家按下列程序入库:</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（一）推荐。符合本办法要求条件的人员，采取个人申请或单位推荐的方式，向所在地的设区市卫生健康委递交申请材料；采取单位推荐方式，单位应当事先征得被推荐人同意。</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（二）初审。各设区市卫生健康委组织对申请材料进行初审，符合条件的择优上报；委属单位申请材料由省卫生健康委职业健康处负责初审。</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（三）审查。省卫生健康委组织对报送的申请材料进行综合审定，遴选</w:t>
      </w:r>
      <w:r>
        <w:rPr>
          <w:rFonts w:hint="eastAsia" w:ascii="仿宋_GB2312" w:hAnsi="仿宋_GB2312" w:eastAsia="仿宋_GB2312" w:cs="仿宋_GB2312"/>
          <w:kern w:val="0"/>
          <w:sz w:val="32"/>
          <w:szCs w:val="32"/>
          <w:highlight w:val="none"/>
          <w:lang w:eastAsia="zh-CN"/>
        </w:rPr>
        <w:t>入库</w:t>
      </w:r>
      <w:r>
        <w:rPr>
          <w:rFonts w:hint="eastAsia" w:ascii="仿宋_GB2312" w:hAnsi="仿宋_GB2312" w:eastAsia="仿宋_GB2312" w:cs="仿宋_GB2312"/>
          <w:kern w:val="0"/>
          <w:sz w:val="32"/>
          <w:szCs w:val="32"/>
          <w:highlight w:val="none"/>
        </w:rPr>
        <w:t>专家人选。</w:t>
      </w:r>
    </w:p>
    <w:p>
      <w:pPr>
        <w:widowControl/>
        <w:shd w:val="clear" w:color="auto" w:fill="FFFFFF"/>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w:t>
      </w:r>
      <w:r>
        <w:rPr>
          <w:rFonts w:hint="eastAsia" w:ascii="仿宋_GB2312" w:hAnsi="仿宋_GB2312" w:eastAsia="仿宋_GB2312" w:cs="仿宋_GB2312"/>
          <w:kern w:val="0"/>
          <w:sz w:val="32"/>
          <w:szCs w:val="32"/>
          <w:highlight w:val="none"/>
          <w:lang w:eastAsia="zh-CN"/>
        </w:rPr>
        <w:t>公示</w:t>
      </w:r>
      <w:r>
        <w:rPr>
          <w:rFonts w:hint="eastAsia" w:ascii="仿宋_GB2312" w:hAnsi="仿宋_GB2312" w:eastAsia="仿宋_GB2312" w:cs="仿宋_GB2312"/>
          <w:kern w:val="0"/>
          <w:sz w:val="32"/>
          <w:szCs w:val="32"/>
          <w:highlight w:val="none"/>
        </w:rPr>
        <w:t>。省卫生健康委</w:t>
      </w:r>
      <w:r>
        <w:rPr>
          <w:rFonts w:hint="eastAsia" w:ascii="仿宋_GB2312" w:hAnsi="仿宋_GB2312" w:eastAsia="仿宋_GB2312" w:cs="仿宋_GB2312"/>
          <w:kern w:val="0"/>
          <w:sz w:val="32"/>
          <w:szCs w:val="32"/>
          <w:highlight w:val="none"/>
          <w:lang w:eastAsia="zh-CN"/>
        </w:rPr>
        <w:t>将</w:t>
      </w:r>
      <w:r>
        <w:rPr>
          <w:rFonts w:hint="eastAsia" w:ascii="仿宋_GB2312" w:hAnsi="仿宋_GB2312" w:eastAsia="仿宋_GB2312" w:cs="仿宋_GB2312"/>
          <w:kern w:val="0"/>
          <w:sz w:val="32"/>
          <w:szCs w:val="32"/>
          <w:highlight w:val="none"/>
        </w:rPr>
        <w:t>审查通过的专家人选</w:t>
      </w:r>
      <w:r>
        <w:rPr>
          <w:rFonts w:hint="eastAsia" w:ascii="仿宋_GB2312" w:hAnsi="仿宋_GB2312" w:eastAsia="仿宋_GB2312" w:cs="仿宋_GB2312"/>
          <w:kern w:val="0"/>
          <w:sz w:val="32"/>
          <w:szCs w:val="32"/>
          <w:highlight w:val="none"/>
          <w:lang w:eastAsia="zh-CN"/>
        </w:rPr>
        <w:t>名单</w:t>
      </w:r>
      <w:r>
        <w:rPr>
          <w:rFonts w:hint="eastAsia" w:ascii="仿宋_GB2312" w:hAnsi="仿宋_GB2312" w:eastAsia="仿宋_GB2312" w:cs="仿宋_GB2312"/>
          <w:kern w:val="0"/>
          <w:sz w:val="32"/>
          <w:szCs w:val="32"/>
          <w:highlight w:val="none"/>
        </w:rPr>
        <w:t>进行网上公示。</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（五）公布。经公示无异议的，发文公布并颁发聘书。</w:t>
      </w:r>
    </w:p>
    <w:p>
      <w:pPr>
        <w:widowControl/>
        <w:shd w:val="clear" w:color="auto" w:fill="FFFFFF"/>
        <w:spacing w:line="600" w:lineRule="exact"/>
        <w:ind w:firstLine="642"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 xml:space="preserve">第七条  </w:t>
      </w:r>
      <w:r>
        <w:rPr>
          <w:rFonts w:hint="eastAsia" w:ascii="仿宋_GB2312" w:hAnsi="仿宋_GB2312" w:eastAsia="仿宋_GB2312" w:cs="仿宋_GB2312"/>
          <w:kern w:val="0"/>
          <w:sz w:val="32"/>
          <w:szCs w:val="32"/>
          <w:highlight w:val="none"/>
        </w:rPr>
        <w:t>专家申请入库时应当提供以下材料：</w:t>
      </w:r>
    </w:p>
    <w:p>
      <w:pPr>
        <w:widowControl/>
        <w:shd w:val="clear" w:color="auto" w:fill="FFFFFF"/>
        <w:spacing w:line="60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（一）安徽省职业健康专家申请表（附件1）；</w:t>
      </w:r>
    </w:p>
    <w:p>
      <w:pPr>
        <w:pStyle w:val="2"/>
        <w:ind w:firstLine="640"/>
        <w:rPr>
          <w:rFonts w:hint="eastAsia" w:ascii="仿宋_GB2312" w:hAnsi="仿宋_GB2312" w:cs="仿宋_GB2312"/>
          <w:kern w:val="0"/>
          <w:highlight w:val="none"/>
        </w:rPr>
      </w:pPr>
      <w:r>
        <w:rPr>
          <w:rFonts w:hint="eastAsia" w:ascii="仿宋_GB2312" w:hAnsi="仿宋_GB2312" w:eastAsia="仿宋_GB2312" w:cs="仿宋_GB2312"/>
          <w:kern w:val="0"/>
          <w:sz w:val="32"/>
          <w:szCs w:val="32"/>
          <w:highlight w:val="none"/>
        </w:rPr>
        <w:t>（二）证明本人身份的有效证件（复印件）</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（三）学历证书及技术职称、职业资格证书（复印件）；</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（四）职业健康相关个人研究成果、发表论文及专著等证明材料。</w:t>
      </w:r>
    </w:p>
    <w:p>
      <w:pPr>
        <w:pStyle w:val="7"/>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第三章  专家库管理</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第八条  专家库按照工作需要下设综合组、职业卫生技术评审组、放射卫生技术评审组、职业病诊断鉴定组等4个专业组。各组具体包含的专业领域如下：</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综合组：包含政策法规、职业卫生及放射卫生监督管理、职业健康体系建设、以及宣传教育、应急及其他领域综合工作。</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职业卫生技术评审组：包含职业卫生检测、职业卫生评价、职业卫生工程防护和职业卫生质量控制等。</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放射卫生技术评审组：包含放射卫生检测、放射卫生评价、放射诊疗管理、放射卫生工程防护、放射卫生质量控制等。</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职业病诊断鉴定组：包含职业健康检查、职业病诊断及治疗、职业病鉴定等。</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第九条  专家在各自的专业范围内，主要承担以下职责：</w:t>
      </w:r>
    </w:p>
    <w:p>
      <w:pPr>
        <w:pStyle w:val="2"/>
        <w:ind w:firstLine="640"/>
        <w:rPr>
          <w:rFonts w:hint="eastAsia" w:ascii="仿宋_GB2312" w:hAnsi="仿宋_GB2312" w:cs="仿宋_GB2312"/>
          <w:kern w:val="0"/>
          <w:highlight w:val="none"/>
        </w:rPr>
      </w:pPr>
      <w:r>
        <w:rPr>
          <w:rFonts w:hint="eastAsia" w:ascii="仿宋_GB2312" w:hAnsi="仿宋_GB2312" w:cs="仿宋_GB2312"/>
          <w:kern w:val="0"/>
          <w:highlight w:val="none"/>
        </w:rPr>
        <w:t>（一）</w:t>
      </w:r>
      <w:r>
        <w:rPr>
          <w:rFonts w:hint="eastAsia" w:ascii="仿宋_GB2312" w:hAnsi="仿宋_GB2312" w:cs="仿宋_GB2312"/>
          <w:kern w:val="0"/>
          <w:highlight w:val="none"/>
        </w:rPr>
        <w:t>参与职业病防治地方法规、规划、政策措施、标准规范的咨询、研究和论证等工作；</w:t>
      </w:r>
    </w:p>
    <w:p>
      <w:pPr>
        <w:pStyle w:val="2"/>
        <w:ind w:firstLine="640"/>
        <w:rPr>
          <w:rFonts w:ascii="仿宋_GB2312" w:hAnsi="仿宋_GB2312" w:cs="仿宋_GB2312"/>
          <w:highlight w:val="none"/>
        </w:rPr>
      </w:pPr>
      <w:r>
        <w:rPr>
          <w:rFonts w:hint="eastAsia" w:ascii="仿宋_GB2312" w:hAnsi="仿宋_GB2312" w:cs="仿宋_GB2312"/>
          <w:kern w:val="0"/>
          <w:highlight w:val="none"/>
        </w:rPr>
        <w:t>（二）参与职业健康重大问题调研</w:t>
      </w:r>
      <w:r>
        <w:rPr>
          <w:rFonts w:hint="eastAsia" w:ascii="仿宋_GB2312" w:hAnsi="仿宋_GB2312" w:cs="仿宋_GB2312"/>
          <w:highlight w:val="none"/>
        </w:rPr>
        <w:t>，</w:t>
      </w:r>
      <w:r>
        <w:rPr>
          <w:rFonts w:hint="eastAsia" w:ascii="仿宋_GB2312" w:hAnsi="仿宋_GB2312" w:cs="仿宋_GB2312"/>
          <w:highlight w:val="none"/>
          <w:lang w:eastAsia="zh-CN"/>
        </w:rPr>
        <w:t>协助</w:t>
      </w:r>
      <w:r>
        <w:rPr>
          <w:rFonts w:hint="eastAsia" w:ascii="仿宋_GB2312" w:hAnsi="仿宋_GB2312" w:cs="仿宋_GB2312"/>
          <w:highlight w:val="none"/>
        </w:rPr>
        <w:t>撰写调研报告</w:t>
      </w:r>
      <w:r>
        <w:rPr>
          <w:rFonts w:hint="eastAsia" w:ascii="仿宋_GB2312" w:hAnsi="仿宋_GB2312" w:cs="仿宋_GB2312"/>
          <w:highlight w:val="none"/>
        </w:rPr>
        <w:t>，为改善与促进职业健康工作提供建设性意见建议；</w:t>
      </w:r>
    </w:p>
    <w:p>
      <w:pPr>
        <w:pStyle w:val="2"/>
        <w:ind w:firstLine="640"/>
        <w:rPr>
          <w:rFonts w:ascii="仿宋_GB2312" w:hAnsi="仿宋_GB2312" w:cs="仿宋_GB2312"/>
          <w:highlight w:val="none"/>
        </w:rPr>
      </w:pPr>
      <w:r>
        <w:rPr>
          <w:rFonts w:hint="eastAsia" w:ascii="仿宋_GB2312" w:hAnsi="仿宋_GB2312" w:cs="仿宋_GB2312"/>
          <w:highlight w:val="none"/>
        </w:rPr>
        <w:t>（三）参与职业健康行政许可相关技术评审、投诉举报处理以及监督检查等工作；</w:t>
      </w:r>
    </w:p>
    <w:p>
      <w:pPr>
        <w:pStyle w:val="2"/>
        <w:ind w:firstLine="640"/>
        <w:rPr>
          <w:rFonts w:ascii="仿宋_GB2312" w:hAnsi="仿宋_GB2312" w:cs="仿宋_GB2312"/>
          <w:highlight w:val="none"/>
        </w:rPr>
      </w:pPr>
      <w:r>
        <w:rPr>
          <w:rFonts w:hint="eastAsia" w:ascii="仿宋_GB2312" w:hAnsi="仿宋_GB2312" w:cs="仿宋_GB2312"/>
          <w:highlight w:val="none"/>
        </w:rPr>
        <w:t>（四）参与职业健康相关技术服务机构</w:t>
      </w:r>
      <w:r>
        <w:rPr>
          <w:rFonts w:hint="eastAsia" w:ascii="仿宋_GB2312" w:hAnsi="仿宋_GB2312" w:cs="仿宋_GB2312"/>
          <w:highlight w:val="none"/>
          <w:lang w:val="zh-CN"/>
        </w:rPr>
        <w:t>质控管理、督导工作；</w:t>
      </w:r>
    </w:p>
    <w:p>
      <w:pPr>
        <w:pStyle w:val="2"/>
        <w:ind w:firstLine="640"/>
        <w:rPr>
          <w:rFonts w:ascii="仿宋_GB2312" w:hAnsi="仿宋_GB2312" w:cs="仿宋_GB2312"/>
          <w:highlight w:val="none"/>
        </w:rPr>
      </w:pPr>
      <w:r>
        <w:rPr>
          <w:rFonts w:hint="eastAsia" w:ascii="仿宋_GB2312" w:hAnsi="仿宋_GB2312" w:cs="仿宋_GB2312"/>
          <w:highlight w:val="none"/>
        </w:rPr>
        <w:t>（五）参与职业健康监护、职业病诊断、鉴定、治疗等工作；</w:t>
      </w:r>
    </w:p>
    <w:p>
      <w:pPr>
        <w:pStyle w:val="2"/>
        <w:ind w:firstLine="640"/>
        <w:rPr>
          <w:rFonts w:ascii="仿宋_GB2312" w:hAnsi="仿宋_GB2312" w:cs="仿宋_GB2312"/>
          <w:highlight w:val="none"/>
        </w:rPr>
      </w:pPr>
      <w:r>
        <w:rPr>
          <w:rFonts w:hint="eastAsia" w:ascii="仿宋_GB2312" w:hAnsi="仿宋_GB2312" w:cs="仿宋_GB2312"/>
          <w:highlight w:val="none"/>
        </w:rPr>
        <w:t>（六）参与职业病危害事故的调查处置、技术分析、风险评估等工作；</w:t>
      </w:r>
    </w:p>
    <w:p>
      <w:pPr>
        <w:pStyle w:val="2"/>
        <w:ind w:firstLine="640"/>
        <w:rPr>
          <w:rFonts w:ascii="仿宋_GB2312" w:hAnsi="仿宋_GB2312" w:cs="仿宋_GB2312"/>
          <w:highlight w:val="none"/>
        </w:rPr>
      </w:pPr>
      <w:r>
        <w:rPr>
          <w:rFonts w:hint="eastAsia" w:ascii="仿宋_GB2312" w:hAnsi="仿宋_GB2312" w:cs="仿宋_GB2312"/>
          <w:highlight w:val="none"/>
        </w:rPr>
        <w:t>（七）参与职业健康宣传教育、培训和科普等工作;</w:t>
      </w:r>
    </w:p>
    <w:p>
      <w:pPr>
        <w:pStyle w:val="2"/>
        <w:ind w:firstLine="640"/>
        <w:rPr>
          <w:rFonts w:ascii="仿宋_GB2312" w:hAnsi="仿宋_GB2312" w:cs="仿宋_GB2312"/>
          <w:highlight w:val="none"/>
        </w:rPr>
      </w:pPr>
      <w:r>
        <w:rPr>
          <w:rFonts w:hint="eastAsia" w:ascii="仿宋_GB2312" w:hAnsi="仿宋_GB2312" w:cs="仿宋_GB2312"/>
          <w:highlight w:val="none"/>
        </w:rPr>
        <w:t>（八）参与职业病防治科研和技术咨询工作;</w:t>
      </w:r>
    </w:p>
    <w:p>
      <w:pPr>
        <w:pStyle w:val="2"/>
        <w:ind w:firstLine="640"/>
        <w:rPr>
          <w:rFonts w:ascii="仿宋_GB2312" w:hAnsi="仿宋_GB2312" w:cs="仿宋_GB2312"/>
          <w:highlight w:val="none"/>
        </w:rPr>
      </w:pPr>
      <w:r>
        <w:rPr>
          <w:rFonts w:hint="eastAsia" w:ascii="仿宋_GB2312" w:hAnsi="仿宋_GB2312" w:cs="仿宋_GB2312"/>
          <w:highlight w:val="none"/>
        </w:rPr>
        <w:t>（九）完成省卫生健康委指派的其他工作。</w:t>
      </w:r>
    </w:p>
    <w:p>
      <w:pPr>
        <w:pStyle w:val="2"/>
        <w:ind w:firstLine="640"/>
        <w:rPr>
          <w:rFonts w:ascii="仿宋_GB2312" w:hAnsi="仿宋_GB2312" w:cs="仿宋_GB2312"/>
          <w:highlight w:val="none"/>
        </w:rPr>
      </w:pPr>
      <w:r>
        <w:rPr>
          <w:rFonts w:hint="eastAsia" w:ascii="仿宋_GB2312" w:hAnsi="仿宋_GB2312" w:cs="仿宋_GB2312"/>
          <w:highlight w:val="none"/>
        </w:rPr>
        <w:t>建设项目职业病危害预评价、职业病防护设施设计、职业病防护设施控制效果评价及竣工验收、用人单位职业病危害现状评价等工作需使用专家库专家进行评审活动的，应按照本办法规定执行。</w:t>
      </w:r>
    </w:p>
    <w:p>
      <w:pPr>
        <w:pStyle w:val="14"/>
        <w:ind w:left="0" w:leftChars="0" w:firstLine="643"/>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b/>
          <w:bCs/>
          <w:kern w:val="0"/>
          <w:szCs w:val="32"/>
          <w:highlight w:val="none"/>
        </w:rPr>
        <w:t xml:space="preserve">第十条  </w:t>
      </w:r>
      <w:r>
        <w:rPr>
          <w:rFonts w:hint="eastAsia" w:ascii="仿宋_GB2312" w:hAnsi="仿宋_GB2312" w:eastAsia="仿宋_GB2312" w:cs="仿宋_GB2312"/>
          <w:kern w:val="2"/>
          <w:sz w:val="32"/>
          <w:szCs w:val="32"/>
          <w:highlight w:val="none"/>
          <w:lang w:val="en-US" w:eastAsia="zh-CN" w:bidi="ar-SA"/>
        </w:rPr>
        <w:t>专家享有下列权利：</w:t>
      </w:r>
    </w:p>
    <w:p>
      <w:pPr>
        <w:pStyle w:val="2"/>
        <w:ind w:firstLine="640"/>
        <w:rPr>
          <w:rFonts w:hint="eastAsia" w:ascii="仿宋_GB2312" w:hAnsi="仿宋_GB2312" w:cs="仿宋_GB2312"/>
          <w:highlight w:val="none"/>
        </w:rPr>
      </w:pPr>
      <w:r>
        <w:rPr>
          <w:rFonts w:hint="eastAsia" w:ascii="仿宋_GB2312" w:hAnsi="仿宋_GB2312" w:cs="仿宋_GB2312"/>
          <w:highlight w:val="none"/>
        </w:rPr>
        <w:t>（一）接受</w:t>
      </w:r>
      <w:r>
        <w:rPr>
          <w:rFonts w:hint="eastAsia" w:ascii="仿宋_GB2312" w:hAnsi="仿宋_GB2312" w:cs="仿宋_GB2312"/>
          <w:highlight w:val="none"/>
          <w:lang w:eastAsia="zh-CN"/>
        </w:rPr>
        <w:t>卫生健康</w:t>
      </w:r>
      <w:r>
        <w:rPr>
          <w:rFonts w:hint="eastAsia" w:ascii="仿宋_GB2312" w:hAnsi="仿宋_GB2312" w:cs="仿宋_GB2312"/>
          <w:highlight w:val="none"/>
        </w:rPr>
        <w:t>等相关部门的委托，对</w:t>
      </w:r>
      <w:r>
        <w:rPr>
          <w:rFonts w:hint="eastAsia" w:ascii="仿宋_GB2312" w:hAnsi="仿宋_GB2312" w:cs="仿宋_GB2312"/>
          <w:highlight w:val="none"/>
          <w:lang w:eastAsia="zh-CN"/>
        </w:rPr>
        <w:t>职业健康</w:t>
      </w:r>
      <w:r>
        <w:rPr>
          <w:rFonts w:hint="eastAsia" w:ascii="仿宋_GB2312" w:hAnsi="仿宋_GB2312" w:cs="仿宋_GB2312"/>
          <w:highlight w:val="none"/>
        </w:rPr>
        <w:t>相关专项工作开展咨询评审</w:t>
      </w:r>
      <w:r>
        <w:rPr>
          <w:rFonts w:hint="eastAsia" w:ascii="仿宋_GB2312" w:hAnsi="仿宋_GB2312" w:cs="仿宋_GB2312"/>
          <w:highlight w:val="none"/>
          <w:lang w:eastAsia="zh-CN"/>
        </w:rPr>
        <w:t>等</w:t>
      </w:r>
      <w:r>
        <w:rPr>
          <w:rFonts w:hint="eastAsia" w:ascii="仿宋_GB2312" w:hAnsi="仿宋_GB2312" w:cs="仿宋_GB2312"/>
          <w:highlight w:val="none"/>
        </w:rPr>
        <w:t>服务，</w:t>
      </w:r>
      <w:r>
        <w:rPr>
          <w:rFonts w:hint="eastAsia" w:ascii="仿宋_GB2312" w:hAnsi="仿宋_GB2312" w:cs="仿宋_GB2312"/>
          <w:highlight w:val="none"/>
          <w:lang w:eastAsia="zh-CN"/>
        </w:rPr>
        <w:t>成为专家组成员</w:t>
      </w:r>
      <w:r>
        <w:rPr>
          <w:rFonts w:hint="eastAsia" w:ascii="仿宋_GB2312" w:hAnsi="仿宋_GB2312" w:cs="仿宋_GB2312"/>
          <w:highlight w:val="none"/>
        </w:rPr>
        <w:t>；</w:t>
      </w:r>
    </w:p>
    <w:p>
      <w:pPr>
        <w:pStyle w:val="2"/>
        <w:ind w:firstLine="640"/>
        <w:rPr>
          <w:rFonts w:hint="eastAsia" w:ascii="仿宋_GB2312" w:hAnsi="仿宋_GB2312" w:cs="仿宋_GB2312"/>
          <w:highlight w:val="none"/>
        </w:rPr>
      </w:pPr>
      <w:r>
        <w:rPr>
          <w:rFonts w:hint="eastAsia" w:ascii="仿宋_GB2312" w:hAnsi="仿宋_GB2312" w:cs="仿宋_GB2312"/>
          <w:highlight w:val="none"/>
        </w:rPr>
        <w:t>（二）依法对</w:t>
      </w:r>
      <w:r>
        <w:rPr>
          <w:rFonts w:hint="eastAsia" w:ascii="仿宋_GB2312" w:hAnsi="仿宋_GB2312" w:cs="仿宋_GB2312"/>
          <w:highlight w:val="none"/>
          <w:lang w:eastAsia="zh-CN"/>
        </w:rPr>
        <w:t>参与的工作</w:t>
      </w:r>
      <w:r>
        <w:rPr>
          <w:rFonts w:hint="eastAsia" w:ascii="仿宋_GB2312" w:hAnsi="仿宋_GB2312" w:cs="仿宋_GB2312"/>
          <w:highlight w:val="none"/>
        </w:rPr>
        <w:t>独立发表意见和建议，不受任何单位或个人的干预；</w:t>
      </w:r>
    </w:p>
    <w:p>
      <w:pPr>
        <w:pStyle w:val="2"/>
        <w:ind w:firstLine="640"/>
        <w:rPr>
          <w:rFonts w:hint="eastAsia" w:ascii="仿宋_GB2312" w:hAnsi="仿宋_GB2312" w:cs="仿宋_GB2312"/>
          <w:highlight w:val="none"/>
        </w:rPr>
      </w:pPr>
      <w:r>
        <w:rPr>
          <w:rFonts w:hint="eastAsia" w:ascii="仿宋_GB2312" w:hAnsi="仿宋_GB2312" w:cs="仿宋_GB2312"/>
          <w:highlight w:val="none"/>
        </w:rPr>
        <w:t>（三）按规定获得相应的专家劳务报酬;</w:t>
      </w:r>
    </w:p>
    <w:p>
      <w:pPr>
        <w:pStyle w:val="2"/>
        <w:ind w:firstLine="640"/>
        <w:rPr>
          <w:rFonts w:hint="eastAsia" w:ascii="仿宋_GB2312" w:hAnsi="仿宋_GB2312" w:cs="仿宋_GB2312"/>
          <w:highlight w:val="none"/>
        </w:rPr>
      </w:pPr>
      <w:r>
        <w:rPr>
          <w:rFonts w:hint="eastAsia" w:ascii="仿宋_GB2312" w:hAnsi="仿宋_GB2312" w:cs="仿宋_GB2312"/>
          <w:highlight w:val="none"/>
        </w:rPr>
        <w:t>（四）法律法规规定的其他权利。</w:t>
      </w:r>
    </w:p>
    <w:p>
      <w:pPr>
        <w:pStyle w:val="14"/>
        <w:ind w:left="0" w:leftChars="0" w:firstLine="643"/>
        <w:rPr>
          <w:rFonts w:ascii="仿宋_GB2312" w:hAnsi="仿宋_GB2312" w:cs="仿宋_GB2312"/>
          <w:b/>
          <w:bCs/>
          <w:kern w:val="0"/>
          <w:szCs w:val="32"/>
          <w:highlight w:val="none"/>
        </w:rPr>
      </w:pPr>
      <w:r>
        <w:rPr>
          <w:rFonts w:hint="eastAsia" w:ascii="仿宋_GB2312" w:hAnsi="仿宋_GB2312" w:cs="仿宋_GB2312"/>
          <w:b/>
          <w:bCs/>
          <w:kern w:val="0"/>
          <w:szCs w:val="32"/>
          <w:highlight w:val="none"/>
        </w:rPr>
        <w:t>第十</w:t>
      </w:r>
      <w:r>
        <w:rPr>
          <w:rFonts w:hint="eastAsia" w:ascii="仿宋_GB2312" w:hAnsi="仿宋_GB2312" w:cs="仿宋_GB2312"/>
          <w:b/>
          <w:bCs/>
          <w:kern w:val="0"/>
          <w:highlight w:val="none"/>
          <w:lang w:val="zh-CN"/>
        </w:rPr>
        <w:t>一</w:t>
      </w:r>
      <w:r>
        <w:rPr>
          <w:rFonts w:hint="eastAsia" w:ascii="仿宋_GB2312" w:hAnsi="仿宋_GB2312" w:cs="仿宋_GB2312"/>
          <w:b/>
          <w:bCs/>
          <w:kern w:val="0"/>
          <w:szCs w:val="32"/>
          <w:highlight w:val="none"/>
        </w:rPr>
        <w:t xml:space="preserve">条 </w:t>
      </w:r>
      <w:r>
        <w:rPr>
          <w:rFonts w:hint="eastAsia" w:ascii="仿宋_GB2312" w:hAnsi="仿宋_GB2312" w:cs="仿宋_GB2312"/>
          <w:b/>
          <w:bCs/>
          <w:kern w:val="0"/>
          <w:szCs w:val="32"/>
          <w:highlight w:val="none"/>
          <w:lang w:val="en-US" w:eastAsia="zh-CN"/>
        </w:rPr>
        <w:t xml:space="preserve"> </w:t>
      </w:r>
      <w:r>
        <w:rPr>
          <w:rFonts w:hint="eastAsia" w:ascii="仿宋_GB2312" w:hAnsi="仿宋_GB2312" w:cs="仿宋_GB2312"/>
          <w:szCs w:val="32"/>
          <w:highlight w:val="none"/>
        </w:rPr>
        <w:t>专家应当遵守以下规定：</w:t>
      </w:r>
    </w:p>
    <w:p>
      <w:pPr>
        <w:pStyle w:val="2"/>
        <w:ind w:firstLine="640"/>
        <w:rPr>
          <w:rFonts w:ascii="仿宋_GB2312" w:hAnsi="仿宋_GB2312" w:cs="仿宋_GB2312"/>
          <w:highlight w:val="none"/>
        </w:rPr>
      </w:pPr>
      <w:r>
        <w:rPr>
          <w:rFonts w:hint="eastAsia" w:ascii="仿宋_GB2312" w:hAnsi="仿宋_GB2312" w:cs="仿宋_GB2312"/>
          <w:highlight w:val="none"/>
        </w:rPr>
        <w:t>（一）按照国家有关法律法规、标准与规范开展工作，独立、实事求是、客观公正地提出意见</w:t>
      </w:r>
      <w:r>
        <w:rPr>
          <w:highlight w:val="none"/>
        </w:rPr>
        <w:t>，</w:t>
      </w:r>
      <w:r>
        <w:rPr>
          <w:rFonts w:hint="eastAsia" w:ascii="仿宋_GB2312" w:hAnsi="仿宋_GB2312" w:cs="仿宋_GB2312"/>
          <w:highlight w:val="none"/>
        </w:rPr>
        <w:t>并承担相应的法律责任；</w:t>
      </w:r>
    </w:p>
    <w:p>
      <w:pPr>
        <w:pStyle w:val="2"/>
        <w:ind w:firstLine="640"/>
        <w:rPr>
          <w:rFonts w:ascii="仿宋_GB2312" w:hAnsi="仿宋_GB2312" w:cs="仿宋_GB2312"/>
          <w:highlight w:val="none"/>
        </w:rPr>
      </w:pPr>
      <w:r>
        <w:rPr>
          <w:rFonts w:hint="eastAsia" w:ascii="仿宋_GB2312" w:hAnsi="仿宋_GB2312" w:cs="仿宋_GB2312"/>
          <w:highlight w:val="none"/>
        </w:rPr>
        <w:t>（二）积极参加省卫生健康委指（委）派的公务和相关活动，</w:t>
      </w:r>
      <w:r>
        <w:rPr>
          <w:highlight w:val="none"/>
        </w:rPr>
        <w:t>以</w:t>
      </w:r>
      <w:r>
        <w:rPr>
          <w:rFonts w:hint="eastAsia"/>
          <w:highlight w:val="none"/>
        </w:rPr>
        <w:t>认真负责的态度</w:t>
      </w:r>
      <w:r>
        <w:rPr>
          <w:highlight w:val="none"/>
        </w:rPr>
        <w:t>完成工作任务</w:t>
      </w:r>
      <w:r>
        <w:rPr>
          <w:rFonts w:hint="eastAsia"/>
          <w:highlight w:val="none"/>
        </w:rPr>
        <w:t>；</w:t>
      </w:r>
    </w:p>
    <w:p>
      <w:pPr>
        <w:pStyle w:val="2"/>
        <w:ind w:firstLine="640"/>
        <w:rPr>
          <w:rFonts w:ascii="仿宋_GB2312" w:hAnsi="仿宋_GB2312" w:cs="仿宋_GB2312"/>
          <w:highlight w:val="none"/>
        </w:rPr>
      </w:pPr>
      <w:r>
        <w:rPr>
          <w:rFonts w:hint="eastAsia" w:ascii="仿宋_GB2312" w:hAnsi="仿宋_GB2312" w:cs="仿宋_GB2312"/>
          <w:highlight w:val="none"/>
        </w:rPr>
        <w:t>（三）遵守国家保密制度，保守国家秘密和相关单位的商业秘密和技术秘密以及其他不宜公开的工作情况；</w:t>
      </w:r>
    </w:p>
    <w:p>
      <w:pPr>
        <w:pStyle w:val="2"/>
        <w:ind w:firstLine="640"/>
        <w:rPr>
          <w:rFonts w:ascii="仿宋_GB2312" w:hAnsi="仿宋_GB2312" w:cs="仿宋_GB2312"/>
          <w:highlight w:val="none"/>
        </w:rPr>
      </w:pPr>
      <w:r>
        <w:rPr>
          <w:rFonts w:hint="eastAsia" w:ascii="仿宋_GB2312" w:hAnsi="仿宋_GB2312" w:cs="仿宋_GB2312"/>
          <w:highlight w:val="none"/>
        </w:rPr>
        <w:t>（四）不得参与有碍公正性的活动，出现可能影响公正性的情况时，应主动提出回避；</w:t>
      </w:r>
    </w:p>
    <w:p>
      <w:pPr>
        <w:pStyle w:val="2"/>
        <w:ind w:firstLine="640"/>
        <w:rPr>
          <w:rFonts w:ascii="仿宋_GB2312" w:hAnsi="仿宋_GB2312" w:cs="仿宋_GB2312"/>
          <w:highlight w:val="none"/>
        </w:rPr>
      </w:pPr>
      <w:r>
        <w:rPr>
          <w:rFonts w:hint="eastAsia" w:ascii="仿宋_GB2312" w:hAnsi="仿宋_GB2312" w:cs="仿宋_GB2312"/>
          <w:highlight w:val="none"/>
        </w:rPr>
        <w:t>（五）不得以专家库专家的名义进行商业活动；</w:t>
      </w:r>
    </w:p>
    <w:p>
      <w:pPr>
        <w:pStyle w:val="2"/>
        <w:ind w:firstLine="640"/>
        <w:rPr>
          <w:rFonts w:ascii="仿宋_GB2312" w:hAnsi="仿宋_GB2312" w:cs="仿宋_GB2312"/>
          <w:highlight w:val="none"/>
        </w:rPr>
      </w:pPr>
      <w:r>
        <w:rPr>
          <w:rFonts w:hint="eastAsia" w:ascii="仿宋_GB2312" w:hAnsi="仿宋_GB2312" w:cs="仿宋_GB2312"/>
          <w:highlight w:val="none"/>
        </w:rPr>
        <w:t>（六）自觉接受主管部门的监督、管理和考核；</w:t>
      </w:r>
    </w:p>
    <w:p>
      <w:pPr>
        <w:pStyle w:val="2"/>
        <w:ind w:firstLine="640"/>
        <w:rPr>
          <w:rFonts w:ascii="仿宋_GB2312" w:hAnsi="仿宋_GB2312" w:cs="仿宋_GB2312"/>
          <w:highlight w:val="none"/>
        </w:rPr>
      </w:pPr>
      <w:r>
        <w:rPr>
          <w:rFonts w:hint="eastAsia" w:ascii="仿宋_GB2312" w:hAnsi="仿宋_GB2312" w:cs="仿宋_GB2312"/>
          <w:highlight w:val="none"/>
        </w:rPr>
        <w:t>（七）在技术审查等工作中，发现技术报告、文件等弄虚作假、粗糙滥制和其他违法违规行为，应当及时向主管部门反映或者举报；</w:t>
      </w:r>
    </w:p>
    <w:p>
      <w:pPr>
        <w:pStyle w:val="2"/>
        <w:ind w:firstLine="640"/>
        <w:rPr>
          <w:rFonts w:ascii="仿宋_GB2312" w:hAnsi="仿宋_GB2312" w:cs="仿宋_GB2312"/>
          <w:highlight w:val="none"/>
        </w:rPr>
      </w:pPr>
      <w:r>
        <w:rPr>
          <w:rFonts w:hint="eastAsia" w:ascii="仿宋_GB2312" w:hAnsi="仿宋_GB2312" w:cs="仿宋_GB2312"/>
          <w:highlight w:val="none"/>
        </w:rPr>
        <w:t>（八）不断加强自身业务学习，及时掌握职业健康相关专业领域的新技术、新标准，新动态，主动适应专家业务要求。</w:t>
      </w:r>
    </w:p>
    <w:p>
      <w:pPr>
        <w:pStyle w:val="2"/>
        <w:ind w:firstLine="643"/>
        <w:rPr>
          <w:rFonts w:ascii="仿宋_GB2312" w:hAnsi="仿宋_GB2312" w:cs="仿宋_GB2312"/>
          <w:highlight w:val="none"/>
        </w:rPr>
      </w:pPr>
      <w:r>
        <w:rPr>
          <w:rFonts w:hint="eastAsia" w:ascii="仿宋_GB2312" w:hAnsi="仿宋_GB2312" w:cs="仿宋_GB2312"/>
          <w:b/>
          <w:bCs/>
          <w:kern w:val="0"/>
          <w:highlight w:val="none"/>
          <w:lang w:val="zh-CN"/>
        </w:rPr>
        <w:t>第十</w:t>
      </w:r>
      <w:r>
        <w:rPr>
          <w:rFonts w:hint="eastAsia" w:ascii="仿宋_GB2312" w:hAnsi="仿宋_GB2312" w:cs="仿宋_GB2312"/>
          <w:b/>
          <w:bCs/>
          <w:kern w:val="0"/>
          <w:szCs w:val="32"/>
          <w:highlight w:val="none"/>
        </w:rPr>
        <w:t>二</w:t>
      </w:r>
      <w:r>
        <w:rPr>
          <w:rFonts w:hint="eastAsia" w:ascii="仿宋_GB2312" w:hAnsi="仿宋_GB2312" w:cs="仿宋_GB2312"/>
          <w:b/>
          <w:bCs/>
          <w:kern w:val="0"/>
          <w:highlight w:val="none"/>
          <w:lang w:val="zh-CN"/>
        </w:rPr>
        <w:t>条</w:t>
      </w:r>
      <w:r>
        <w:rPr>
          <w:rFonts w:hint="eastAsia" w:ascii="仿宋_GB2312" w:hAnsi="仿宋_GB2312" w:cs="仿宋_GB2312"/>
          <w:highlight w:val="none"/>
        </w:rPr>
        <w:t xml:space="preserve">  专家在参与技术评审、验收等活动时，应严格遵守党和政府有关廉洁自律规定及职业道德规范的要求。</w:t>
      </w:r>
    </w:p>
    <w:p>
      <w:pPr>
        <w:pStyle w:val="2"/>
        <w:ind w:firstLine="640"/>
        <w:rPr>
          <w:rFonts w:ascii="仿宋_GB2312" w:hAnsi="仿宋_GB2312" w:cs="仿宋_GB2312"/>
          <w:highlight w:val="none"/>
        </w:rPr>
      </w:pPr>
      <w:r>
        <w:rPr>
          <w:rFonts w:hint="eastAsia" w:ascii="仿宋_GB2312" w:hAnsi="仿宋_GB2312" w:cs="仿宋_GB2312"/>
          <w:highlight w:val="none"/>
        </w:rPr>
        <w:t>（一）不得收受或索取用人单位（建设单位）、技术服务机构馈赠的财物或者给予的其他不当利益，不得让用人单位（建设单位）、技术服务机构或个人报销应由评审专家个人负担的费用；</w:t>
      </w:r>
    </w:p>
    <w:p>
      <w:pPr>
        <w:pStyle w:val="2"/>
        <w:ind w:firstLine="640"/>
        <w:rPr>
          <w:rFonts w:ascii="仿宋_GB2312" w:hAnsi="仿宋_GB2312" w:cs="仿宋_GB2312"/>
          <w:highlight w:val="none"/>
        </w:rPr>
      </w:pPr>
      <w:r>
        <w:rPr>
          <w:rFonts w:hint="eastAsia" w:ascii="仿宋_GB2312" w:hAnsi="仿宋_GB2312" w:cs="仿宋_GB2312"/>
          <w:highlight w:val="none"/>
        </w:rPr>
        <w:t>（二）不得向用人单位（建设单位）、技术服务机构提出与评审工作无关的要求或暗示；不得接受邀请参加宴请、旅游和社会营业性娱乐场所等活动；</w:t>
      </w:r>
    </w:p>
    <w:p>
      <w:pPr>
        <w:pStyle w:val="2"/>
        <w:ind w:firstLine="640"/>
        <w:rPr>
          <w:rFonts w:ascii="仿宋_GB2312" w:hAnsi="仿宋_GB2312" w:cs="仿宋_GB2312"/>
          <w:highlight w:val="none"/>
        </w:rPr>
      </w:pPr>
      <w:r>
        <w:rPr>
          <w:rFonts w:hint="eastAsia" w:ascii="仿宋_GB2312" w:hAnsi="仿宋_GB2312" w:cs="仿宋_GB2312"/>
          <w:highlight w:val="none"/>
        </w:rPr>
        <w:t>（三）不得在未参加技术评审会议或者踏勘现场的情况下，出具同意通过评审或验收的意见；</w:t>
      </w:r>
    </w:p>
    <w:p>
      <w:pPr>
        <w:pStyle w:val="2"/>
        <w:ind w:firstLine="640"/>
        <w:rPr>
          <w:rFonts w:ascii="仿宋_GB2312" w:hAnsi="仿宋_GB2312" w:cs="仿宋_GB2312"/>
          <w:highlight w:val="none"/>
        </w:rPr>
      </w:pPr>
      <w:r>
        <w:rPr>
          <w:rFonts w:hint="eastAsia" w:ascii="仿宋_GB2312" w:hAnsi="仿宋_GB2312" w:cs="仿宋_GB2312"/>
          <w:highlight w:val="none"/>
        </w:rPr>
        <w:t>（四）不得在评审会上不执行一次性告知，在评审会后再次或多次提出修改意见；</w:t>
      </w:r>
    </w:p>
    <w:p>
      <w:pPr>
        <w:pStyle w:val="2"/>
        <w:ind w:firstLine="640"/>
        <w:rPr>
          <w:rFonts w:ascii="仿宋_GB2312" w:hAnsi="仿宋_GB2312" w:cs="仿宋_GB2312"/>
          <w:highlight w:val="none"/>
        </w:rPr>
      </w:pPr>
      <w:r>
        <w:rPr>
          <w:rFonts w:hint="eastAsia" w:ascii="仿宋_GB2312" w:hAnsi="仿宋_GB2312" w:cs="仿宋_GB2312"/>
          <w:highlight w:val="none"/>
        </w:rPr>
        <w:t>（五）不得在技术报告或文件审查修改过程中，实施刁难、吃拿卡要，收取用人单位（建设单位）、技术服务机构的财物或给予的其他不当利益，向用人单位（建设单位）承揽业务；</w:t>
      </w:r>
    </w:p>
    <w:p>
      <w:pPr>
        <w:pStyle w:val="2"/>
        <w:ind w:firstLine="640"/>
        <w:rPr>
          <w:rFonts w:ascii="仿宋_GB2312" w:hAnsi="仿宋_GB2312" w:cs="仿宋_GB2312"/>
          <w:highlight w:val="none"/>
        </w:rPr>
      </w:pPr>
      <w:r>
        <w:rPr>
          <w:rFonts w:hint="eastAsia" w:ascii="仿宋_GB2312" w:hAnsi="仿宋_GB2312" w:cs="仿宋_GB2312"/>
          <w:highlight w:val="none"/>
        </w:rPr>
        <w:t>（六）不得在评审工作中有明显的偏袒或者歧视现象，干预、影响评审过程和结果；不得对用人单位（建设单位）、技术服务机构作出与评审工作有关的承诺；</w:t>
      </w:r>
    </w:p>
    <w:p>
      <w:pPr>
        <w:pStyle w:val="2"/>
        <w:ind w:firstLine="640"/>
        <w:rPr>
          <w:rFonts w:ascii="仿宋_GB2312" w:hAnsi="仿宋_GB2312" w:cs="仿宋_GB2312"/>
          <w:highlight w:val="none"/>
        </w:rPr>
      </w:pPr>
      <w:r>
        <w:rPr>
          <w:rFonts w:hint="eastAsia" w:ascii="仿宋_GB2312" w:hAnsi="仿宋_GB2312" w:cs="仿宋_GB2312"/>
          <w:highlight w:val="none"/>
        </w:rPr>
        <w:t>（七）不得利用评审工作之便向用人单位（建设单位）推荐、指定技术服务机构，推销产品，参与有偿中介活动；</w:t>
      </w:r>
    </w:p>
    <w:p>
      <w:pPr>
        <w:pStyle w:val="2"/>
        <w:ind w:firstLine="640"/>
        <w:rPr>
          <w:rFonts w:ascii="仿宋_GB2312" w:hAnsi="仿宋_GB2312" w:cs="仿宋_GB2312"/>
          <w:highlight w:val="none"/>
        </w:rPr>
      </w:pPr>
      <w:r>
        <w:rPr>
          <w:rFonts w:hint="eastAsia" w:ascii="仿宋_GB2312" w:hAnsi="仿宋_GB2312" w:cs="仿宋_GB2312"/>
          <w:highlight w:val="none"/>
        </w:rPr>
        <w:t>（八）不得出具模糊笼统、缺乏针对性的专家意见，不得对明显存在严重质量问题的技术报告出具同意通过评审的意见。</w:t>
      </w:r>
    </w:p>
    <w:p>
      <w:pPr>
        <w:pStyle w:val="2"/>
        <w:ind w:firstLine="643"/>
        <w:rPr>
          <w:rFonts w:ascii="仿宋_GB2312" w:hAnsi="仿宋_GB2312" w:cs="仿宋_GB2312"/>
          <w:highlight w:val="none"/>
        </w:rPr>
      </w:pPr>
      <w:r>
        <w:rPr>
          <w:rFonts w:hint="eastAsia" w:ascii="仿宋_GB2312" w:hAnsi="仿宋_GB2312" w:cs="仿宋_GB2312"/>
          <w:b/>
          <w:bCs/>
          <w:kern w:val="0"/>
          <w:highlight w:val="none"/>
          <w:lang w:val="zh-CN"/>
        </w:rPr>
        <w:t xml:space="preserve">第十三条 </w:t>
      </w:r>
      <w:r>
        <w:rPr>
          <w:rFonts w:hint="eastAsia" w:ascii="仿宋_GB2312" w:hAnsi="仿宋_GB2312" w:cs="仿宋_GB2312"/>
          <w:b/>
          <w:bCs/>
          <w:kern w:val="0"/>
          <w:highlight w:val="none"/>
          <w:lang w:val="en-US" w:eastAsia="zh-CN"/>
        </w:rPr>
        <w:t xml:space="preserve"> </w:t>
      </w:r>
      <w:r>
        <w:rPr>
          <w:rFonts w:hint="eastAsia" w:ascii="仿宋_GB2312" w:hAnsi="仿宋_GB2312" w:cs="仿宋_GB2312"/>
          <w:highlight w:val="none"/>
        </w:rPr>
        <w:t>专家库实施动态管理，可根据实际工作需要进行增补或调整，对不符合条件的专家进行解聘。</w:t>
      </w:r>
    </w:p>
    <w:p>
      <w:pPr>
        <w:pStyle w:val="14"/>
        <w:ind w:left="0" w:leftChars="0" w:firstLine="640"/>
        <w:rPr>
          <w:rFonts w:ascii="仿宋_GB2312" w:hAnsi="仿宋_GB2312" w:cs="仿宋_GB2312"/>
          <w:szCs w:val="32"/>
          <w:highlight w:val="none"/>
        </w:rPr>
      </w:pPr>
      <w:r>
        <w:rPr>
          <w:rFonts w:hint="eastAsia" w:ascii="仿宋_GB2312" w:hAnsi="仿宋_GB2312" w:cs="仿宋_GB2312"/>
          <w:szCs w:val="32"/>
          <w:highlight w:val="none"/>
        </w:rPr>
        <w:t>专家采用聘任制，每届任期5年，任期届满后按本办法程序重新遴选入库。期间增补或调整的专家，任期按照同届专家的有效时间计算。</w:t>
      </w:r>
    </w:p>
    <w:p>
      <w:pPr>
        <w:pStyle w:val="2"/>
        <w:ind w:firstLine="643"/>
        <w:rPr>
          <w:rFonts w:ascii="仿宋_GB2312" w:hAnsi="仿宋_GB2312" w:cs="仿宋_GB2312"/>
          <w:highlight w:val="none"/>
        </w:rPr>
      </w:pPr>
      <w:r>
        <w:rPr>
          <w:rFonts w:hint="eastAsia" w:ascii="仿宋_GB2312" w:hAnsi="仿宋_GB2312" w:cs="仿宋_GB2312"/>
          <w:b/>
          <w:bCs/>
          <w:kern w:val="0"/>
          <w:highlight w:val="none"/>
          <w:lang w:val="zh-CN"/>
        </w:rPr>
        <w:t xml:space="preserve">第十四条 </w:t>
      </w:r>
      <w:r>
        <w:rPr>
          <w:rFonts w:hint="eastAsia" w:ascii="仿宋_GB2312" w:hAnsi="仿宋_GB2312" w:cs="仿宋_GB2312"/>
          <w:b/>
          <w:bCs/>
          <w:kern w:val="0"/>
          <w:highlight w:val="none"/>
          <w:lang w:val="en-US" w:eastAsia="zh-CN"/>
        </w:rPr>
        <w:t xml:space="preserve"> </w:t>
      </w:r>
      <w:r>
        <w:rPr>
          <w:rFonts w:hint="eastAsia" w:ascii="仿宋_GB2312" w:hAnsi="仿宋_GB2312" w:cs="仿宋_GB2312"/>
          <w:highlight w:val="none"/>
        </w:rPr>
        <w:t>专家因身体状况、工作变动等原因不能继续履行专家职责的，由本人或所在单位提出不再担任专家申请，经省卫生健康委确认后退出专家库。</w:t>
      </w:r>
    </w:p>
    <w:p>
      <w:pPr>
        <w:pStyle w:val="7"/>
        <w:jc w:val="center"/>
        <w:rPr>
          <w:rFonts w:ascii="黑体" w:hAnsi="黑体" w:eastAsia="黑体" w:cs="黑体"/>
          <w:sz w:val="32"/>
          <w:szCs w:val="32"/>
          <w:highlight w:val="none"/>
        </w:rPr>
      </w:pPr>
      <w:r>
        <w:rPr>
          <w:rFonts w:hint="eastAsia" w:ascii="黑体" w:hAnsi="黑体" w:eastAsia="黑体" w:cs="黑体"/>
          <w:sz w:val="32"/>
          <w:szCs w:val="32"/>
          <w:highlight w:val="none"/>
        </w:rPr>
        <w:t>第四章  专家库使用</w:t>
      </w:r>
    </w:p>
    <w:p>
      <w:pPr>
        <w:pStyle w:val="14"/>
        <w:ind w:left="0" w:leftChars="0" w:firstLine="643"/>
        <w:rPr>
          <w:rFonts w:ascii="仿宋_GB2312" w:hAnsi="仿宋_GB2312" w:cs="仿宋_GB2312"/>
          <w:szCs w:val="32"/>
          <w:highlight w:val="none"/>
        </w:rPr>
      </w:pPr>
      <w:r>
        <w:rPr>
          <w:rFonts w:ascii="仿宋" w:hAnsi="仿宋" w:eastAsia="仿宋" w:cs="宋体"/>
          <w:b/>
          <w:bCs/>
          <w:kern w:val="0"/>
          <w:szCs w:val="32"/>
          <w:highlight w:val="none"/>
        </w:rPr>
        <w:t>第</w:t>
      </w:r>
      <w:r>
        <w:rPr>
          <w:rFonts w:hint="eastAsia" w:ascii="仿宋" w:hAnsi="仿宋" w:eastAsia="仿宋" w:cs="宋体"/>
          <w:b/>
          <w:bCs/>
          <w:kern w:val="0"/>
          <w:szCs w:val="32"/>
          <w:highlight w:val="none"/>
        </w:rPr>
        <w:t>十</w:t>
      </w:r>
      <w:r>
        <w:rPr>
          <w:rFonts w:hint="eastAsia" w:ascii="仿宋" w:hAnsi="仿宋" w:eastAsia="仿宋" w:cs="宋体"/>
          <w:b/>
          <w:bCs/>
          <w:kern w:val="0"/>
          <w:szCs w:val="32"/>
          <w:highlight w:val="none"/>
          <w:lang w:eastAsia="zh-CN"/>
        </w:rPr>
        <w:t>五</w:t>
      </w:r>
      <w:r>
        <w:rPr>
          <w:rFonts w:ascii="仿宋" w:hAnsi="仿宋" w:eastAsia="仿宋" w:cs="宋体"/>
          <w:b/>
          <w:bCs/>
          <w:kern w:val="0"/>
          <w:szCs w:val="32"/>
          <w:highlight w:val="none"/>
        </w:rPr>
        <w:t>条</w:t>
      </w:r>
      <w:r>
        <w:rPr>
          <w:rFonts w:hint="eastAsia" w:ascii="仿宋" w:hAnsi="仿宋" w:eastAsia="仿宋" w:cs="宋体"/>
          <w:b/>
          <w:bCs/>
          <w:kern w:val="0"/>
          <w:szCs w:val="32"/>
          <w:highlight w:val="none"/>
        </w:rPr>
        <w:t xml:space="preserve"> </w:t>
      </w:r>
      <w:r>
        <w:rPr>
          <w:rFonts w:hint="eastAsia" w:ascii="仿宋" w:hAnsi="仿宋" w:eastAsia="仿宋" w:cs="宋体"/>
          <w:b/>
          <w:bCs/>
          <w:kern w:val="0"/>
          <w:szCs w:val="32"/>
          <w:highlight w:val="none"/>
          <w:lang w:val="en-US" w:eastAsia="zh-CN"/>
        </w:rPr>
        <w:t xml:space="preserve"> </w:t>
      </w:r>
      <w:r>
        <w:rPr>
          <w:rFonts w:hint="eastAsia" w:ascii="仿宋_GB2312" w:hAnsi="仿宋_GB2312" w:cs="仿宋_GB2312"/>
          <w:szCs w:val="32"/>
          <w:highlight w:val="none"/>
        </w:rPr>
        <w:t>专家库使用时，可</w:t>
      </w:r>
      <w:r>
        <w:rPr>
          <w:rFonts w:ascii="仿宋_GB2312" w:hAnsi="仿宋_GB2312" w:cs="仿宋_GB2312"/>
          <w:szCs w:val="32"/>
          <w:highlight w:val="none"/>
        </w:rPr>
        <w:t>根据职业健康业务工作需要，采用随机抽取、人工选取或随机抽取与人工选取相结合等方式从专家库中抽取专家。</w:t>
      </w:r>
    </w:p>
    <w:p>
      <w:pPr>
        <w:pStyle w:val="2"/>
        <w:ind w:firstLine="640"/>
        <w:rPr>
          <w:rFonts w:ascii="仿宋_GB2312" w:hAnsi="仿宋_GB2312" w:cs="仿宋_GB2312"/>
          <w:highlight w:val="none"/>
        </w:rPr>
      </w:pPr>
      <w:r>
        <w:rPr>
          <w:rFonts w:hint="eastAsia" w:ascii="仿宋_GB2312" w:hAnsi="仿宋_GB2312" w:cs="仿宋_GB2312"/>
          <w:highlight w:val="none"/>
        </w:rPr>
        <w:t>抽取专家参与职业健康相关技术评审、职业健康相关技术服务机构质控督导、职业病危害事故的调查处置等活动时，应当遵循以下原则：</w:t>
      </w:r>
    </w:p>
    <w:p>
      <w:pPr>
        <w:pStyle w:val="2"/>
        <w:ind w:firstLine="640"/>
        <w:rPr>
          <w:rFonts w:ascii="仿宋_GB2312" w:hAnsi="仿宋_GB2312" w:cs="仿宋_GB2312"/>
          <w:highlight w:val="none"/>
        </w:rPr>
      </w:pPr>
      <w:r>
        <w:rPr>
          <w:rFonts w:hint="eastAsia" w:ascii="仿宋_GB2312" w:hAnsi="仿宋_GB2312" w:cs="仿宋_GB2312"/>
          <w:highlight w:val="none"/>
        </w:rPr>
        <w:t>（一）随机原则。邀请专家单位应根据工作需要，综合考量专家专业、职称和执业资格等条件抽取专家，并征得专家本人同意</w:t>
      </w:r>
      <w:r>
        <w:rPr>
          <w:rFonts w:hint="eastAsia" w:ascii="仿宋_GB2312" w:hAnsi="仿宋_GB2312" w:cs="仿宋_GB2312"/>
          <w:highlight w:val="none"/>
          <w:lang w:eastAsia="zh-CN"/>
        </w:rPr>
        <w:t>，</w:t>
      </w:r>
      <w:r>
        <w:rPr>
          <w:rFonts w:hint="eastAsia" w:ascii="仿宋_GB2312" w:hAnsi="仿宋_GB2312" w:cs="仿宋_GB2312"/>
          <w:highlight w:val="none"/>
        </w:rPr>
        <w:t>专家不能参加的，当即抽取下一名专家。</w:t>
      </w:r>
    </w:p>
    <w:p>
      <w:pPr>
        <w:pStyle w:val="2"/>
        <w:ind w:firstLine="640"/>
        <w:rPr>
          <w:rFonts w:ascii="仿宋_GB2312" w:hAnsi="仿宋_GB2312" w:cs="仿宋_GB2312"/>
          <w:highlight w:val="none"/>
        </w:rPr>
      </w:pPr>
      <w:r>
        <w:rPr>
          <w:rFonts w:hint="eastAsia" w:ascii="仿宋_GB2312" w:hAnsi="仿宋_GB2312" w:cs="仿宋_GB2312"/>
          <w:highlight w:val="none"/>
        </w:rPr>
        <w:t>（二）回避原则。在抽取专家参与工作任务时，应将工作任务及对象告知抽取的专家。具有以下情形之一的，专家应主动提出回避请求：</w:t>
      </w:r>
    </w:p>
    <w:p>
      <w:pPr>
        <w:pStyle w:val="2"/>
        <w:ind w:firstLine="640"/>
        <w:rPr>
          <w:rFonts w:ascii="仿宋_GB2312" w:hAnsi="仿宋_GB2312" w:cs="仿宋_GB2312"/>
          <w:highlight w:val="none"/>
        </w:rPr>
      </w:pPr>
      <w:r>
        <w:rPr>
          <w:rFonts w:hint="eastAsia" w:ascii="仿宋_GB2312" w:hAnsi="仿宋_GB2312" w:cs="仿宋_GB2312"/>
          <w:highlight w:val="none"/>
        </w:rPr>
        <w:t>1.专家在3年内与工作事项相关单位、机构存在任职或聘任关系的；</w:t>
      </w:r>
    </w:p>
    <w:p>
      <w:pPr>
        <w:pStyle w:val="2"/>
        <w:ind w:firstLine="640"/>
        <w:rPr>
          <w:rFonts w:ascii="仿宋_GB2312" w:hAnsi="仿宋_GB2312" w:cs="仿宋_GB2312"/>
          <w:highlight w:val="none"/>
        </w:rPr>
      </w:pPr>
      <w:r>
        <w:rPr>
          <w:rFonts w:hint="eastAsia" w:ascii="仿宋_GB2312" w:hAnsi="仿宋_GB2312" w:cs="仿宋_GB2312"/>
          <w:highlight w:val="none"/>
        </w:rPr>
        <w:t>2.专家及专家直系亲属或专家所在单位与工作事项存在利害关系的；</w:t>
      </w:r>
    </w:p>
    <w:p>
      <w:pPr>
        <w:pStyle w:val="2"/>
        <w:ind w:firstLine="640"/>
        <w:rPr>
          <w:rFonts w:ascii="仿宋_GB2312" w:hAnsi="仿宋_GB2312" w:cs="仿宋_GB2312"/>
          <w:highlight w:val="none"/>
        </w:rPr>
      </w:pPr>
      <w:r>
        <w:rPr>
          <w:rFonts w:hint="eastAsia" w:ascii="仿宋_GB2312" w:hAnsi="仿宋_GB2312" w:cs="仿宋_GB2312"/>
          <w:highlight w:val="none"/>
        </w:rPr>
        <w:t>3.专家或专家所属单位人员参与所审查技术报告的编制、指导或审核的；</w:t>
      </w:r>
    </w:p>
    <w:p>
      <w:pPr>
        <w:pStyle w:val="2"/>
        <w:ind w:firstLine="640"/>
        <w:rPr>
          <w:rFonts w:ascii="仿宋_GB2312" w:hAnsi="仿宋_GB2312" w:cs="仿宋_GB2312"/>
          <w:highlight w:val="none"/>
        </w:rPr>
      </w:pPr>
      <w:r>
        <w:rPr>
          <w:rFonts w:hint="eastAsia" w:ascii="仿宋_GB2312" w:hAnsi="仿宋_GB2312" w:cs="仿宋_GB2312"/>
          <w:highlight w:val="none"/>
        </w:rPr>
        <w:t>4.专家参与过预评价报告审查，再被抽取参加同一项目验收的；</w:t>
      </w:r>
    </w:p>
    <w:p>
      <w:pPr>
        <w:pStyle w:val="2"/>
        <w:ind w:firstLine="640"/>
        <w:rPr>
          <w:rFonts w:ascii="仿宋_GB2312" w:hAnsi="仿宋_GB2312" w:cs="仿宋_GB2312"/>
          <w:highlight w:val="none"/>
        </w:rPr>
      </w:pPr>
      <w:r>
        <w:rPr>
          <w:rFonts w:hint="eastAsia" w:ascii="仿宋_GB2312" w:hAnsi="仿宋_GB2312" w:cs="仿宋_GB2312"/>
          <w:highlight w:val="none"/>
        </w:rPr>
        <w:t>5.其他可能影响专家客观、公正参与技术支持工作情形的。</w:t>
      </w:r>
    </w:p>
    <w:p>
      <w:pPr>
        <w:pStyle w:val="2"/>
        <w:ind w:firstLine="640"/>
        <w:rPr>
          <w:rFonts w:ascii="仿宋_GB2312" w:hAnsi="仿宋_GB2312" w:cs="仿宋_GB2312"/>
          <w:highlight w:val="none"/>
        </w:rPr>
      </w:pPr>
      <w:r>
        <w:rPr>
          <w:rFonts w:hint="eastAsia" w:ascii="仿宋_GB2312" w:hAnsi="仿宋_GB2312" w:cs="仿宋_GB2312"/>
          <w:highlight w:val="none"/>
        </w:rPr>
        <w:t>（三）轮换原则。在专家库满足需求的情况下，原则上同一专家连续参与同一用人单位或技术服务机构评审活动不超过3次，一年内参与参与同一用人单位或技术服务机构咨询评审活动不超过10次。</w:t>
      </w:r>
    </w:p>
    <w:p>
      <w:pPr>
        <w:pStyle w:val="14"/>
        <w:ind w:left="0" w:leftChars="0" w:firstLine="643"/>
        <w:rPr>
          <w:kern w:val="0"/>
          <w:szCs w:val="32"/>
          <w:highlight w:val="none"/>
        </w:rPr>
      </w:pPr>
      <w:r>
        <w:rPr>
          <w:rFonts w:hint="eastAsia" w:ascii="仿宋" w:hAnsi="仿宋" w:eastAsia="仿宋" w:cs="宋体"/>
          <w:b/>
          <w:bCs/>
          <w:kern w:val="0"/>
          <w:szCs w:val="32"/>
          <w:highlight w:val="none"/>
        </w:rPr>
        <w:t>第十</w:t>
      </w:r>
      <w:r>
        <w:rPr>
          <w:rFonts w:hint="eastAsia" w:ascii="仿宋" w:hAnsi="仿宋" w:eastAsia="仿宋" w:cs="宋体"/>
          <w:b/>
          <w:bCs/>
          <w:kern w:val="0"/>
          <w:szCs w:val="32"/>
          <w:highlight w:val="none"/>
          <w:lang w:eastAsia="zh-CN"/>
        </w:rPr>
        <w:t>六</w:t>
      </w:r>
      <w:r>
        <w:rPr>
          <w:rFonts w:hint="eastAsia" w:ascii="仿宋" w:hAnsi="仿宋" w:eastAsia="仿宋" w:cs="宋体"/>
          <w:b/>
          <w:bCs/>
          <w:kern w:val="0"/>
          <w:szCs w:val="32"/>
          <w:highlight w:val="none"/>
        </w:rPr>
        <w:t>条</w:t>
      </w:r>
      <w:r>
        <w:rPr>
          <w:rFonts w:hint="eastAsia"/>
          <w:kern w:val="0"/>
          <w:szCs w:val="32"/>
          <w:highlight w:val="none"/>
        </w:rPr>
        <w:t xml:space="preserve"> </w:t>
      </w:r>
      <w:r>
        <w:rPr>
          <w:rFonts w:hint="eastAsia"/>
          <w:kern w:val="0"/>
          <w:szCs w:val="32"/>
          <w:highlight w:val="none"/>
          <w:lang w:val="en-US" w:eastAsia="zh-CN"/>
        </w:rPr>
        <w:t xml:space="preserve"> </w:t>
      </w:r>
      <w:r>
        <w:rPr>
          <w:rFonts w:hint="eastAsia"/>
          <w:kern w:val="0"/>
          <w:szCs w:val="32"/>
          <w:highlight w:val="none"/>
        </w:rPr>
        <w:t>专家库不能满足职业健康业务工作实际需求时，可以从国家或长三角</w:t>
      </w:r>
      <w:r>
        <w:rPr>
          <w:rFonts w:hint="eastAsia" w:ascii="Times New Roman" w:hAnsi="Times New Roman" w:eastAsia="仿宋_GB2312"/>
          <w:kern w:val="0"/>
          <w:szCs w:val="32"/>
          <w:highlight w:val="none"/>
          <w:lang w:eastAsia="zh-CN"/>
        </w:rPr>
        <w:t>职业健康</w:t>
      </w:r>
      <w:r>
        <w:rPr>
          <w:rFonts w:hint="eastAsia"/>
          <w:kern w:val="0"/>
          <w:szCs w:val="32"/>
          <w:highlight w:val="none"/>
        </w:rPr>
        <w:t>专家库中邀请所需专家。</w:t>
      </w:r>
    </w:p>
    <w:p>
      <w:pPr>
        <w:pStyle w:val="14"/>
        <w:ind w:left="0" w:leftChars="0" w:firstLine="643"/>
        <w:rPr>
          <w:kern w:val="0"/>
          <w:szCs w:val="32"/>
          <w:highlight w:val="none"/>
        </w:rPr>
      </w:pPr>
      <w:r>
        <w:rPr>
          <w:rFonts w:hint="eastAsia"/>
          <w:b/>
          <w:bCs/>
          <w:kern w:val="0"/>
          <w:szCs w:val="32"/>
          <w:highlight w:val="none"/>
        </w:rPr>
        <w:t>第十</w:t>
      </w:r>
      <w:r>
        <w:rPr>
          <w:rFonts w:hint="eastAsia"/>
          <w:b/>
          <w:bCs/>
          <w:kern w:val="0"/>
          <w:szCs w:val="32"/>
          <w:highlight w:val="none"/>
          <w:lang w:eastAsia="zh-CN"/>
        </w:rPr>
        <w:t>七</w:t>
      </w:r>
      <w:r>
        <w:rPr>
          <w:rFonts w:hint="eastAsia"/>
          <w:b/>
          <w:bCs/>
          <w:kern w:val="0"/>
          <w:szCs w:val="32"/>
          <w:highlight w:val="none"/>
        </w:rPr>
        <w:t xml:space="preserve">条 </w:t>
      </w:r>
      <w:r>
        <w:rPr>
          <w:rFonts w:hint="eastAsia"/>
          <w:b/>
          <w:bCs/>
          <w:kern w:val="0"/>
          <w:szCs w:val="32"/>
          <w:highlight w:val="none"/>
          <w:lang w:val="en-US" w:eastAsia="zh-CN"/>
        </w:rPr>
        <w:t xml:space="preserve"> </w:t>
      </w:r>
      <w:r>
        <w:rPr>
          <w:kern w:val="0"/>
          <w:szCs w:val="32"/>
          <w:highlight w:val="none"/>
        </w:rPr>
        <w:t>专家酬劳及差旅费由指（委）派工作任务的单位，</w:t>
      </w:r>
      <w:r>
        <w:rPr>
          <w:szCs w:val="32"/>
          <w:highlight w:val="none"/>
        </w:rPr>
        <w:t>按照国家和省相关规定的标准支付或报销</w:t>
      </w:r>
      <w:r>
        <w:rPr>
          <w:kern w:val="0"/>
          <w:szCs w:val="32"/>
          <w:highlight w:val="none"/>
        </w:rPr>
        <w:t>。</w:t>
      </w:r>
    </w:p>
    <w:p>
      <w:pPr>
        <w:pStyle w:val="7"/>
        <w:jc w:val="center"/>
        <w:rPr>
          <w:rFonts w:ascii="黑体" w:hAnsi="Calibri" w:eastAsia="黑体"/>
          <w:sz w:val="32"/>
          <w:szCs w:val="32"/>
          <w:highlight w:val="none"/>
        </w:rPr>
      </w:pPr>
      <w:r>
        <w:rPr>
          <w:rFonts w:hint="eastAsia" w:ascii="黑体" w:hAnsi="黑体" w:eastAsia="黑体" w:cs="黑体"/>
          <w:sz w:val="32"/>
          <w:szCs w:val="32"/>
          <w:highlight w:val="none"/>
        </w:rPr>
        <w:t xml:space="preserve">第五章  </w:t>
      </w:r>
      <w:bookmarkStart w:id="0" w:name="_GoBack"/>
      <w:r>
        <w:rPr>
          <w:rFonts w:hint="eastAsia" w:ascii="黑体" w:hAnsi="黑体" w:eastAsia="黑体" w:cs="黑体"/>
          <w:sz w:val="32"/>
          <w:szCs w:val="32"/>
          <w:highlight w:val="none"/>
        </w:rPr>
        <w:t>专家考核</w:t>
      </w:r>
      <w:bookmarkEnd w:id="0"/>
    </w:p>
    <w:p>
      <w:pPr>
        <w:pStyle w:val="14"/>
        <w:ind w:left="0" w:leftChars="0" w:firstLine="643"/>
        <w:rPr>
          <w:rFonts w:hint="eastAsia"/>
          <w:szCs w:val="32"/>
          <w:highlight w:val="none"/>
        </w:rPr>
      </w:pPr>
      <w:r>
        <w:rPr>
          <w:rFonts w:hint="eastAsia"/>
          <w:b/>
          <w:bCs/>
          <w:kern w:val="0"/>
          <w:szCs w:val="32"/>
          <w:highlight w:val="none"/>
        </w:rPr>
        <w:t xml:space="preserve">第十条八  </w:t>
      </w:r>
      <w:r>
        <w:rPr>
          <w:rFonts w:hint="eastAsia"/>
          <w:szCs w:val="32"/>
          <w:highlight w:val="none"/>
          <w:lang w:val="zh-CN"/>
        </w:rPr>
        <w:t>专</w:t>
      </w:r>
      <w:r>
        <w:rPr>
          <w:rFonts w:hint="eastAsia"/>
          <w:szCs w:val="32"/>
          <w:highlight w:val="none"/>
        </w:rPr>
        <w:t>家库实行工作记录和考核管理制度，实时对专家的履职情况、业务能力、工作纪律、职业道德、廉洁自律等情况进行记录和考核，并作为专家库动态管理的重要依据。</w:t>
      </w:r>
    </w:p>
    <w:p>
      <w:pPr>
        <w:pStyle w:val="14"/>
        <w:ind w:left="0" w:leftChars="0" w:firstLine="643"/>
        <w:rPr>
          <w:rFonts w:hint="eastAsia" w:eastAsia="仿宋_GB2312"/>
          <w:szCs w:val="32"/>
          <w:highlight w:val="none"/>
          <w:lang w:eastAsia="zh-CN"/>
        </w:rPr>
      </w:pPr>
      <w:r>
        <w:rPr>
          <w:rFonts w:hint="eastAsia"/>
          <w:szCs w:val="32"/>
          <w:highlight w:val="none"/>
          <w:lang w:eastAsia="zh-CN"/>
        </w:rPr>
        <w:t>专家应于每年</w:t>
      </w:r>
      <w:r>
        <w:rPr>
          <w:rFonts w:hint="eastAsia"/>
          <w:szCs w:val="32"/>
          <w:highlight w:val="none"/>
          <w:lang w:val="en-US" w:eastAsia="zh-CN"/>
        </w:rPr>
        <w:t>1月10日前</w:t>
      </w:r>
      <w:r>
        <w:rPr>
          <w:rFonts w:hint="eastAsia"/>
          <w:szCs w:val="32"/>
          <w:highlight w:val="none"/>
          <w:lang w:eastAsia="zh-CN"/>
        </w:rPr>
        <w:t>将上一年度本人作为专家履职情况报送省卫生健康委职业健康处邮箱（anhuizyjk@163.com）。</w:t>
      </w:r>
    </w:p>
    <w:p>
      <w:pPr>
        <w:pStyle w:val="14"/>
        <w:ind w:left="0" w:leftChars="0" w:firstLine="643"/>
        <w:rPr>
          <w:szCs w:val="32"/>
          <w:highlight w:val="none"/>
        </w:rPr>
      </w:pPr>
      <w:r>
        <w:rPr>
          <w:rFonts w:hint="eastAsia"/>
          <w:b/>
          <w:bCs/>
          <w:kern w:val="0"/>
          <w:szCs w:val="32"/>
          <w:highlight w:val="none"/>
        </w:rPr>
        <w:t>第十</w:t>
      </w:r>
      <w:r>
        <w:rPr>
          <w:rFonts w:hint="eastAsia"/>
          <w:b/>
          <w:bCs/>
          <w:kern w:val="0"/>
          <w:szCs w:val="32"/>
          <w:highlight w:val="none"/>
          <w:lang w:eastAsia="zh-CN"/>
        </w:rPr>
        <w:t>九</w:t>
      </w:r>
      <w:r>
        <w:rPr>
          <w:rFonts w:hint="eastAsia"/>
          <w:b/>
          <w:bCs/>
          <w:kern w:val="0"/>
          <w:szCs w:val="32"/>
          <w:highlight w:val="none"/>
        </w:rPr>
        <w:t xml:space="preserve">条  </w:t>
      </w:r>
      <w:r>
        <w:rPr>
          <w:rFonts w:hint="eastAsia"/>
          <w:szCs w:val="32"/>
          <w:highlight w:val="none"/>
        </w:rPr>
        <w:fldChar w:fldCharType="begin"/>
      </w:r>
      <w:r>
        <w:rPr>
          <w:rFonts w:hint="eastAsia"/>
          <w:szCs w:val="32"/>
          <w:highlight w:val="none"/>
        </w:rPr>
        <w:instrText xml:space="preserve"> HYPERLINK "mailto:专家工作结束后，邀请专家单位对参与工作的每名专家履职情况进行评价打分（详见附件2），并于3个工作日内报送省卫生健康委职业健康处邮箱（anhuizyjk@163.com）。"</w:instrText>
      </w:r>
      <w:r>
        <w:rPr>
          <w:rFonts w:hint="eastAsia"/>
          <w:szCs w:val="32"/>
          <w:highlight w:val="none"/>
        </w:rPr>
        <w:fldChar w:fldCharType="separate"/>
      </w:r>
      <w:r>
        <w:rPr>
          <w:rFonts w:hint="eastAsia"/>
          <w:szCs w:val="32"/>
          <w:highlight w:val="none"/>
        </w:rPr>
        <w:t>专家工作结束后，邀请专家的单位对参与工作的每名专家履职情况进行评价打分（详见附件2），并于5个工作日内报送省卫生健康委职业健康处邮箱（anhuizyjk@163.com）。</w:t>
      </w:r>
      <w:r>
        <w:rPr>
          <w:rFonts w:hint="eastAsia"/>
          <w:szCs w:val="32"/>
          <w:highlight w:val="none"/>
        </w:rPr>
        <w:fldChar w:fldCharType="end"/>
      </w:r>
      <w:r>
        <w:rPr>
          <w:rFonts w:hint="eastAsia"/>
          <w:szCs w:val="32"/>
          <w:highlight w:val="none"/>
        </w:rPr>
        <w:t>省卫生健康委职业健康处负责统计专家评价打分情况并进行综合评价，建立打分台账。</w:t>
      </w:r>
    </w:p>
    <w:p>
      <w:pPr>
        <w:pStyle w:val="14"/>
        <w:ind w:left="0" w:leftChars="0" w:firstLine="640"/>
        <w:rPr>
          <w:szCs w:val="32"/>
          <w:highlight w:val="none"/>
        </w:rPr>
      </w:pPr>
      <w:r>
        <w:rPr>
          <w:rFonts w:hint="eastAsia"/>
          <w:szCs w:val="32"/>
          <w:highlight w:val="none"/>
        </w:rPr>
        <w:t>专家评价打分以一个年度为1个记分周期，作为确定专家年度考核等级的重要依据。</w:t>
      </w:r>
    </w:p>
    <w:p>
      <w:pPr>
        <w:pStyle w:val="14"/>
        <w:ind w:left="0" w:leftChars="0" w:firstLine="643"/>
        <w:rPr>
          <w:szCs w:val="32"/>
          <w:highlight w:val="none"/>
        </w:rPr>
      </w:pPr>
      <w:r>
        <w:rPr>
          <w:rFonts w:hint="eastAsia"/>
          <w:b/>
          <w:bCs/>
          <w:szCs w:val="32"/>
          <w:highlight w:val="none"/>
        </w:rPr>
        <w:t>第</w:t>
      </w:r>
      <w:r>
        <w:rPr>
          <w:rFonts w:hint="eastAsia"/>
          <w:b/>
          <w:bCs/>
          <w:szCs w:val="32"/>
          <w:highlight w:val="none"/>
          <w:lang w:eastAsia="zh-CN"/>
        </w:rPr>
        <w:t>二</w:t>
      </w:r>
      <w:r>
        <w:rPr>
          <w:rFonts w:hint="eastAsia"/>
          <w:b/>
          <w:bCs/>
          <w:szCs w:val="32"/>
          <w:highlight w:val="none"/>
        </w:rPr>
        <w:t>十条</w:t>
      </w:r>
      <w:r>
        <w:rPr>
          <w:rFonts w:hint="eastAsia"/>
          <w:b/>
          <w:bCs/>
          <w:szCs w:val="32"/>
          <w:highlight w:val="none"/>
          <w:lang w:val="en-US" w:eastAsia="zh-CN"/>
        </w:rPr>
        <w:t xml:space="preserve">  </w:t>
      </w:r>
      <w:r>
        <w:rPr>
          <w:rFonts w:hint="eastAsia"/>
          <w:szCs w:val="32"/>
          <w:highlight w:val="none"/>
        </w:rPr>
        <w:t>专家年度考核结果分为“良好”“一般”“较差”“差”4个等级。</w:t>
      </w:r>
    </w:p>
    <w:p>
      <w:pPr>
        <w:pStyle w:val="14"/>
        <w:ind w:left="0" w:leftChars="0" w:firstLine="640"/>
        <w:rPr>
          <w:szCs w:val="32"/>
          <w:highlight w:val="none"/>
        </w:rPr>
      </w:pPr>
      <w:r>
        <w:rPr>
          <w:rFonts w:hint="eastAsia"/>
          <w:szCs w:val="32"/>
          <w:highlight w:val="none"/>
        </w:rPr>
        <w:t>（一）严格遵守专家工作相关规定，以客观独立、公平公正和严肃科学的态度按期完成工作任务的，评价为“良好”。</w:t>
      </w:r>
    </w:p>
    <w:p>
      <w:pPr>
        <w:pStyle w:val="14"/>
        <w:ind w:left="0" w:leftChars="0" w:firstLine="640"/>
        <w:rPr>
          <w:szCs w:val="32"/>
          <w:highlight w:val="none"/>
        </w:rPr>
      </w:pPr>
      <w:r>
        <w:rPr>
          <w:rFonts w:hint="eastAsia"/>
          <w:szCs w:val="32"/>
          <w:highlight w:val="none"/>
        </w:rPr>
        <w:t>（二）存在下列情形之一，评价为“较差”：</w:t>
      </w:r>
    </w:p>
    <w:p>
      <w:pPr>
        <w:pStyle w:val="14"/>
        <w:ind w:left="0" w:leftChars="0" w:firstLine="640"/>
        <w:rPr>
          <w:szCs w:val="32"/>
          <w:highlight w:val="none"/>
        </w:rPr>
      </w:pPr>
      <w:r>
        <w:rPr>
          <w:rFonts w:hint="eastAsia"/>
          <w:szCs w:val="32"/>
          <w:highlight w:val="none"/>
        </w:rPr>
        <w:t>1. 接受邀请后，无正当理由不参加工作活动，且未及时告知的；</w:t>
      </w:r>
    </w:p>
    <w:p>
      <w:pPr>
        <w:pStyle w:val="14"/>
        <w:ind w:left="0" w:leftChars="0" w:firstLine="640"/>
        <w:rPr>
          <w:szCs w:val="32"/>
          <w:highlight w:val="none"/>
        </w:rPr>
      </w:pPr>
      <w:r>
        <w:rPr>
          <w:rFonts w:hint="eastAsia"/>
          <w:szCs w:val="32"/>
          <w:highlight w:val="none"/>
        </w:rPr>
        <w:t>2. 未遵守轮换原则的；</w:t>
      </w:r>
    </w:p>
    <w:p>
      <w:pPr>
        <w:pStyle w:val="14"/>
        <w:ind w:left="0" w:leftChars="0" w:firstLine="640"/>
        <w:rPr>
          <w:szCs w:val="32"/>
          <w:highlight w:val="none"/>
        </w:rPr>
      </w:pPr>
      <w:r>
        <w:rPr>
          <w:rFonts w:hint="eastAsia"/>
          <w:szCs w:val="32"/>
          <w:highlight w:val="none"/>
        </w:rPr>
        <w:t>3. 无故迟到，或在工作过程中擅离职守，严重影响工作开展的；</w:t>
      </w:r>
    </w:p>
    <w:p>
      <w:pPr>
        <w:pStyle w:val="14"/>
        <w:ind w:left="0" w:leftChars="0" w:firstLine="640"/>
        <w:rPr>
          <w:szCs w:val="32"/>
          <w:highlight w:val="none"/>
        </w:rPr>
      </w:pPr>
      <w:r>
        <w:rPr>
          <w:rFonts w:hint="eastAsia"/>
          <w:szCs w:val="32"/>
          <w:highlight w:val="none"/>
        </w:rPr>
        <w:t>4. 自行其是，未按照相关政策规定、评审规则等进行评判并提出意见的；</w:t>
      </w:r>
    </w:p>
    <w:p>
      <w:pPr>
        <w:pStyle w:val="14"/>
        <w:ind w:left="0" w:leftChars="0" w:firstLine="640"/>
        <w:rPr>
          <w:rFonts w:hint="eastAsia" w:eastAsia="仿宋_GB2312"/>
          <w:szCs w:val="32"/>
          <w:highlight w:val="none"/>
          <w:lang w:eastAsia="zh-CN"/>
        </w:rPr>
      </w:pPr>
      <w:r>
        <w:rPr>
          <w:rFonts w:hint="eastAsia"/>
          <w:szCs w:val="32"/>
          <w:highlight w:val="none"/>
        </w:rPr>
        <w:t>5. 存在明显倾向性或歧视性评价，且拒不说明理由或经核实无正当理由的</w:t>
      </w:r>
      <w:r>
        <w:rPr>
          <w:rFonts w:hint="eastAsia"/>
          <w:szCs w:val="32"/>
          <w:highlight w:val="none"/>
          <w:lang w:eastAsia="zh-CN"/>
        </w:rPr>
        <w:t>；</w:t>
      </w:r>
    </w:p>
    <w:p>
      <w:pPr>
        <w:pStyle w:val="14"/>
        <w:ind w:left="0" w:leftChars="0" w:firstLine="640"/>
        <w:rPr>
          <w:szCs w:val="32"/>
          <w:highlight w:val="none"/>
        </w:rPr>
      </w:pPr>
      <w:r>
        <w:rPr>
          <w:rFonts w:hint="eastAsia"/>
          <w:szCs w:val="32"/>
          <w:highlight w:val="none"/>
          <w:lang w:val="en-US" w:eastAsia="zh-CN"/>
        </w:rPr>
        <w:t>6. 无故不按时报送年度</w:t>
      </w:r>
      <w:r>
        <w:rPr>
          <w:rFonts w:hint="eastAsia"/>
          <w:szCs w:val="32"/>
          <w:highlight w:val="none"/>
          <w:lang w:eastAsia="zh-CN"/>
        </w:rPr>
        <w:t>履职情况的。</w:t>
      </w:r>
    </w:p>
    <w:p>
      <w:pPr>
        <w:pStyle w:val="14"/>
        <w:ind w:left="0" w:leftChars="0" w:firstLine="640"/>
        <w:rPr>
          <w:szCs w:val="32"/>
          <w:highlight w:val="none"/>
        </w:rPr>
      </w:pPr>
      <w:r>
        <w:rPr>
          <w:rFonts w:hint="eastAsia"/>
          <w:szCs w:val="32"/>
          <w:highlight w:val="none"/>
        </w:rPr>
        <w:t>（三）存在擅自披露工作所涉及的重要信息、徇私舞弊，或接受不正当利益行为等严重违反专家工作纪律和保密规定的，评价为“差”。</w:t>
      </w:r>
    </w:p>
    <w:p>
      <w:pPr>
        <w:pStyle w:val="14"/>
        <w:ind w:left="0" w:leftChars="0" w:firstLine="640"/>
        <w:rPr>
          <w:szCs w:val="32"/>
          <w:highlight w:val="none"/>
        </w:rPr>
      </w:pPr>
      <w:r>
        <w:rPr>
          <w:rFonts w:hint="eastAsia"/>
          <w:szCs w:val="32"/>
          <w:highlight w:val="none"/>
        </w:rPr>
        <w:t>（四）不具备良好等级条件，且不属于较差或差所列情形的，评价为“一般”。</w:t>
      </w:r>
    </w:p>
    <w:p>
      <w:pPr>
        <w:pStyle w:val="14"/>
        <w:ind w:left="0" w:leftChars="0" w:firstLine="643"/>
        <w:rPr>
          <w:szCs w:val="32"/>
          <w:highlight w:val="none"/>
        </w:rPr>
      </w:pPr>
      <w:r>
        <w:rPr>
          <w:rFonts w:hint="eastAsia"/>
          <w:b/>
          <w:bCs/>
          <w:szCs w:val="32"/>
          <w:highlight w:val="none"/>
        </w:rPr>
        <w:t>第</w:t>
      </w:r>
      <w:r>
        <w:rPr>
          <w:rFonts w:hint="eastAsia"/>
          <w:b/>
          <w:bCs/>
          <w:szCs w:val="32"/>
          <w:highlight w:val="none"/>
          <w:lang w:eastAsia="zh-CN"/>
        </w:rPr>
        <w:t>二十一</w:t>
      </w:r>
      <w:r>
        <w:rPr>
          <w:rFonts w:hint="eastAsia"/>
          <w:b/>
          <w:bCs/>
          <w:szCs w:val="32"/>
          <w:highlight w:val="none"/>
        </w:rPr>
        <w:t xml:space="preserve">条  </w:t>
      </w:r>
      <w:r>
        <w:rPr>
          <w:rFonts w:hint="eastAsia"/>
          <w:szCs w:val="32"/>
          <w:highlight w:val="none"/>
        </w:rPr>
        <w:t>专家有下列情形之一的，经研究从专家库中除名，并书面函告专家及其推荐单位，同时向社会公布。违反相关法律法规的，依法追究相应责任。</w:t>
      </w:r>
    </w:p>
    <w:p>
      <w:pPr>
        <w:pStyle w:val="14"/>
        <w:ind w:left="0" w:leftChars="0" w:firstLine="640"/>
        <w:rPr>
          <w:szCs w:val="32"/>
          <w:highlight w:val="none"/>
        </w:rPr>
      </w:pPr>
      <w:r>
        <w:rPr>
          <w:rFonts w:hint="eastAsia"/>
          <w:szCs w:val="32"/>
          <w:highlight w:val="none"/>
        </w:rPr>
        <w:t>（一）无正当理由，一年内3次以上（因病、外出等不可抗力原因除外）不接受委派工作的；</w:t>
      </w:r>
    </w:p>
    <w:p>
      <w:pPr>
        <w:pStyle w:val="14"/>
        <w:ind w:left="0" w:leftChars="0" w:firstLine="640"/>
        <w:rPr>
          <w:szCs w:val="32"/>
          <w:highlight w:val="none"/>
        </w:rPr>
      </w:pPr>
      <w:r>
        <w:rPr>
          <w:rFonts w:hint="eastAsia"/>
          <w:szCs w:val="32"/>
          <w:highlight w:val="none"/>
        </w:rPr>
        <w:t>（二）擅自以专家名义从事</w:t>
      </w:r>
      <w:r>
        <w:rPr>
          <w:rFonts w:hint="eastAsia"/>
          <w:szCs w:val="32"/>
          <w:highlight w:val="none"/>
          <w:lang w:eastAsia="zh-CN"/>
        </w:rPr>
        <w:t>商业</w:t>
      </w:r>
      <w:r>
        <w:rPr>
          <w:rFonts w:hint="eastAsia"/>
          <w:szCs w:val="32"/>
          <w:highlight w:val="none"/>
        </w:rPr>
        <w:t>营利或违法活动，造成不良影响的；</w:t>
      </w:r>
    </w:p>
    <w:p>
      <w:pPr>
        <w:pStyle w:val="14"/>
        <w:ind w:left="0" w:leftChars="0" w:firstLine="640"/>
        <w:rPr>
          <w:szCs w:val="32"/>
          <w:highlight w:val="none"/>
        </w:rPr>
      </w:pPr>
      <w:r>
        <w:rPr>
          <w:rFonts w:hint="eastAsia"/>
          <w:szCs w:val="32"/>
          <w:highlight w:val="none"/>
        </w:rPr>
        <w:t>（三）应回避而没有回避的；</w:t>
      </w:r>
    </w:p>
    <w:p>
      <w:pPr>
        <w:pStyle w:val="14"/>
        <w:ind w:left="0" w:leftChars="0" w:firstLine="640"/>
        <w:rPr>
          <w:szCs w:val="32"/>
          <w:highlight w:val="none"/>
        </w:rPr>
      </w:pPr>
      <w:r>
        <w:rPr>
          <w:rFonts w:hint="eastAsia"/>
          <w:szCs w:val="32"/>
          <w:highlight w:val="none"/>
        </w:rPr>
        <w:t>（四）</w:t>
      </w:r>
      <w:r>
        <w:rPr>
          <w:rFonts w:hint="eastAsia" w:ascii="仿宋_GB2312" w:hAnsi="Calibri"/>
          <w:szCs w:val="32"/>
          <w:highlight w:val="none"/>
        </w:rPr>
        <w:t>因工作失误造成严重不良后果的；</w:t>
      </w:r>
    </w:p>
    <w:p>
      <w:pPr>
        <w:pStyle w:val="14"/>
        <w:ind w:left="0" w:leftChars="0" w:firstLine="640"/>
        <w:rPr>
          <w:szCs w:val="32"/>
          <w:highlight w:val="none"/>
        </w:rPr>
      </w:pPr>
      <w:r>
        <w:rPr>
          <w:rFonts w:hint="eastAsia"/>
          <w:szCs w:val="32"/>
          <w:highlight w:val="none"/>
        </w:rPr>
        <w:t>（五）任期内2个年度专家考核结果为“较差”的；</w:t>
      </w:r>
    </w:p>
    <w:p>
      <w:pPr>
        <w:pStyle w:val="14"/>
        <w:ind w:left="0" w:leftChars="0" w:firstLine="640"/>
        <w:rPr>
          <w:szCs w:val="32"/>
          <w:highlight w:val="none"/>
        </w:rPr>
      </w:pPr>
      <w:r>
        <w:rPr>
          <w:rFonts w:hint="eastAsia"/>
          <w:szCs w:val="32"/>
          <w:highlight w:val="none"/>
        </w:rPr>
        <w:t>（六）专家考核结果为“差”的；</w:t>
      </w:r>
    </w:p>
    <w:p>
      <w:pPr>
        <w:pStyle w:val="14"/>
        <w:ind w:left="0" w:leftChars="0" w:firstLine="640"/>
        <w:rPr>
          <w:szCs w:val="32"/>
          <w:highlight w:val="none"/>
        </w:rPr>
      </w:pPr>
      <w:r>
        <w:rPr>
          <w:rFonts w:hint="eastAsia"/>
          <w:szCs w:val="32"/>
          <w:highlight w:val="none"/>
        </w:rPr>
        <w:t>（七）有违法犯罪记录的，受到党纪、政纪处分且在影响期内的，因违反廉洁纪律受到党纪、政纪处分的，以及其他造成社会不良影响行为的。</w:t>
      </w:r>
    </w:p>
    <w:p>
      <w:pPr>
        <w:pStyle w:val="14"/>
        <w:ind w:left="0" w:leftChars="0" w:firstLine="643"/>
        <w:rPr>
          <w:szCs w:val="32"/>
          <w:highlight w:val="none"/>
        </w:rPr>
      </w:pPr>
      <w:r>
        <w:rPr>
          <w:rFonts w:hint="eastAsia"/>
          <w:b/>
          <w:bCs/>
          <w:szCs w:val="32"/>
          <w:highlight w:val="none"/>
        </w:rPr>
        <w:t>第二十</w:t>
      </w:r>
      <w:r>
        <w:rPr>
          <w:rFonts w:hint="eastAsia"/>
          <w:b/>
          <w:bCs/>
          <w:szCs w:val="32"/>
          <w:highlight w:val="none"/>
          <w:lang w:eastAsia="zh-CN"/>
        </w:rPr>
        <w:t>二</w:t>
      </w:r>
      <w:r>
        <w:rPr>
          <w:rFonts w:hint="eastAsia"/>
          <w:b/>
          <w:bCs/>
          <w:szCs w:val="32"/>
          <w:highlight w:val="none"/>
        </w:rPr>
        <w:t>条</w:t>
      </w:r>
      <w:r>
        <w:rPr>
          <w:rFonts w:hint="eastAsia"/>
          <w:szCs w:val="32"/>
          <w:highlight w:val="none"/>
        </w:rPr>
        <w:t xml:space="preserve">  具有第二十条（一）（三）所列情形的，２年内不得申请入库。具有第二十条（五）所列情形的，自发生之日起５年内不得申请入库。具有第十八条（二）（四）（六）（七）所列情况的，终身不得再次入库。</w:t>
      </w:r>
    </w:p>
    <w:p>
      <w:pPr>
        <w:pStyle w:val="7"/>
        <w:jc w:val="center"/>
        <w:rPr>
          <w:rFonts w:ascii="黑体" w:hAnsi="黑体" w:eastAsia="黑体" w:cs="黑体"/>
          <w:sz w:val="32"/>
          <w:szCs w:val="32"/>
          <w:highlight w:val="none"/>
        </w:rPr>
      </w:pPr>
      <w:r>
        <w:rPr>
          <w:rFonts w:hint="eastAsia" w:ascii="黑体" w:hAnsi="黑体" w:eastAsia="黑体" w:cs="黑体"/>
          <w:sz w:val="32"/>
          <w:szCs w:val="32"/>
          <w:highlight w:val="none"/>
        </w:rPr>
        <w:t>第六章  附则</w:t>
      </w:r>
    </w:p>
    <w:p>
      <w:pPr>
        <w:pStyle w:val="2"/>
        <w:ind w:firstLine="643"/>
        <w:rPr>
          <w:highlight w:val="none"/>
        </w:rPr>
      </w:pPr>
      <w:r>
        <w:rPr>
          <w:rFonts w:hint="eastAsia"/>
          <w:b/>
          <w:bCs/>
          <w:highlight w:val="none"/>
        </w:rPr>
        <w:t>第二十</w:t>
      </w:r>
      <w:r>
        <w:rPr>
          <w:rFonts w:hint="eastAsia"/>
          <w:b/>
          <w:bCs/>
          <w:highlight w:val="none"/>
          <w:lang w:eastAsia="zh-CN"/>
        </w:rPr>
        <w:t>三</w:t>
      </w:r>
      <w:r>
        <w:rPr>
          <w:rFonts w:hint="eastAsia"/>
          <w:b/>
          <w:bCs/>
          <w:highlight w:val="none"/>
        </w:rPr>
        <w:t>条</w:t>
      </w:r>
      <w:r>
        <w:rPr>
          <w:rFonts w:hint="eastAsia"/>
          <w:b/>
          <w:bCs/>
          <w:highlight w:val="none"/>
          <w:lang w:val="en-US" w:eastAsia="zh-CN"/>
        </w:rPr>
        <w:t xml:space="preserve">  </w:t>
      </w:r>
      <w:r>
        <w:rPr>
          <w:rFonts w:hint="eastAsia"/>
          <w:highlight w:val="none"/>
        </w:rPr>
        <w:t>本办法由省卫生健康委负责解释。</w:t>
      </w:r>
    </w:p>
    <w:p>
      <w:pPr>
        <w:pStyle w:val="2"/>
        <w:ind w:firstLine="643"/>
        <w:rPr>
          <w:highlight w:val="none"/>
        </w:rPr>
      </w:pPr>
      <w:r>
        <w:rPr>
          <w:rFonts w:hint="eastAsia"/>
          <w:b/>
          <w:bCs/>
          <w:highlight w:val="none"/>
        </w:rPr>
        <w:t>第二十</w:t>
      </w:r>
      <w:r>
        <w:rPr>
          <w:rFonts w:hint="eastAsia"/>
          <w:b/>
          <w:bCs/>
          <w:highlight w:val="none"/>
          <w:lang w:eastAsia="zh-CN"/>
        </w:rPr>
        <w:t>四</w:t>
      </w:r>
      <w:r>
        <w:rPr>
          <w:rFonts w:hint="eastAsia"/>
          <w:b/>
          <w:bCs/>
          <w:highlight w:val="none"/>
        </w:rPr>
        <w:t>条</w:t>
      </w:r>
      <w:r>
        <w:rPr>
          <w:rFonts w:hint="eastAsia"/>
          <w:b/>
          <w:bCs/>
          <w:highlight w:val="none"/>
          <w:lang w:val="en-US" w:eastAsia="zh-CN"/>
        </w:rPr>
        <w:t xml:space="preserve">  </w:t>
      </w:r>
      <w:r>
        <w:rPr>
          <w:rFonts w:hint="eastAsia"/>
          <w:highlight w:val="none"/>
        </w:rPr>
        <w:t>本办法自印发之日起实施。</w:t>
      </w:r>
    </w:p>
    <w:p>
      <w:pPr>
        <w:pStyle w:val="14"/>
        <w:ind w:left="0" w:leftChars="0" w:firstLine="643"/>
        <w:rPr>
          <w:rFonts w:ascii="仿宋" w:hAnsi="仿宋" w:eastAsia="仿宋" w:cs="宋体"/>
          <w:b/>
          <w:bCs/>
          <w:kern w:val="0"/>
          <w:szCs w:val="32"/>
          <w:highlight w:val="none"/>
        </w:rPr>
      </w:pPr>
    </w:p>
    <w:p>
      <w:pPr>
        <w:pStyle w:val="18"/>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附件：1．安徽省职业健康专家申请表</w:t>
      </w:r>
    </w:p>
    <w:p>
      <w:pPr>
        <w:pStyle w:val="18"/>
        <w:spacing w:line="600" w:lineRule="exact"/>
        <w:ind w:firstLine="1600" w:firstLineChars="5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2．职业健康专家工作评价打分表</w:t>
      </w:r>
    </w:p>
    <w:p>
      <w:pPr>
        <w:widowControl/>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br w:type="page"/>
      </w:r>
    </w:p>
    <w:p>
      <w:pPr>
        <w:pStyle w:val="18"/>
        <w:ind w:right="640"/>
        <w:rPr>
          <w:rFonts w:ascii="黑体" w:hAnsi="黑体" w:eastAsia="黑体" w:cs="宋体"/>
          <w:kern w:val="0"/>
          <w:sz w:val="32"/>
          <w:szCs w:val="32"/>
          <w:highlight w:val="none"/>
        </w:rPr>
      </w:pPr>
      <w:r>
        <w:rPr>
          <w:rFonts w:hint="eastAsia" w:ascii="黑体" w:hAnsi="黑体" w:eastAsia="黑体" w:cs="宋体"/>
          <w:kern w:val="0"/>
          <w:sz w:val="32"/>
          <w:szCs w:val="32"/>
          <w:highlight w:val="none"/>
        </w:rPr>
        <w:t>附件</w:t>
      </w:r>
      <w:r>
        <w:rPr>
          <w:rFonts w:ascii="黑体" w:hAnsi="黑体" w:eastAsia="黑体" w:cs="Times New Roman"/>
          <w:kern w:val="0"/>
          <w:sz w:val="32"/>
          <w:szCs w:val="32"/>
          <w:highlight w:val="none"/>
        </w:rPr>
        <w:t>1</w:t>
      </w:r>
    </w:p>
    <w:p>
      <w:pPr>
        <w:spacing w:line="580" w:lineRule="exact"/>
        <w:jc w:val="center"/>
        <w:rPr>
          <w:rFonts w:ascii="方正小标宋简体" w:eastAsia="方正小标宋简体"/>
          <w:sz w:val="36"/>
          <w:szCs w:val="44"/>
          <w:highlight w:val="none"/>
        </w:rPr>
      </w:pPr>
      <w:r>
        <w:rPr>
          <w:rFonts w:hint="eastAsia" w:ascii="方正小标宋简体" w:eastAsia="方正小标宋简体"/>
          <w:sz w:val="36"/>
          <w:szCs w:val="44"/>
          <w:highlight w:val="none"/>
        </w:rPr>
        <w:t>安徽省职业健康专家推荐表</w:t>
      </w:r>
    </w:p>
    <w:tbl>
      <w:tblPr>
        <w:tblStyle w:val="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8"/>
        <w:gridCol w:w="1489"/>
        <w:gridCol w:w="146"/>
        <w:gridCol w:w="563"/>
        <w:gridCol w:w="142"/>
        <w:gridCol w:w="67"/>
        <w:gridCol w:w="570"/>
        <w:gridCol w:w="71"/>
        <w:gridCol w:w="1063"/>
        <w:gridCol w:w="497"/>
        <w:gridCol w:w="874"/>
        <w:gridCol w:w="58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姓   名</w:t>
            </w:r>
          </w:p>
        </w:tc>
        <w:tc>
          <w:tcPr>
            <w:tcW w:w="1663" w:type="dxa"/>
            <w:gridSpan w:val="3"/>
            <w:vAlign w:val="center"/>
          </w:tcPr>
          <w:p>
            <w:pPr>
              <w:spacing w:line="400" w:lineRule="exact"/>
              <w:rPr>
                <w:rFonts w:ascii="宋体" w:hAnsi="宋体"/>
                <w:sz w:val="24"/>
                <w:highlight w:val="none"/>
              </w:rPr>
            </w:pPr>
          </w:p>
        </w:tc>
        <w:tc>
          <w:tcPr>
            <w:tcW w:w="772" w:type="dxa"/>
            <w:gridSpan w:val="3"/>
            <w:vAlign w:val="center"/>
          </w:tcPr>
          <w:p>
            <w:pPr>
              <w:spacing w:line="400" w:lineRule="exact"/>
              <w:rPr>
                <w:rFonts w:ascii="宋体" w:hAnsi="宋体"/>
                <w:sz w:val="24"/>
                <w:highlight w:val="none"/>
              </w:rPr>
            </w:pPr>
            <w:r>
              <w:rPr>
                <w:rFonts w:hint="eastAsia" w:ascii="宋体" w:hAnsi="宋体"/>
                <w:sz w:val="24"/>
                <w:highlight w:val="none"/>
              </w:rPr>
              <w:t>性别</w:t>
            </w:r>
          </w:p>
        </w:tc>
        <w:tc>
          <w:tcPr>
            <w:tcW w:w="570" w:type="dxa"/>
            <w:vAlign w:val="center"/>
          </w:tcPr>
          <w:p>
            <w:pPr>
              <w:spacing w:line="400" w:lineRule="exact"/>
              <w:rPr>
                <w:rFonts w:ascii="宋体" w:hAnsi="宋体"/>
                <w:sz w:val="24"/>
                <w:highlight w:val="none"/>
              </w:rPr>
            </w:pPr>
          </w:p>
        </w:tc>
        <w:tc>
          <w:tcPr>
            <w:tcW w:w="1631" w:type="dxa"/>
            <w:gridSpan w:val="3"/>
            <w:vAlign w:val="center"/>
          </w:tcPr>
          <w:p>
            <w:pPr>
              <w:spacing w:line="400" w:lineRule="exact"/>
              <w:rPr>
                <w:rFonts w:ascii="宋体" w:hAnsi="宋体"/>
                <w:sz w:val="24"/>
                <w:highlight w:val="none"/>
              </w:rPr>
            </w:pPr>
            <w:r>
              <w:rPr>
                <w:rFonts w:hint="eastAsia" w:ascii="宋体" w:hAnsi="宋体"/>
                <w:sz w:val="24"/>
                <w:highlight w:val="none"/>
              </w:rPr>
              <w:t>出生年月</w:t>
            </w:r>
          </w:p>
        </w:tc>
        <w:tc>
          <w:tcPr>
            <w:tcW w:w="1457" w:type="dxa"/>
            <w:gridSpan w:val="2"/>
            <w:vAlign w:val="center"/>
          </w:tcPr>
          <w:p>
            <w:pPr>
              <w:spacing w:line="400" w:lineRule="exact"/>
              <w:rPr>
                <w:rFonts w:ascii="宋体" w:hAnsi="宋体"/>
                <w:sz w:val="24"/>
                <w:highlight w:val="none"/>
              </w:rPr>
            </w:pPr>
          </w:p>
        </w:tc>
        <w:tc>
          <w:tcPr>
            <w:tcW w:w="2064" w:type="dxa"/>
            <w:vMerge w:val="restart"/>
            <w:vAlign w:val="center"/>
          </w:tcPr>
          <w:p>
            <w:pPr>
              <w:spacing w:line="400" w:lineRule="exact"/>
              <w:rPr>
                <w:rFonts w:ascii="宋体" w:hAnsi="宋体"/>
                <w:sz w:val="24"/>
                <w:highlight w:val="none"/>
              </w:rPr>
            </w:pPr>
            <w:r>
              <w:rPr>
                <w:rFonts w:hint="eastAsia" w:ascii="宋体" w:hAnsi="宋体"/>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身份</w:t>
            </w:r>
            <w:r>
              <w:rPr>
                <w:rFonts w:ascii="宋体" w:hAnsi="宋体"/>
                <w:sz w:val="24"/>
                <w:highlight w:val="none"/>
              </w:rPr>
              <w:t>证号</w:t>
            </w:r>
          </w:p>
        </w:tc>
        <w:tc>
          <w:tcPr>
            <w:tcW w:w="3005" w:type="dxa"/>
            <w:gridSpan w:val="7"/>
            <w:vAlign w:val="center"/>
          </w:tcPr>
          <w:p>
            <w:pPr>
              <w:spacing w:line="400" w:lineRule="exact"/>
              <w:rPr>
                <w:rFonts w:ascii="宋体" w:hAnsi="宋体"/>
                <w:sz w:val="24"/>
                <w:highlight w:val="none"/>
              </w:rPr>
            </w:pPr>
          </w:p>
        </w:tc>
        <w:tc>
          <w:tcPr>
            <w:tcW w:w="1631" w:type="dxa"/>
            <w:gridSpan w:val="3"/>
            <w:vAlign w:val="center"/>
          </w:tcPr>
          <w:p>
            <w:pPr>
              <w:spacing w:line="400" w:lineRule="exact"/>
              <w:rPr>
                <w:rFonts w:ascii="宋体" w:hAnsi="宋体"/>
                <w:sz w:val="24"/>
                <w:highlight w:val="none"/>
              </w:rPr>
            </w:pPr>
            <w:r>
              <w:rPr>
                <w:rFonts w:hint="eastAsia" w:ascii="宋体" w:hAnsi="宋体"/>
                <w:sz w:val="24"/>
                <w:highlight w:val="none"/>
              </w:rPr>
              <w:t>政治面貌</w:t>
            </w:r>
          </w:p>
        </w:tc>
        <w:tc>
          <w:tcPr>
            <w:tcW w:w="1457" w:type="dxa"/>
            <w:gridSpan w:val="2"/>
            <w:vAlign w:val="center"/>
          </w:tcPr>
          <w:p>
            <w:pPr>
              <w:spacing w:line="240" w:lineRule="exact"/>
              <w:rPr>
                <w:rFonts w:ascii="宋体" w:hAnsi="宋体"/>
                <w:sz w:val="24"/>
                <w:highlight w:val="none"/>
              </w:rPr>
            </w:pPr>
          </w:p>
        </w:tc>
        <w:tc>
          <w:tcPr>
            <w:tcW w:w="2064" w:type="dxa"/>
            <w:vMerge w:val="continue"/>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毕业院校</w:t>
            </w:r>
          </w:p>
        </w:tc>
        <w:tc>
          <w:tcPr>
            <w:tcW w:w="3005" w:type="dxa"/>
            <w:gridSpan w:val="7"/>
            <w:vAlign w:val="center"/>
          </w:tcPr>
          <w:p>
            <w:pPr>
              <w:spacing w:line="400" w:lineRule="exact"/>
              <w:rPr>
                <w:rFonts w:ascii="宋体" w:hAnsi="宋体"/>
                <w:sz w:val="24"/>
                <w:highlight w:val="none"/>
              </w:rPr>
            </w:pPr>
          </w:p>
        </w:tc>
        <w:tc>
          <w:tcPr>
            <w:tcW w:w="1631" w:type="dxa"/>
            <w:gridSpan w:val="3"/>
            <w:vAlign w:val="center"/>
          </w:tcPr>
          <w:p>
            <w:pPr>
              <w:spacing w:line="400" w:lineRule="exact"/>
              <w:rPr>
                <w:rFonts w:ascii="宋体" w:hAnsi="宋体"/>
                <w:sz w:val="24"/>
                <w:highlight w:val="none"/>
              </w:rPr>
            </w:pPr>
            <w:r>
              <w:rPr>
                <w:rFonts w:hint="eastAsia" w:ascii="宋体" w:hAnsi="宋体"/>
                <w:sz w:val="24"/>
                <w:highlight w:val="none"/>
              </w:rPr>
              <w:t>所学专业</w:t>
            </w:r>
          </w:p>
        </w:tc>
        <w:tc>
          <w:tcPr>
            <w:tcW w:w="1457" w:type="dxa"/>
            <w:gridSpan w:val="2"/>
            <w:vAlign w:val="center"/>
          </w:tcPr>
          <w:p>
            <w:pPr>
              <w:spacing w:line="240" w:lineRule="exact"/>
              <w:rPr>
                <w:rFonts w:ascii="宋体" w:hAnsi="宋体"/>
                <w:sz w:val="24"/>
                <w:highlight w:val="none"/>
              </w:rPr>
            </w:pPr>
          </w:p>
        </w:tc>
        <w:tc>
          <w:tcPr>
            <w:tcW w:w="2064" w:type="dxa"/>
            <w:vMerge w:val="continue"/>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最高学历</w:t>
            </w:r>
          </w:p>
        </w:tc>
        <w:tc>
          <w:tcPr>
            <w:tcW w:w="3005" w:type="dxa"/>
            <w:gridSpan w:val="7"/>
            <w:vAlign w:val="center"/>
          </w:tcPr>
          <w:p>
            <w:pPr>
              <w:spacing w:line="400" w:lineRule="exact"/>
              <w:rPr>
                <w:rFonts w:ascii="宋体" w:hAnsi="宋体"/>
                <w:sz w:val="24"/>
                <w:highlight w:val="none"/>
              </w:rPr>
            </w:pPr>
          </w:p>
        </w:tc>
        <w:tc>
          <w:tcPr>
            <w:tcW w:w="1631" w:type="dxa"/>
            <w:gridSpan w:val="3"/>
            <w:vAlign w:val="center"/>
          </w:tcPr>
          <w:p>
            <w:pPr>
              <w:spacing w:line="400" w:lineRule="exact"/>
              <w:rPr>
                <w:rFonts w:ascii="宋体" w:hAnsi="宋体"/>
                <w:sz w:val="24"/>
                <w:highlight w:val="none"/>
              </w:rPr>
            </w:pPr>
            <w:r>
              <w:rPr>
                <w:rFonts w:hint="eastAsia" w:ascii="宋体" w:hAnsi="宋体"/>
                <w:sz w:val="24"/>
                <w:highlight w:val="none"/>
              </w:rPr>
              <w:t>现从事专业</w:t>
            </w:r>
          </w:p>
        </w:tc>
        <w:tc>
          <w:tcPr>
            <w:tcW w:w="1457" w:type="dxa"/>
            <w:gridSpan w:val="2"/>
            <w:vAlign w:val="center"/>
          </w:tcPr>
          <w:p>
            <w:pPr>
              <w:spacing w:line="400" w:lineRule="exact"/>
              <w:rPr>
                <w:rFonts w:ascii="宋体" w:hAnsi="宋体"/>
                <w:sz w:val="24"/>
                <w:highlight w:val="none"/>
              </w:rPr>
            </w:pPr>
          </w:p>
        </w:tc>
        <w:tc>
          <w:tcPr>
            <w:tcW w:w="2064" w:type="dxa"/>
            <w:vMerge w:val="continue"/>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2" w:type="dxa"/>
            <w:gridSpan w:val="2"/>
            <w:vAlign w:val="center"/>
          </w:tcPr>
          <w:p>
            <w:pPr>
              <w:spacing w:line="400" w:lineRule="exact"/>
              <w:rPr>
                <w:rFonts w:ascii="宋体" w:hAnsi="宋体"/>
                <w:sz w:val="24"/>
                <w:highlight w:val="none"/>
              </w:rPr>
            </w:pPr>
            <w:r>
              <w:rPr>
                <w:rFonts w:hint="eastAsia" w:ascii="宋体" w:hAnsi="宋体"/>
                <w:sz w:val="24"/>
                <w:highlight w:val="none"/>
              </w:rPr>
              <w:t>在</w:t>
            </w:r>
            <w:r>
              <w:rPr>
                <w:rFonts w:ascii="宋体" w:hAnsi="宋体"/>
                <w:sz w:val="24"/>
                <w:highlight w:val="none"/>
              </w:rPr>
              <w:t>职情况</w:t>
            </w:r>
          </w:p>
        </w:tc>
        <w:tc>
          <w:tcPr>
            <w:tcW w:w="1489" w:type="dxa"/>
            <w:vAlign w:val="center"/>
          </w:tcPr>
          <w:p>
            <w:pPr>
              <w:spacing w:line="400" w:lineRule="exact"/>
              <w:rPr>
                <w:rFonts w:ascii="宋体" w:hAnsi="宋体"/>
                <w:sz w:val="24"/>
                <w:highlight w:val="none"/>
              </w:rPr>
            </w:pPr>
            <w:r>
              <w:rPr>
                <w:rFonts w:hint="eastAsia" w:ascii="宋体" w:hAnsi="宋体"/>
                <w:sz w:val="24"/>
                <w:highlight w:val="none"/>
              </w:rPr>
              <w:t>在职</w:t>
            </w:r>
            <w:r>
              <w:rPr>
                <w:rFonts w:hint="eastAsia" w:ascii="宋体" w:hAnsi="宋体" w:eastAsia="宋体" w:cs="宋体"/>
                <w:kern w:val="0"/>
                <w:szCs w:val="21"/>
                <w:highlight w:val="none"/>
              </w:rPr>
              <w:t>□</w:t>
            </w:r>
          </w:p>
          <w:p>
            <w:pPr>
              <w:spacing w:line="400" w:lineRule="exact"/>
              <w:rPr>
                <w:rFonts w:ascii="宋体" w:hAnsi="宋体"/>
                <w:sz w:val="24"/>
                <w:highlight w:val="none"/>
              </w:rPr>
            </w:pPr>
            <w:r>
              <w:rPr>
                <w:rFonts w:ascii="宋体" w:hAnsi="宋体"/>
                <w:sz w:val="24"/>
                <w:highlight w:val="none"/>
              </w:rPr>
              <w:t>退休</w:t>
            </w:r>
            <w:r>
              <w:rPr>
                <w:rFonts w:hint="eastAsia" w:ascii="宋体" w:hAnsi="宋体" w:eastAsia="宋体" w:cs="宋体"/>
                <w:kern w:val="0"/>
                <w:szCs w:val="21"/>
                <w:highlight w:val="none"/>
              </w:rPr>
              <w:t>□</w:t>
            </w:r>
          </w:p>
        </w:tc>
        <w:tc>
          <w:tcPr>
            <w:tcW w:w="709" w:type="dxa"/>
            <w:gridSpan w:val="2"/>
            <w:vAlign w:val="center"/>
          </w:tcPr>
          <w:p>
            <w:pPr>
              <w:spacing w:line="400" w:lineRule="exact"/>
              <w:rPr>
                <w:rFonts w:ascii="宋体" w:hAnsi="宋体"/>
                <w:sz w:val="24"/>
                <w:highlight w:val="none"/>
              </w:rPr>
            </w:pPr>
            <w:r>
              <w:rPr>
                <w:rFonts w:hint="eastAsia" w:ascii="宋体" w:hAnsi="宋体"/>
                <w:sz w:val="24"/>
                <w:highlight w:val="none"/>
              </w:rPr>
              <w:t>健康</w:t>
            </w:r>
          </w:p>
          <w:p>
            <w:pPr>
              <w:spacing w:line="400" w:lineRule="exact"/>
              <w:rPr>
                <w:rFonts w:ascii="宋体" w:hAnsi="宋体"/>
                <w:sz w:val="24"/>
                <w:highlight w:val="none"/>
              </w:rPr>
            </w:pPr>
            <w:r>
              <w:rPr>
                <w:rFonts w:hint="eastAsia" w:ascii="宋体" w:hAnsi="宋体"/>
                <w:sz w:val="24"/>
                <w:highlight w:val="none"/>
              </w:rPr>
              <w:t>状况</w:t>
            </w:r>
          </w:p>
        </w:tc>
        <w:tc>
          <w:tcPr>
            <w:tcW w:w="850" w:type="dxa"/>
            <w:gridSpan w:val="4"/>
            <w:vAlign w:val="center"/>
          </w:tcPr>
          <w:p>
            <w:pPr>
              <w:spacing w:line="400" w:lineRule="exact"/>
              <w:rPr>
                <w:rFonts w:ascii="宋体" w:hAnsi="宋体"/>
                <w:sz w:val="24"/>
                <w:highlight w:val="none"/>
              </w:rPr>
            </w:pPr>
          </w:p>
        </w:tc>
        <w:tc>
          <w:tcPr>
            <w:tcW w:w="1560" w:type="dxa"/>
            <w:gridSpan w:val="2"/>
            <w:vAlign w:val="center"/>
          </w:tcPr>
          <w:p>
            <w:pPr>
              <w:spacing w:line="400" w:lineRule="exact"/>
              <w:rPr>
                <w:rFonts w:ascii="宋体" w:hAnsi="宋体"/>
                <w:sz w:val="24"/>
                <w:highlight w:val="none"/>
              </w:rPr>
            </w:pPr>
            <w:r>
              <w:rPr>
                <w:rFonts w:hint="eastAsia" w:ascii="宋体" w:hAnsi="宋体"/>
                <w:sz w:val="24"/>
                <w:highlight w:val="none"/>
              </w:rPr>
              <w:t>退休</w:t>
            </w:r>
            <w:r>
              <w:rPr>
                <w:rFonts w:ascii="宋体" w:hAnsi="宋体"/>
                <w:sz w:val="24"/>
                <w:highlight w:val="none"/>
              </w:rPr>
              <w:t>前单位：</w:t>
            </w:r>
          </w:p>
          <w:p>
            <w:pPr>
              <w:spacing w:line="400" w:lineRule="exact"/>
              <w:rPr>
                <w:rFonts w:ascii="宋体" w:hAnsi="宋体"/>
                <w:sz w:val="24"/>
                <w:highlight w:val="none"/>
              </w:rPr>
            </w:pPr>
            <w:r>
              <w:rPr>
                <w:rFonts w:hint="eastAsia" w:ascii="宋体" w:hAnsi="宋体"/>
                <w:sz w:val="24"/>
                <w:highlight w:val="none"/>
              </w:rPr>
              <w:t>现</w:t>
            </w:r>
            <w:r>
              <w:rPr>
                <w:rFonts w:ascii="宋体" w:hAnsi="宋体"/>
                <w:sz w:val="24"/>
                <w:highlight w:val="none"/>
              </w:rPr>
              <w:t>任职单位：</w:t>
            </w:r>
          </w:p>
        </w:tc>
        <w:tc>
          <w:tcPr>
            <w:tcW w:w="3521" w:type="dxa"/>
            <w:gridSpan w:val="3"/>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单位地址</w:t>
            </w:r>
          </w:p>
        </w:tc>
        <w:tc>
          <w:tcPr>
            <w:tcW w:w="4636" w:type="dxa"/>
            <w:gridSpan w:val="10"/>
            <w:vAlign w:val="center"/>
          </w:tcPr>
          <w:p>
            <w:pPr>
              <w:spacing w:line="400" w:lineRule="exact"/>
              <w:rPr>
                <w:rFonts w:ascii="宋体" w:hAnsi="宋体"/>
                <w:sz w:val="24"/>
                <w:highlight w:val="none"/>
              </w:rPr>
            </w:pPr>
          </w:p>
        </w:tc>
        <w:tc>
          <w:tcPr>
            <w:tcW w:w="1457" w:type="dxa"/>
            <w:gridSpan w:val="2"/>
            <w:vAlign w:val="center"/>
          </w:tcPr>
          <w:p>
            <w:pPr>
              <w:spacing w:line="400" w:lineRule="exact"/>
              <w:rPr>
                <w:rFonts w:ascii="宋体" w:hAnsi="宋体"/>
                <w:sz w:val="24"/>
                <w:highlight w:val="none"/>
              </w:rPr>
            </w:pPr>
            <w:r>
              <w:rPr>
                <w:rFonts w:hint="eastAsia" w:ascii="宋体" w:hAnsi="宋体"/>
                <w:sz w:val="24"/>
                <w:highlight w:val="none"/>
              </w:rPr>
              <w:t>常</w:t>
            </w:r>
            <w:r>
              <w:rPr>
                <w:rFonts w:ascii="宋体" w:hAnsi="宋体"/>
                <w:sz w:val="24"/>
                <w:highlight w:val="none"/>
              </w:rPr>
              <w:t>住地</w:t>
            </w:r>
            <w:r>
              <w:rPr>
                <w:rFonts w:hint="eastAsia" w:ascii="宋体" w:hAnsi="宋体"/>
                <w:sz w:val="24"/>
                <w:highlight w:val="none"/>
              </w:rPr>
              <w:t>址</w:t>
            </w:r>
          </w:p>
        </w:tc>
        <w:tc>
          <w:tcPr>
            <w:tcW w:w="2064" w:type="dxa"/>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职   务</w:t>
            </w:r>
          </w:p>
        </w:tc>
        <w:tc>
          <w:tcPr>
            <w:tcW w:w="1663" w:type="dxa"/>
            <w:gridSpan w:val="3"/>
            <w:vAlign w:val="center"/>
          </w:tcPr>
          <w:p>
            <w:pPr>
              <w:spacing w:line="400" w:lineRule="exact"/>
              <w:rPr>
                <w:rFonts w:ascii="宋体" w:hAnsi="宋体"/>
                <w:sz w:val="24"/>
                <w:highlight w:val="none"/>
              </w:rPr>
            </w:pPr>
          </w:p>
        </w:tc>
        <w:tc>
          <w:tcPr>
            <w:tcW w:w="705" w:type="dxa"/>
            <w:gridSpan w:val="2"/>
            <w:vAlign w:val="center"/>
          </w:tcPr>
          <w:p>
            <w:pPr>
              <w:spacing w:line="400" w:lineRule="exact"/>
              <w:rPr>
                <w:rFonts w:ascii="宋体" w:hAnsi="宋体"/>
                <w:sz w:val="24"/>
                <w:highlight w:val="none"/>
              </w:rPr>
            </w:pPr>
            <w:r>
              <w:rPr>
                <w:rFonts w:hint="eastAsia" w:ascii="宋体" w:hAnsi="宋体"/>
                <w:sz w:val="24"/>
                <w:highlight w:val="none"/>
              </w:rPr>
              <w:t>职称</w:t>
            </w:r>
          </w:p>
        </w:tc>
        <w:tc>
          <w:tcPr>
            <w:tcW w:w="2268" w:type="dxa"/>
            <w:gridSpan w:val="5"/>
            <w:vAlign w:val="center"/>
          </w:tcPr>
          <w:p>
            <w:pPr>
              <w:spacing w:line="400" w:lineRule="exact"/>
              <w:rPr>
                <w:rFonts w:ascii="宋体" w:hAnsi="宋体"/>
                <w:sz w:val="24"/>
                <w:highlight w:val="none"/>
              </w:rPr>
            </w:pPr>
          </w:p>
        </w:tc>
        <w:tc>
          <w:tcPr>
            <w:tcW w:w="1457" w:type="dxa"/>
            <w:gridSpan w:val="2"/>
            <w:vAlign w:val="center"/>
          </w:tcPr>
          <w:p>
            <w:pPr>
              <w:spacing w:line="400" w:lineRule="exact"/>
              <w:rPr>
                <w:rFonts w:ascii="宋体" w:hAnsi="宋体"/>
                <w:sz w:val="24"/>
                <w:highlight w:val="none"/>
              </w:rPr>
            </w:pPr>
            <w:r>
              <w:rPr>
                <w:rFonts w:hint="eastAsia" w:ascii="宋体" w:hAnsi="宋体"/>
                <w:sz w:val="24"/>
                <w:highlight w:val="none"/>
              </w:rPr>
              <w:t>现</w:t>
            </w:r>
            <w:r>
              <w:rPr>
                <w:rFonts w:ascii="宋体" w:hAnsi="宋体"/>
                <w:sz w:val="24"/>
                <w:highlight w:val="none"/>
              </w:rPr>
              <w:t>职年限</w:t>
            </w:r>
          </w:p>
        </w:tc>
        <w:tc>
          <w:tcPr>
            <w:tcW w:w="2064" w:type="dxa"/>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14" w:type="dxa"/>
            <w:vMerge w:val="restart"/>
            <w:vAlign w:val="center"/>
          </w:tcPr>
          <w:p>
            <w:pPr>
              <w:spacing w:line="400" w:lineRule="exact"/>
              <w:rPr>
                <w:rFonts w:ascii="宋体" w:hAnsi="宋体"/>
                <w:sz w:val="24"/>
                <w:highlight w:val="none"/>
              </w:rPr>
            </w:pPr>
            <w:r>
              <w:rPr>
                <w:rFonts w:hint="eastAsia" w:ascii="宋体" w:hAnsi="宋体"/>
                <w:sz w:val="24"/>
                <w:highlight w:val="none"/>
              </w:rPr>
              <w:t>职业资格</w:t>
            </w:r>
          </w:p>
        </w:tc>
        <w:tc>
          <w:tcPr>
            <w:tcW w:w="2368" w:type="dxa"/>
            <w:gridSpan w:val="5"/>
            <w:vAlign w:val="center"/>
          </w:tcPr>
          <w:p>
            <w:pPr>
              <w:spacing w:line="400" w:lineRule="exact"/>
              <w:rPr>
                <w:rFonts w:ascii="宋体" w:hAnsi="宋体"/>
                <w:sz w:val="24"/>
                <w:highlight w:val="none"/>
              </w:rPr>
            </w:pPr>
            <w:r>
              <w:rPr>
                <w:rFonts w:hint="eastAsia" w:ascii="宋体" w:hAnsi="宋体"/>
                <w:sz w:val="24"/>
                <w:highlight w:val="none"/>
              </w:rPr>
              <w:t>职业资格名称</w:t>
            </w:r>
          </w:p>
        </w:tc>
        <w:tc>
          <w:tcPr>
            <w:tcW w:w="2268" w:type="dxa"/>
            <w:gridSpan w:val="5"/>
            <w:vAlign w:val="center"/>
          </w:tcPr>
          <w:p>
            <w:pPr>
              <w:spacing w:line="400" w:lineRule="exact"/>
              <w:rPr>
                <w:rFonts w:ascii="宋体" w:hAnsi="宋体"/>
                <w:sz w:val="24"/>
                <w:highlight w:val="none"/>
              </w:rPr>
            </w:pPr>
            <w:r>
              <w:rPr>
                <w:rFonts w:hint="eastAsia" w:ascii="宋体" w:hAnsi="宋体"/>
                <w:sz w:val="24"/>
                <w:highlight w:val="none"/>
              </w:rPr>
              <w:t>证书编号</w:t>
            </w:r>
          </w:p>
        </w:tc>
        <w:tc>
          <w:tcPr>
            <w:tcW w:w="3521" w:type="dxa"/>
            <w:gridSpan w:val="3"/>
            <w:vAlign w:val="center"/>
          </w:tcPr>
          <w:p>
            <w:pPr>
              <w:spacing w:line="400" w:lineRule="exact"/>
              <w:rPr>
                <w:rFonts w:ascii="宋体" w:hAnsi="宋体"/>
                <w:sz w:val="24"/>
                <w:highlight w:val="none"/>
              </w:rPr>
            </w:pPr>
            <w:r>
              <w:rPr>
                <w:rFonts w:hint="eastAsia" w:ascii="宋体" w:hAnsi="宋体"/>
                <w:sz w:val="24"/>
                <w:highlight w:val="none"/>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14" w:type="dxa"/>
            <w:vMerge w:val="continue"/>
            <w:vAlign w:val="center"/>
          </w:tcPr>
          <w:p>
            <w:pPr>
              <w:spacing w:line="400" w:lineRule="exact"/>
              <w:rPr>
                <w:rFonts w:ascii="宋体" w:hAnsi="宋体"/>
                <w:sz w:val="24"/>
                <w:highlight w:val="none"/>
              </w:rPr>
            </w:pPr>
          </w:p>
        </w:tc>
        <w:tc>
          <w:tcPr>
            <w:tcW w:w="2368" w:type="dxa"/>
            <w:gridSpan w:val="5"/>
            <w:vAlign w:val="center"/>
          </w:tcPr>
          <w:p>
            <w:pPr>
              <w:spacing w:line="400" w:lineRule="exact"/>
              <w:rPr>
                <w:rFonts w:ascii="宋体" w:hAnsi="宋体"/>
                <w:sz w:val="24"/>
                <w:highlight w:val="none"/>
              </w:rPr>
            </w:pPr>
          </w:p>
        </w:tc>
        <w:tc>
          <w:tcPr>
            <w:tcW w:w="2268" w:type="dxa"/>
            <w:gridSpan w:val="5"/>
            <w:vAlign w:val="center"/>
          </w:tcPr>
          <w:p>
            <w:pPr>
              <w:spacing w:line="400" w:lineRule="exact"/>
              <w:rPr>
                <w:rFonts w:ascii="宋体" w:hAnsi="宋体"/>
                <w:sz w:val="24"/>
                <w:highlight w:val="none"/>
              </w:rPr>
            </w:pPr>
          </w:p>
        </w:tc>
        <w:tc>
          <w:tcPr>
            <w:tcW w:w="3521" w:type="dxa"/>
            <w:gridSpan w:val="3"/>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14" w:type="dxa"/>
            <w:vMerge w:val="continue"/>
            <w:vAlign w:val="center"/>
          </w:tcPr>
          <w:p>
            <w:pPr>
              <w:spacing w:line="400" w:lineRule="exact"/>
              <w:rPr>
                <w:rFonts w:ascii="宋体" w:hAnsi="宋体"/>
                <w:sz w:val="24"/>
                <w:highlight w:val="none"/>
              </w:rPr>
            </w:pPr>
          </w:p>
        </w:tc>
        <w:tc>
          <w:tcPr>
            <w:tcW w:w="2368" w:type="dxa"/>
            <w:gridSpan w:val="5"/>
            <w:vAlign w:val="center"/>
          </w:tcPr>
          <w:p>
            <w:pPr>
              <w:spacing w:line="400" w:lineRule="exact"/>
              <w:rPr>
                <w:rFonts w:ascii="宋体" w:hAnsi="宋体"/>
                <w:sz w:val="24"/>
                <w:highlight w:val="none"/>
              </w:rPr>
            </w:pPr>
          </w:p>
        </w:tc>
        <w:tc>
          <w:tcPr>
            <w:tcW w:w="2268" w:type="dxa"/>
            <w:gridSpan w:val="5"/>
            <w:vAlign w:val="center"/>
          </w:tcPr>
          <w:p>
            <w:pPr>
              <w:spacing w:line="400" w:lineRule="exact"/>
              <w:rPr>
                <w:rFonts w:ascii="宋体" w:hAnsi="宋体"/>
                <w:sz w:val="24"/>
                <w:highlight w:val="none"/>
              </w:rPr>
            </w:pPr>
          </w:p>
        </w:tc>
        <w:tc>
          <w:tcPr>
            <w:tcW w:w="3521" w:type="dxa"/>
            <w:gridSpan w:val="3"/>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14" w:type="dxa"/>
            <w:vMerge w:val="continue"/>
            <w:vAlign w:val="center"/>
          </w:tcPr>
          <w:p>
            <w:pPr>
              <w:spacing w:line="400" w:lineRule="exact"/>
              <w:rPr>
                <w:rFonts w:ascii="宋体" w:hAnsi="宋体"/>
                <w:sz w:val="24"/>
                <w:highlight w:val="none"/>
              </w:rPr>
            </w:pPr>
          </w:p>
        </w:tc>
        <w:tc>
          <w:tcPr>
            <w:tcW w:w="2368" w:type="dxa"/>
            <w:gridSpan w:val="5"/>
            <w:vAlign w:val="center"/>
          </w:tcPr>
          <w:p>
            <w:pPr>
              <w:spacing w:line="400" w:lineRule="exact"/>
              <w:rPr>
                <w:rFonts w:ascii="宋体" w:hAnsi="宋体"/>
                <w:sz w:val="24"/>
                <w:highlight w:val="none"/>
              </w:rPr>
            </w:pPr>
          </w:p>
        </w:tc>
        <w:tc>
          <w:tcPr>
            <w:tcW w:w="2268" w:type="dxa"/>
            <w:gridSpan w:val="5"/>
            <w:vAlign w:val="center"/>
          </w:tcPr>
          <w:p>
            <w:pPr>
              <w:spacing w:line="400" w:lineRule="exact"/>
              <w:rPr>
                <w:rFonts w:ascii="宋体" w:hAnsi="宋体"/>
                <w:sz w:val="24"/>
                <w:highlight w:val="none"/>
              </w:rPr>
            </w:pPr>
          </w:p>
        </w:tc>
        <w:tc>
          <w:tcPr>
            <w:tcW w:w="3521" w:type="dxa"/>
            <w:gridSpan w:val="3"/>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办公电话</w:t>
            </w:r>
          </w:p>
        </w:tc>
        <w:tc>
          <w:tcPr>
            <w:tcW w:w="1663" w:type="dxa"/>
            <w:gridSpan w:val="3"/>
            <w:vAlign w:val="center"/>
          </w:tcPr>
          <w:p>
            <w:pPr>
              <w:spacing w:line="400" w:lineRule="exact"/>
              <w:rPr>
                <w:rFonts w:ascii="宋体" w:hAnsi="宋体"/>
                <w:sz w:val="24"/>
                <w:highlight w:val="none"/>
              </w:rPr>
            </w:pPr>
          </w:p>
        </w:tc>
        <w:tc>
          <w:tcPr>
            <w:tcW w:w="705" w:type="dxa"/>
            <w:gridSpan w:val="2"/>
            <w:vAlign w:val="center"/>
          </w:tcPr>
          <w:p>
            <w:pPr>
              <w:spacing w:line="400" w:lineRule="exact"/>
              <w:rPr>
                <w:rFonts w:ascii="宋体" w:hAnsi="宋体"/>
                <w:sz w:val="24"/>
                <w:highlight w:val="none"/>
              </w:rPr>
            </w:pPr>
            <w:r>
              <w:rPr>
                <w:rFonts w:hint="eastAsia" w:ascii="宋体" w:hAnsi="宋体"/>
                <w:sz w:val="24"/>
                <w:highlight w:val="none"/>
              </w:rPr>
              <w:t>手机</w:t>
            </w:r>
          </w:p>
        </w:tc>
        <w:tc>
          <w:tcPr>
            <w:tcW w:w="1771" w:type="dxa"/>
            <w:gridSpan w:val="4"/>
            <w:vAlign w:val="center"/>
          </w:tcPr>
          <w:p>
            <w:pPr>
              <w:spacing w:line="400" w:lineRule="exact"/>
              <w:rPr>
                <w:rFonts w:ascii="宋体" w:hAnsi="宋体"/>
                <w:sz w:val="24"/>
                <w:highlight w:val="none"/>
              </w:rPr>
            </w:pPr>
          </w:p>
        </w:tc>
        <w:tc>
          <w:tcPr>
            <w:tcW w:w="1371" w:type="dxa"/>
            <w:gridSpan w:val="2"/>
            <w:vAlign w:val="center"/>
          </w:tcPr>
          <w:p>
            <w:pPr>
              <w:spacing w:line="400" w:lineRule="exact"/>
              <w:rPr>
                <w:rFonts w:ascii="宋体" w:hAnsi="宋体"/>
                <w:sz w:val="24"/>
                <w:highlight w:val="none"/>
              </w:rPr>
            </w:pPr>
            <w:r>
              <w:rPr>
                <w:rFonts w:hint="eastAsia" w:ascii="宋体" w:hAnsi="宋体"/>
                <w:sz w:val="24"/>
                <w:highlight w:val="none"/>
              </w:rPr>
              <w:t>E-mail</w:t>
            </w:r>
          </w:p>
        </w:tc>
        <w:tc>
          <w:tcPr>
            <w:tcW w:w="2647" w:type="dxa"/>
            <w:gridSpan w:val="2"/>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申报</w:t>
            </w:r>
            <w:r>
              <w:rPr>
                <w:rFonts w:ascii="宋体" w:hAnsi="宋体"/>
                <w:sz w:val="24"/>
                <w:highlight w:val="none"/>
              </w:rPr>
              <w:t>专家类别</w:t>
            </w:r>
            <w:r>
              <w:rPr>
                <w:rFonts w:eastAsia="宋体"/>
                <w:kern w:val="0"/>
                <w:sz w:val="24"/>
                <w:highlight w:val="none"/>
              </w:rPr>
              <w:t>及擅长专业领域</w:t>
            </w:r>
          </w:p>
        </w:tc>
        <w:tc>
          <w:tcPr>
            <w:tcW w:w="8157" w:type="dxa"/>
            <w:gridSpan w:val="13"/>
            <w:vAlign w:val="center"/>
          </w:tcPr>
          <w:p>
            <w:pPr>
              <w:widowControl/>
              <w:spacing w:line="360" w:lineRule="exac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综合组</w:t>
            </w:r>
            <w:r>
              <w:rPr>
                <w:rFonts w:hint="eastAsia" w:ascii="宋体" w:hAnsi="宋体" w:eastAsia="宋体" w:cs="宋体"/>
                <w:kern w:val="0"/>
                <w:sz w:val="24"/>
                <w:szCs w:val="24"/>
                <w:highlight w:val="none"/>
              </w:rPr>
              <w:t>：□（政策法规□职业卫生及放射卫生监督管理□职业健康体系建设□宣传教育□应急□其他综合）；</w:t>
            </w:r>
          </w:p>
          <w:p>
            <w:pPr>
              <w:widowControl/>
              <w:spacing w:line="360" w:lineRule="exac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职业卫生技术评审组</w:t>
            </w:r>
            <w:r>
              <w:rPr>
                <w:rFonts w:hint="eastAsia" w:ascii="宋体" w:hAnsi="宋体" w:eastAsia="宋体" w:cs="宋体"/>
                <w:kern w:val="0"/>
                <w:sz w:val="24"/>
                <w:szCs w:val="24"/>
                <w:highlight w:val="none"/>
              </w:rPr>
              <w:t>：□（检测□评价□工程防护□质量控制□）</w:t>
            </w:r>
          </w:p>
          <w:p>
            <w:pPr>
              <w:widowControl/>
              <w:spacing w:line="360" w:lineRule="exac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放射卫生技术评审组</w:t>
            </w:r>
            <w:r>
              <w:rPr>
                <w:rFonts w:hint="eastAsia" w:ascii="宋体" w:hAnsi="宋体" w:eastAsia="宋体" w:cs="宋体"/>
                <w:kern w:val="0"/>
                <w:sz w:val="24"/>
                <w:szCs w:val="24"/>
                <w:highlight w:val="none"/>
              </w:rPr>
              <w:t>：□（检测□评价□放射诊疗管理□工程防护□质量控制□）</w:t>
            </w:r>
          </w:p>
          <w:p>
            <w:pPr>
              <w:widowControl/>
              <w:spacing w:line="360" w:lineRule="exact"/>
              <w:rPr>
                <w:rFonts w:ascii="宋体" w:hAnsi="宋体" w:eastAsia="宋体" w:cs="Times New Roman"/>
                <w:sz w:val="24"/>
                <w:szCs w:val="24"/>
                <w:highlight w:val="none"/>
              </w:rPr>
            </w:pPr>
            <w:r>
              <w:rPr>
                <w:rFonts w:hint="eastAsia" w:ascii="宋体" w:hAnsi="宋体" w:eastAsia="宋体" w:cs="宋体"/>
                <w:b/>
                <w:bCs/>
                <w:kern w:val="0"/>
                <w:sz w:val="24"/>
                <w:szCs w:val="24"/>
                <w:highlight w:val="none"/>
              </w:rPr>
              <w:t>职业病诊断鉴定组</w:t>
            </w:r>
            <w:r>
              <w:rPr>
                <w:rFonts w:hint="eastAsia" w:ascii="宋体" w:hAnsi="宋体" w:eastAsia="宋体" w:cs="宋体"/>
                <w:kern w:val="0"/>
                <w:sz w:val="24"/>
                <w:szCs w:val="24"/>
                <w:highlight w:val="none"/>
              </w:rPr>
              <w:t>：□（检查□治疗□诊断□鉴定□）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相关工作经历</w:t>
            </w:r>
          </w:p>
        </w:tc>
        <w:tc>
          <w:tcPr>
            <w:tcW w:w="8157" w:type="dxa"/>
            <w:gridSpan w:val="13"/>
            <w:vAlign w:val="center"/>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近5年主要业绩和相关奖励</w:t>
            </w:r>
          </w:p>
        </w:tc>
        <w:tc>
          <w:tcPr>
            <w:tcW w:w="8157" w:type="dxa"/>
            <w:gridSpan w:val="13"/>
            <w:vAlign w:val="center"/>
          </w:tcPr>
          <w:p>
            <w:pPr>
              <w:spacing w:line="400" w:lineRule="exact"/>
              <w:rPr>
                <w:rFonts w:ascii="宋体" w:hAnsi="宋体"/>
                <w:sz w:val="24"/>
                <w:highlight w:val="none"/>
              </w:rPr>
            </w:pPr>
            <w:r>
              <w:rPr>
                <w:rFonts w:hint="eastAsia" w:ascii="宋体" w:hAnsi="宋体"/>
                <w:sz w:val="24"/>
                <w:highlight w:val="none"/>
              </w:rPr>
              <w:t>提交奖励证书复印件等有关证明材料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职业</w:t>
            </w:r>
            <w:r>
              <w:rPr>
                <w:rFonts w:ascii="宋体" w:hAnsi="宋体"/>
                <w:sz w:val="24"/>
                <w:highlight w:val="none"/>
              </w:rPr>
              <w:t>健康相关</w:t>
            </w:r>
            <w:r>
              <w:rPr>
                <w:rFonts w:hint="eastAsia" w:ascii="宋体" w:hAnsi="宋体"/>
                <w:sz w:val="24"/>
                <w:highlight w:val="none"/>
              </w:rPr>
              <w:t>发明、著作、学术论文情况</w:t>
            </w:r>
          </w:p>
        </w:tc>
        <w:tc>
          <w:tcPr>
            <w:tcW w:w="8157" w:type="dxa"/>
            <w:gridSpan w:val="13"/>
          </w:tcPr>
          <w:p>
            <w:pPr>
              <w:spacing w:line="400" w:lineRule="exact"/>
              <w:rPr>
                <w:rFonts w:ascii="宋体" w:hAnsi="宋体"/>
                <w:sz w:val="24"/>
                <w:highlight w:val="none"/>
              </w:rPr>
            </w:pPr>
            <w:r>
              <w:rPr>
                <w:rFonts w:hint="eastAsia" w:ascii="宋体" w:hAnsi="宋体"/>
                <w:sz w:val="24"/>
                <w:highlight w:val="none"/>
              </w:rPr>
              <w:t>提交相关证明材料复印件。论文、</w:t>
            </w:r>
            <w:r>
              <w:rPr>
                <w:rFonts w:ascii="宋体" w:hAnsi="宋体"/>
                <w:sz w:val="24"/>
                <w:highlight w:val="none"/>
              </w:rPr>
              <w:t>专著</w:t>
            </w:r>
            <w:r>
              <w:rPr>
                <w:rFonts w:hint="eastAsia" w:ascii="宋体" w:hAnsi="宋体"/>
                <w:sz w:val="24"/>
                <w:highlight w:val="none"/>
              </w:rPr>
              <w:t>需</w:t>
            </w:r>
            <w:r>
              <w:rPr>
                <w:rFonts w:ascii="宋体" w:hAnsi="宋体"/>
                <w:sz w:val="24"/>
                <w:highlight w:val="none"/>
              </w:rPr>
              <w:t>提供作者</w:t>
            </w:r>
            <w:r>
              <w:rPr>
                <w:rFonts w:hint="eastAsia" w:ascii="宋体" w:hAnsi="宋体"/>
                <w:sz w:val="24"/>
                <w:highlight w:val="none"/>
              </w:rPr>
              <w:t>、</w:t>
            </w:r>
            <w:r>
              <w:rPr>
                <w:rFonts w:ascii="宋体" w:hAnsi="宋体"/>
                <w:sz w:val="24"/>
                <w:highlight w:val="none"/>
              </w:rPr>
              <w:t>名称</w:t>
            </w:r>
            <w:r>
              <w:rPr>
                <w:rFonts w:hint="eastAsia" w:ascii="宋体" w:hAnsi="宋体"/>
                <w:sz w:val="24"/>
                <w:highlight w:val="none"/>
              </w:rPr>
              <w:t>、发表时间及发表刊物名称等信息。</w:t>
            </w:r>
          </w:p>
          <w:p>
            <w:pPr>
              <w:spacing w:line="400" w:lineRule="exact"/>
              <w:rPr>
                <w:rFonts w:ascii="宋体" w:hAnsi="宋体"/>
                <w:sz w:val="24"/>
                <w:highlight w:val="none"/>
              </w:rPr>
            </w:pPr>
          </w:p>
          <w:p>
            <w:pPr>
              <w:spacing w:line="400" w:lineRule="exact"/>
              <w:rPr>
                <w:rFonts w:ascii="宋体" w:hAnsi="宋体"/>
                <w:sz w:val="24"/>
                <w:highlight w:val="none"/>
              </w:rPr>
            </w:pPr>
          </w:p>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214" w:type="dxa"/>
            <w:vAlign w:val="center"/>
          </w:tcPr>
          <w:p>
            <w:pPr>
              <w:spacing w:line="400" w:lineRule="exact"/>
              <w:rPr>
                <w:rFonts w:ascii="宋体" w:hAnsi="宋体"/>
                <w:sz w:val="24"/>
                <w:highlight w:val="none"/>
              </w:rPr>
            </w:pPr>
            <w:r>
              <w:rPr>
                <w:rFonts w:hint="eastAsia" w:ascii="宋体" w:hAnsi="宋体"/>
                <w:sz w:val="24"/>
                <w:highlight w:val="none"/>
              </w:rPr>
              <w:t>承   诺</w:t>
            </w:r>
          </w:p>
        </w:tc>
        <w:tc>
          <w:tcPr>
            <w:tcW w:w="8157" w:type="dxa"/>
            <w:gridSpan w:val="13"/>
            <w:vAlign w:val="center"/>
          </w:tcPr>
          <w:p>
            <w:pPr>
              <w:adjustRightInd w:val="0"/>
              <w:spacing w:line="560" w:lineRule="exact"/>
              <w:ind w:firstLine="480" w:firstLineChars="200"/>
              <w:contextualSpacing/>
              <w:rPr>
                <w:rFonts w:ascii="宋体" w:hAnsi="宋体" w:cs="宋体"/>
                <w:kern w:val="0"/>
                <w:sz w:val="24"/>
                <w:highlight w:val="none"/>
              </w:rPr>
            </w:pPr>
            <w:r>
              <w:rPr>
                <w:rFonts w:hint="eastAsia" w:ascii="宋体" w:hAnsi="宋体" w:cs="宋体"/>
                <w:kern w:val="0"/>
                <w:sz w:val="24"/>
                <w:highlight w:val="none"/>
              </w:rPr>
              <w:t>本人承诺所填写、提供申报材料真实有效、内容属实，申报专家类别服从调整。</w:t>
            </w:r>
          </w:p>
          <w:p>
            <w:pPr>
              <w:spacing w:line="400" w:lineRule="exact"/>
              <w:rPr>
                <w:rFonts w:ascii="宋体" w:hAnsi="宋体"/>
                <w:sz w:val="24"/>
                <w:highlight w:val="none"/>
              </w:rPr>
            </w:pPr>
            <w:r>
              <w:rPr>
                <w:rFonts w:hint="eastAsia" w:ascii="宋体" w:hAnsi="宋体" w:cs="宋体"/>
                <w:kern w:val="0"/>
                <w:sz w:val="24"/>
                <w:highlight w:val="none"/>
              </w:rPr>
              <w:t xml:space="preserve">                                承诺人（</w:t>
            </w:r>
            <w:r>
              <w:rPr>
                <w:rFonts w:hint="eastAsia" w:ascii="宋体" w:hAnsi="宋体"/>
                <w:sz w:val="24"/>
                <w:highlight w:val="none"/>
              </w:rPr>
              <w:t>签字</w:t>
            </w:r>
            <w:r>
              <w:rPr>
                <w:rFonts w:hint="eastAsia" w:ascii="宋体" w:hAnsi="宋体"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9371" w:type="dxa"/>
            <w:gridSpan w:val="14"/>
            <w:vAlign w:val="center"/>
          </w:tcPr>
          <w:p>
            <w:pPr>
              <w:spacing w:line="400" w:lineRule="exact"/>
              <w:rPr>
                <w:rFonts w:ascii="宋体" w:hAnsi="宋体"/>
                <w:sz w:val="24"/>
                <w:highlight w:val="none"/>
              </w:rPr>
            </w:pPr>
            <w:r>
              <w:rPr>
                <w:rFonts w:hint="eastAsia" w:ascii="宋体" w:hAnsi="宋体"/>
                <w:sz w:val="24"/>
                <w:highlight w:val="none"/>
              </w:rPr>
              <w:t>推荐单位意见：</w:t>
            </w:r>
          </w:p>
          <w:p>
            <w:pPr>
              <w:spacing w:line="400" w:lineRule="exact"/>
              <w:rPr>
                <w:rFonts w:ascii="宋体" w:hAnsi="宋体"/>
                <w:sz w:val="24"/>
                <w:highlight w:val="none"/>
              </w:rPr>
            </w:pPr>
          </w:p>
          <w:p>
            <w:pPr>
              <w:spacing w:line="400" w:lineRule="exact"/>
              <w:rPr>
                <w:rFonts w:ascii="宋体" w:hAnsi="宋体"/>
                <w:sz w:val="24"/>
                <w:highlight w:val="none"/>
              </w:rPr>
            </w:pPr>
            <w:r>
              <w:rPr>
                <w:rFonts w:hint="eastAsia" w:ascii="宋体" w:hAnsi="宋体"/>
                <w:sz w:val="24"/>
                <w:highlight w:val="none"/>
              </w:rPr>
              <w:t xml:space="preserve">  单位盖章</w:t>
            </w:r>
          </w:p>
          <w:p>
            <w:pPr>
              <w:spacing w:line="400" w:lineRule="exact"/>
              <w:rPr>
                <w:rFonts w:ascii="宋体" w:hAnsi="宋体"/>
                <w:sz w:val="24"/>
                <w:highlight w:val="none"/>
              </w:rPr>
            </w:pPr>
            <w:r>
              <w:rPr>
                <w:rFonts w:hint="eastAsia" w:ascii="宋体" w:hAnsi="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9371" w:type="dxa"/>
            <w:gridSpan w:val="14"/>
            <w:vAlign w:val="center"/>
          </w:tcPr>
          <w:p>
            <w:pPr>
              <w:spacing w:line="400" w:lineRule="exact"/>
              <w:rPr>
                <w:rFonts w:ascii="宋体" w:hAnsi="宋体"/>
                <w:sz w:val="24"/>
                <w:highlight w:val="none"/>
              </w:rPr>
            </w:pPr>
            <w:r>
              <w:rPr>
                <w:rFonts w:hint="eastAsia" w:ascii="宋体" w:hAnsi="宋体"/>
                <w:sz w:val="24"/>
                <w:highlight w:val="none"/>
              </w:rPr>
              <w:t>初审单位意见：</w:t>
            </w:r>
          </w:p>
          <w:p>
            <w:pPr>
              <w:spacing w:line="400" w:lineRule="exact"/>
              <w:rPr>
                <w:rFonts w:ascii="宋体" w:hAnsi="宋体" w:eastAsia="等线"/>
                <w:sz w:val="24"/>
                <w:highlight w:val="none"/>
              </w:rPr>
            </w:pPr>
          </w:p>
          <w:p>
            <w:pPr>
              <w:spacing w:line="400" w:lineRule="exact"/>
              <w:ind w:firstLine="7080" w:firstLineChars="2950"/>
              <w:rPr>
                <w:rFonts w:ascii="宋体" w:hAnsi="宋体"/>
                <w:sz w:val="24"/>
                <w:highlight w:val="none"/>
              </w:rPr>
            </w:pPr>
            <w:r>
              <w:rPr>
                <w:rFonts w:hint="eastAsia" w:ascii="宋体" w:hAnsi="宋体"/>
                <w:sz w:val="24"/>
                <w:highlight w:val="none"/>
              </w:rPr>
              <w:t>盖章</w:t>
            </w:r>
          </w:p>
          <w:p>
            <w:pPr>
              <w:spacing w:line="400" w:lineRule="exact"/>
              <w:rPr>
                <w:rFonts w:ascii="宋体" w:hAnsi="宋体"/>
                <w:sz w:val="24"/>
                <w:highlight w:val="none"/>
              </w:rPr>
            </w:pPr>
            <w:r>
              <w:rPr>
                <w:rFonts w:hint="eastAsia" w:ascii="宋体" w:hAnsi="宋体"/>
                <w:sz w:val="24"/>
                <w:highlight w:val="none"/>
              </w:rPr>
              <w:t>年    月    日</w:t>
            </w:r>
          </w:p>
        </w:tc>
      </w:tr>
    </w:tbl>
    <w:p>
      <w:pPr>
        <w:keepNext w:val="0"/>
        <w:keepLines w:val="0"/>
        <w:pageBreakBefore w:val="0"/>
        <w:kinsoku/>
        <w:wordWrap/>
        <w:overflowPunct/>
        <w:topLinePunct w:val="0"/>
        <w:autoSpaceDE/>
        <w:autoSpaceDN/>
        <w:bidi w:val="0"/>
        <w:snapToGrid/>
        <w:spacing w:line="400" w:lineRule="exact"/>
        <w:textAlignment w:val="auto"/>
        <w:rPr>
          <w:rFonts w:ascii="仿宋" w:hAnsi="仿宋" w:eastAsia="仿宋"/>
          <w:sz w:val="24"/>
          <w:szCs w:val="24"/>
          <w:highlight w:val="none"/>
        </w:rPr>
      </w:pPr>
      <w:r>
        <w:rPr>
          <w:rFonts w:hint="eastAsia" w:ascii="黑体" w:hAnsi="黑体" w:eastAsia="黑体" w:cs="宋体"/>
          <w:bCs/>
          <w:sz w:val="24"/>
          <w:szCs w:val="24"/>
          <w:highlight w:val="none"/>
        </w:rPr>
        <w:t>说 明</w:t>
      </w:r>
      <w:r>
        <w:rPr>
          <w:rFonts w:hint="eastAsia" w:ascii="黑体" w:hAnsi="黑体" w:eastAsia="黑体"/>
          <w:sz w:val="24"/>
          <w:szCs w:val="24"/>
          <w:highlight w:val="none"/>
        </w:rPr>
        <w:t>：</w:t>
      </w:r>
      <w:r>
        <w:rPr>
          <w:rFonts w:hint="eastAsia" w:ascii="仿宋" w:hAnsi="仿宋" w:eastAsia="仿宋" w:cs="仿宋"/>
          <w:sz w:val="24"/>
          <w:szCs w:val="24"/>
          <w:highlight w:val="none"/>
        </w:rPr>
        <w:t>一、表中除 “承诺人（签字）</w:t>
      </w:r>
      <w:r>
        <w:rPr>
          <w:rFonts w:ascii="仿宋" w:hAnsi="仿宋" w:eastAsia="仿宋" w:cs="仿宋"/>
          <w:sz w:val="24"/>
          <w:szCs w:val="24"/>
          <w:highlight w:val="none"/>
        </w:rPr>
        <w:t>”</w:t>
      </w:r>
      <w:r>
        <w:rPr>
          <w:rFonts w:hint="eastAsia" w:ascii="仿宋" w:hAnsi="仿宋" w:eastAsia="仿宋" w:cs="仿宋"/>
          <w:sz w:val="24"/>
          <w:szCs w:val="24"/>
          <w:highlight w:val="none"/>
        </w:rPr>
        <w:t>、“推荐单位意见”和“初审单位意见”栏内用黑色签字笔填写外，其它栏内容一律用电脑打印（照片可直接打印在申报表上）。</w:t>
      </w:r>
    </w:p>
    <w:p>
      <w:pPr>
        <w:keepNext w:val="0"/>
        <w:keepLines w:val="0"/>
        <w:pageBreakBefore w:val="0"/>
        <w:kinsoku/>
        <w:wordWrap/>
        <w:overflowPunct/>
        <w:topLinePunct w:val="0"/>
        <w:autoSpaceDE/>
        <w:autoSpaceDN/>
        <w:bidi w:val="0"/>
        <w:snapToGrid/>
        <w:spacing w:line="400" w:lineRule="exact"/>
        <w:ind w:firstLine="840" w:firstLineChars="350"/>
        <w:textAlignment w:val="auto"/>
        <w:rPr>
          <w:rFonts w:ascii="仿宋" w:hAnsi="仿宋" w:eastAsia="仿宋"/>
          <w:sz w:val="24"/>
          <w:szCs w:val="24"/>
          <w:highlight w:val="none"/>
        </w:rPr>
      </w:pPr>
      <w:r>
        <w:rPr>
          <w:rFonts w:hint="eastAsia" w:ascii="仿宋" w:hAnsi="仿宋" w:eastAsia="仿宋"/>
          <w:sz w:val="24"/>
          <w:szCs w:val="24"/>
          <w:highlight w:val="none"/>
        </w:rPr>
        <w:t>二、</w:t>
      </w:r>
      <w:r>
        <w:rPr>
          <w:rFonts w:hint="eastAsia" w:ascii="仿宋" w:hAnsi="仿宋" w:eastAsia="仿宋" w:cs="仿宋"/>
          <w:sz w:val="24"/>
          <w:szCs w:val="24"/>
          <w:highlight w:val="none"/>
        </w:rPr>
        <w:t>表中有</w:t>
      </w:r>
      <w:r>
        <w:rPr>
          <w:rFonts w:hint="eastAsia" w:ascii="宋体" w:hAnsi="宋体" w:eastAsia="宋体" w:cs="宋体"/>
          <w:kern w:val="0"/>
          <w:szCs w:val="21"/>
          <w:highlight w:val="none"/>
        </w:rPr>
        <w:t>□</w:t>
      </w:r>
      <w:r>
        <w:rPr>
          <w:rFonts w:hint="eastAsia" w:ascii="仿宋" w:hAnsi="仿宋" w:eastAsia="仿宋" w:cs="仿宋"/>
          <w:sz w:val="24"/>
          <w:szCs w:val="24"/>
          <w:highlight w:val="none"/>
        </w:rPr>
        <w:t>的，请根据实际情况在相应</w:t>
      </w:r>
      <w:r>
        <w:rPr>
          <w:rFonts w:hint="eastAsia" w:ascii="宋体" w:hAnsi="宋体" w:eastAsia="宋体" w:cs="宋体"/>
          <w:kern w:val="0"/>
          <w:szCs w:val="21"/>
          <w:highlight w:val="none"/>
        </w:rPr>
        <w:t>□</w:t>
      </w:r>
      <w:r>
        <w:rPr>
          <w:rFonts w:hint="eastAsia" w:ascii="仿宋" w:hAnsi="仿宋" w:eastAsia="仿宋" w:cs="仿宋"/>
          <w:sz w:val="24"/>
          <w:szCs w:val="24"/>
          <w:highlight w:val="none"/>
        </w:rPr>
        <w:t>内打“√”。</w:t>
      </w:r>
    </w:p>
    <w:p>
      <w:pPr>
        <w:keepNext w:val="0"/>
        <w:keepLines w:val="0"/>
        <w:pageBreakBefore w:val="0"/>
        <w:kinsoku/>
        <w:wordWrap/>
        <w:overflowPunct/>
        <w:topLinePunct w:val="0"/>
        <w:autoSpaceDE/>
        <w:autoSpaceDN/>
        <w:bidi w:val="0"/>
        <w:adjustRightInd w:val="0"/>
        <w:snapToGrid/>
        <w:spacing w:line="400" w:lineRule="exact"/>
        <w:ind w:firstLine="720" w:firstLineChars="300"/>
        <w:contextualSpacing/>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三、“单位地址”栏目填写现所在单位地址；“常住地址”栏目退休人员填写目前经常居住的城市地址，具体到区即可。</w:t>
      </w:r>
    </w:p>
    <w:p>
      <w:pPr>
        <w:keepNext w:val="0"/>
        <w:keepLines w:val="0"/>
        <w:pageBreakBefore w:val="0"/>
        <w:widowControl/>
        <w:kinsoku/>
        <w:wordWrap/>
        <w:overflowPunct/>
        <w:topLinePunct w:val="0"/>
        <w:autoSpaceDE/>
        <w:autoSpaceDN/>
        <w:bidi w:val="0"/>
        <w:snapToGrid/>
        <w:spacing w:line="400" w:lineRule="exact"/>
        <w:ind w:firstLine="840" w:firstLineChars="350"/>
        <w:textAlignment w:val="auto"/>
        <w:rPr>
          <w:rFonts w:ascii="仿宋" w:hAnsi="仿宋" w:eastAsia="仿宋" w:cs="仿宋"/>
          <w:sz w:val="24"/>
          <w:szCs w:val="24"/>
          <w:highlight w:val="none"/>
        </w:rPr>
      </w:pPr>
      <w:r>
        <w:rPr>
          <w:rFonts w:hint="eastAsia" w:ascii="仿宋" w:hAnsi="仿宋" w:eastAsia="仿宋" w:cs="仿宋"/>
          <w:sz w:val="24"/>
          <w:szCs w:val="24"/>
          <w:highlight w:val="none"/>
        </w:rPr>
        <w:t>四、“职业资格”指申报人取得医师执业证书、职业病诊断医师资格证书等情况，没有可不填。</w:t>
      </w:r>
    </w:p>
    <w:p>
      <w:pPr>
        <w:keepNext w:val="0"/>
        <w:keepLines w:val="0"/>
        <w:pageBreakBefore w:val="0"/>
        <w:kinsoku/>
        <w:wordWrap/>
        <w:overflowPunct/>
        <w:topLinePunct w:val="0"/>
        <w:autoSpaceDE/>
        <w:autoSpaceDN/>
        <w:bidi w:val="0"/>
        <w:snapToGrid/>
        <w:spacing w:line="400" w:lineRule="exact"/>
        <w:ind w:left="105" w:leftChars="50" w:firstLine="720" w:firstLineChars="300"/>
        <w:textAlignment w:val="auto"/>
        <w:rPr>
          <w:rFonts w:ascii="仿宋" w:hAnsi="仿宋" w:eastAsia="仿宋" w:cs="仿宋"/>
          <w:sz w:val="24"/>
          <w:szCs w:val="24"/>
          <w:highlight w:val="none"/>
        </w:rPr>
      </w:pPr>
      <w:r>
        <w:rPr>
          <w:rFonts w:hint="eastAsia" w:ascii="仿宋" w:hAnsi="仿宋" w:eastAsia="仿宋" w:cs="仿宋"/>
          <w:sz w:val="24"/>
          <w:szCs w:val="24"/>
          <w:highlight w:val="none"/>
        </w:rPr>
        <w:t>五、“申报专家类别及擅长专业领域”，由推荐专家本人根据个人从事工作和擅长专业勾选。</w:t>
      </w:r>
    </w:p>
    <w:p>
      <w:pPr>
        <w:keepNext w:val="0"/>
        <w:keepLines w:val="0"/>
        <w:pageBreakBefore w:val="0"/>
        <w:kinsoku/>
        <w:wordWrap/>
        <w:overflowPunct/>
        <w:topLinePunct w:val="0"/>
        <w:autoSpaceDE/>
        <w:autoSpaceDN/>
        <w:bidi w:val="0"/>
        <w:snapToGrid/>
        <w:spacing w:line="400" w:lineRule="exact"/>
        <w:ind w:firstLine="840" w:firstLineChars="350"/>
        <w:textAlignment w:val="auto"/>
        <w:rPr>
          <w:rFonts w:ascii="仿宋" w:hAnsi="仿宋" w:eastAsia="仿宋" w:cs="仿宋"/>
          <w:sz w:val="24"/>
          <w:szCs w:val="24"/>
          <w:highlight w:val="none"/>
        </w:rPr>
      </w:pPr>
      <w:r>
        <w:rPr>
          <w:rFonts w:hint="eastAsia" w:ascii="仿宋" w:hAnsi="仿宋" w:eastAsia="仿宋" w:cs="仿宋"/>
          <w:sz w:val="24"/>
          <w:szCs w:val="24"/>
          <w:highlight w:val="none"/>
        </w:rPr>
        <w:t>六、“近5年主要业绩和相关奖励”，可填写近5年参加过主管部门组织的专项检查、课题调研、项目审核、职业病鉴定、机构评估检查、事故调查等工作，选择主要工作简要说明时间和内容。</w:t>
      </w:r>
    </w:p>
    <w:p>
      <w:pPr>
        <w:keepNext w:val="0"/>
        <w:keepLines w:val="0"/>
        <w:pageBreakBefore w:val="0"/>
        <w:kinsoku/>
        <w:wordWrap/>
        <w:overflowPunct/>
        <w:topLinePunct w:val="0"/>
        <w:autoSpaceDE/>
        <w:autoSpaceDN/>
        <w:bidi w:val="0"/>
        <w:snapToGrid/>
        <w:spacing w:line="400" w:lineRule="exact"/>
        <w:ind w:firstLine="840" w:firstLineChars="350"/>
        <w:textAlignment w:val="auto"/>
        <w:rPr>
          <w:rFonts w:ascii="仿宋" w:hAnsi="仿宋" w:eastAsia="仿宋" w:cs="仿宋"/>
          <w:sz w:val="24"/>
          <w:szCs w:val="24"/>
          <w:highlight w:val="none"/>
        </w:rPr>
      </w:pPr>
      <w:r>
        <w:rPr>
          <w:rFonts w:hint="eastAsia" w:ascii="仿宋" w:hAnsi="仿宋" w:eastAsia="仿宋" w:cs="仿宋"/>
          <w:sz w:val="24"/>
          <w:szCs w:val="24"/>
          <w:highlight w:val="none"/>
        </w:rPr>
        <w:t>七、“推荐单位意见”由候选专家所在单位据实填写，退休候选专家没有现任职单位的可不填。</w:t>
      </w:r>
    </w:p>
    <w:p>
      <w:pPr>
        <w:keepNext w:val="0"/>
        <w:keepLines w:val="0"/>
        <w:pageBreakBefore w:val="0"/>
        <w:kinsoku/>
        <w:wordWrap/>
        <w:overflowPunct/>
        <w:topLinePunct w:val="0"/>
        <w:autoSpaceDE/>
        <w:autoSpaceDN/>
        <w:bidi w:val="0"/>
        <w:adjustRightInd w:val="0"/>
        <w:snapToGrid/>
        <w:spacing w:line="400" w:lineRule="exact"/>
        <w:ind w:firstLine="840" w:firstLineChars="350"/>
        <w:contextualSpacing/>
        <w:textAlignment w:val="auto"/>
        <w:rPr>
          <w:rFonts w:ascii="仿宋" w:hAnsi="仿宋" w:eastAsia="仿宋" w:cs="仿宋"/>
          <w:sz w:val="24"/>
          <w:szCs w:val="24"/>
          <w:highlight w:val="none"/>
        </w:rPr>
      </w:pPr>
      <w:r>
        <w:rPr>
          <w:rFonts w:hint="eastAsia" w:ascii="仿宋" w:hAnsi="仿宋" w:eastAsia="仿宋" w:cs="仿宋"/>
          <w:sz w:val="24"/>
          <w:szCs w:val="24"/>
          <w:highlight w:val="none"/>
        </w:rPr>
        <w:t>八、“初审单位意见”主要由各省辖市卫生健康委填写。</w:t>
      </w:r>
    </w:p>
    <w:p>
      <w:pPr>
        <w:keepNext w:val="0"/>
        <w:keepLines w:val="0"/>
        <w:pageBreakBefore w:val="0"/>
        <w:kinsoku/>
        <w:wordWrap/>
        <w:overflowPunct/>
        <w:topLinePunct w:val="0"/>
        <w:autoSpaceDE/>
        <w:autoSpaceDN/>
        <w:bidi w:val="0"/>
        <w:adjustRightInd w:val="0"/>
        <w:snapToGrid/>
        <w:spacing w:line="400" w:lineRule="exact"/>
        <w:ind w:firstLine="840" w:firstLineChars="350"/>
        <w:contextualSpacing/>
        <w:textAlignment w:val="auto"/>
        <w:rPr>
          <w:rFonts w:ascii="仿宋" w:hAnsi="仿宋" w:eastAsia="仿宋" w:cs="仿宋"/>
          <w:sz w:val="24"/>
          <w:szCs w:val="24"/>
          <w:highlight w:val="none"/>
        </w:rPr>
        <w:sectPr>
          <w:pgSz w:w="11906" w:h="16838"/>
          <w:pgMar w:top="2041" w:right="1588" w:bottom="1928" w:left="1588" w:header="851" w:footer="992" w:gutter="0"/>
          <w:cols w:space="425" w:num="1"/>
          <w:docGrid w:type="lines" w:linePitch="312" w:charSpace="0"/>
        </w:sectPr>
      </w:pPr>
      <w:r>
        <w:rPr>
          <w:rFonts w:hint="eastAsia" w:ascii="仿宋" w:hAnsi="仿宋" w:eastAsia="仿宋" w:cs="仿宋"/>
          <w:sz w:val="24"/>
          <w:szCs w:val="24"/>
          <w:highlight w:val="none"/>
        </w:rPr>
        <w:t>九、</w:t>
      </w:r>
      <w:r>
        <w:rPr>
          <w:rFonts w:ascii="仿宋" w:hAnsi="仿宋" w:eastAsia="仿宋" w:cs="仿宋"/>
          <w:sz w:val="24"/>
          <w:szCs w:val="24"/>
          <w:highlight w:val="none"/>
        </w:rPr>
        <w:t>表格</w:t>
      </w:r>
      <w:r>
        <w:rPr>
          <w:rFonts w:hint="eastAsia" w:ascii="仿宋" w:hAnsi="仿宋" w:eastAsia="仿宋" w:cs="仿宋"/>
          <w:sz w:val="24"/>
          <w:szCs w:val="24"/>
          <w:highlight w:val="none"/>
        </w:rPr>
        <w:t>填写空间不足可另加附页。</w:t>
      </w:r>
    </w:p>
    <w:p>
      <w:pPr>
        <w:spacing w:line="580" w:lineRule="exact"/>
        <w:rPr>
          <w:rFonts w:ascii="Times New Roman" w:hAnsi="Times New Roman" w:eastAsia="仿宋_GB2312" w:cs="Times New Roman"/>
          <w:kern w:val="0"/>
          <w:sz w:val="32"/>
          <w:szCs w:val="32"/>
          <w:highlight w:val="none"/>
        </w:rPr>
      </w:pPr>
      <w:r>
        <w:rPr>
          <w:rFonts w:hint="eastAsia" w:ascii="””Times New Roman””" w:hAnsi="宋体" w:eastAsia="仿宋_GB2312" w:cs="宋体"/>
          <w:kern w:val="0"/>
          <w:sz w:val="32"/>
          <w:szCs w:val="32"/>
          <w:highlight w:val="none"/>
        </w:rPr>
        <w:t>附件</w:t>
      </w:r>
      <w:r>
        <w:rPr>
          <w:rFonts w:ascii="Times New Roman" w:hAnsi="Times New Roman" w:eastAsia="仿宋_GB2312" w:cs="Times New Roman"/>
          <w:kern w:val="0"/>
          <w:sz w:val="32"/>
          <w:szCs w:val="32"/>
          <w:highlight w:val="none"/>
        </w:rPr>
        <w:t>2</w:t>
      </w:r>
    </w:p>
    <w:p>
      <w:pPr>
        <w:pStyle w:val="7"/>
        <w:shd w:val="clear" w:color="auto" w:fill="FFFFFF"/>
        <w:spacing w:before="120" w:beforeAutospacing="0" w:after="0" w:afterAutospacing="0" w:line="444" w:lineRule="atLeast"/>
        <w:ind w:firstLine="420"/>
        <w:jc w:val="center"/>
        <w:rPr>
          <w:rFonts w:ascii="微软雅黑" w:hAnsi="微软雅黑" w:eastAsia="微软雅黑" w:cs="微软雅黑"/>
          <w:color w:val="333333"/>
          <w:sz w:val="21"/>
          <w:szCs w:val="21"/>
          <w:highlight w:val="none"/>
        </w:rPr>
      </w:pPr>
      <w:r>
        <w:rPr>
          <w:rStyle w:val="11"/>
          <w:rFonts w:hint="eastAsia" w:ascii="微软雅黑" w:hAnsi="微软雅黑" w:eastAsia="微软雅黑" w:cs="微软雅黑"/>
          <w:i w:val="0"/>
          <w:color w:val="333333"/>
          <w:sz w:val="34"/>
          <w:szCs w:val="34"/>
          <w:highlight w:val="none"/>
          <w:shd w:val="clear" w:color="auto" w:fill="FFFFFF"/>
        </w:rPr>
        <w:t>职业健康专家工作评价打分表</w:t>
      </w:r>
    </w:p>
    <w:p>
      <w:pPr>
        <w:pStyle w:val="7"/>
        <w:widowControl w:val="0"/>
        <w:shd w:val="clear" w:color="auto" w:fill="FFFFFF"/>
        <w:spacing w:before="0" w:beforeAutospacing="0" w:after="0" w:afterAutospacing="0" w:line="364" w:lineRule="atLeast"/>
        <w:rPr>
          <w:rFonts w:hint="eastAsia" w:ascii="仿宋_GB2312" w:hAnsi="仿宋_GB2312" w:eastAsia="仿宋_GB2312" w:cs="仿宋_GB2312"/>
          <w:color w:val="333333"/>
          <w:sz w:val="28"/>
          <w:szCs w:val="28"/>
          <w:highlight w:val="none"/>
        </w:rPr>
      </w:pPr>
      <w:r>
        <w:rPr>
          <w:rStyle w:val="11"/>
          <w:rFonts w:hint="eastAsia" w:ascii="仿宋_GB2312" w:hAnsi="仿宋_GB2312" w:eastAsia="仿宋_GB2312" w:cs="仿宋_GB2312"/>
          <w:i w:val="0"/>
          <w:color w:val="333333"/>
          <w:sz w:val="28"/>
          <w:szCs w:val="28"/>
          <w:highlight w:val="none"/>
          <w:shd w:val="clear" w:color="auto" w:fill="FFFFFF"/>
        </w:rPr>
        <w:t>工作事项名称：</w:t>
      </w:r>
    </w:p>
    <w:p>
      <w:pPr>
        <w:pStyle w:val="7"/>
        <w:widowControl w:val="0"/>
        <w:shd w:val="clear" w:color="auto" w:fill="FFFFFF"/>
        <w:spacing w:before="0" w:beforeAutospacing="0" w:after="0" w:afterAutospacing="0" w:line="364" w:lineRule="atLeast"/>
        <w:rPr>
          <w:rFonts w:hint="eastAsia" w:ascii="仿宋_GB2312" w:hAnsi="仿宋_GB2312" w:eastAsia="仿宋_GB2312" w:cs="仿宋_GB2312"/>
          <w:color w:val="333333"/>
          <w:sz w:val="28"/>
          <w:szCs w:val="28"/>
          <w:highlight w:val="none"/>
        </w:rPr>
      </w:pPr>
      <w:r>
        <w:rPr>
          <w:rStyle w:val="11"/>
          <w:rFonts w:hint="eastAsia" w:ascii="仿宋_GB2312" w:hAnsi="仿宋_GB2312" w:eastAsia="仿宋_GB2312" w:cs="仿宋_GB2312"/>
          <w:i w:val="0"/>
          <w:color w:val="333333"/>
          <w:sz w:val="28"/>
          <w:szCs w:val="28"/>
          <w:highlight w:val="none"/>
          <w:shd w:val="clear" w:color="auto" w:fill="FFFFFF"/>
        </w:rPr>
        <w:t>评价单位：                                                评价人：</w:t>
      </w:r>
    </w:p>
    <w:p>
      <w:pPr>
        <w:pStyle w:val="7"/>
        <w:widowControl w:val="0"/>
        <w:shd w:val="clear" w:color="auto" w:fill="FFFFFF"/>
        <w:spacing w:before="0" w:beforeAutospacing="0" w:after="0" w:afterAutospacing="0" w:line="364" w:lineRule="atLeast"/>
        <w:rPr>
          <w:rFonts w:hint="eastAsia" w:ascii="仿宋_GB2312" w:hAnsi="仿宋_GB2312" w:eastAsia="仿宋_GB2312" w:cs="仿宋_GB2312"/>
          <w:color w:val="333333"/>
          <w:sz w:val="28"/>
          <w:szCs w:val="28"/>
          <w:highlight w:val="none"/>
        </w:rPr>
      </w:pPr>
      <w:r>
        <w:rPr>
          <w:rStyle w:val="11"/>
          <w:rFonts w:hint="eastAsia" w:ascii="仿宋_GB2312" w:hAnsi="仿宋_GB2312" w:eastAsia="仿宋_GB2312" w:cs="仿宋_GB2312"/>
          <w:i w:val="0"/>
          <w:color w:val="333333"/>
          <w:sz w:val="28"/>
          <w:szCs w:val="28"/>
          <w:highlight w:val="none"/>
          <w:shd w:val="clear" w:color="auto" w:fill="FFFFFF"/>
        </w:rPr>
        <w:t>被评价专家：                                     评价时间：         年</w:t>
      </w:r>
      <w:r>
        <w:rPr>
          <w:rFonts w:hint="eastAsia" w:ascii="仿宋_GB2312" w:hAnsi="仿宋_GB2312" w:eastAsia="仿宋_GB2312" w:cs="仿宋_GB2312"/>
          <w:color w:val="333333"/>
          <w:sz w:val="28"/>
          <w:szCs w:val="28"/>
          <w:highlight w:val="none"/>
          <w:shd w:val="clear" w:color="auto" w:fill="FFFFFF"/>
        </w:rPr>
        <w:t>    </w:t>
      </w:r>
      <w:r>
        <w:rPr>
          <w:rStyle w:val="11"/>
          <w:rFonts w:hint="eastAsia" w:ascii="仿宋_GB2312" w:hAnsi="仿宋_GB2312" w:eastAsia="仿宋_GB2312" w:cs="仿宋_GB2312"/>
          <w:i w:val="0"/>
          <w:color w:val="333333"/>
          <w:sz w:val="28"/>
          <w:szCs w:val="28"/>
          <w:highlight w:val="none"/>
          <w:shd w:val="clear" w:color="auto" w:fill="FFFFFF"/>
        </w:rPr>
        <w:t>月</w:t>
      </w:r>
      <w:r>
        <w:rPr>
          <w:rFonts w:hint="eastAsia" w:ascii="仿宋_GB2312" w:hAnsi="仿宋_GB2312" w:eastAsia="仿宋_GB2312" w:cs="仿宋_GB2312"/>
          <w:color w:val="333333"/>
          <w:sz w:val="28"/>
          <w:szCs w:val="28"/>
          <w:highlight w:val="none"/>
          <w:shd w:val="clear" w:color="auto" w:fill="FFFFFF"/>
        </w:rPr>
        <w:t>    </w:t>
      </w:r>
      <w:r>
        <w:rPr>
          <w:rStyle w:val="11"/>
          <w:rFonts w:hint="eastAsia" w:ascii="仿宋_GB2312" w:hAnsi="仿宋_GB2312" w:eastAsia="仿宋_GB2312" w:cs="仿宋_GB2312"/>
          <w:i w:val="0"/>
          <w:color w:val="333333"/>
          <w:sz w:val="28"/>
          <w:szCs w:val="28"/>
          <w:highlight w:val="none"/>
          <w:shd w:val="clear" w:color="auto" w:fill="FFFFFF"/>
        </w:rPr>
        <w:t>日</w:t>
      </w:r>
    </w:p>
    <w:tbl>
      <w:tblPr>
        <w:tblStyle w:val="9"/>
        <w:tblW w:w="4998" w:type="pct"/>
        <w:tblInd w:w="0" w:type="dxa"/>
        <w:shd w:val="clear" w:color="auto" w:fill="FFFFFF"/>
        <w:tblLayout w:type="autofit"/>
        <w:tblCellMar>
          <w:top w:w="0" w:type="dxa"/>
          <w:left w:w="0" w:type="dxa"/>
          <w:bottom w:w="0" w:type="dxa"/>
          <w:right w:w="0" w:type="dxa"/>
        </w:tblCellMar>
      </w:tblPr>
      <w:tblGrid>
        <w:gridCol w:w="665"/>
        <w:gridCol w:w="1440"/>
        <w:gridCol w:w="3484"/>
        <w:gridCol w:w="4040"/>
        <w:gridCol w:w="2355"/>
        <w:gridCol w:w="1048"/>
      </w:tblGrid>
      <w:tr>
        <w:tblPrEx>
          <w:shd w:val="clear" w:color="auto" w:fill="FFFFFF"/>
          <w:tblCellMar>
            <w:top w:w="0" w:type="dxa"/>
            <w:left w:w="0" w:type="dxa"/>
            <w:bottom w:w="0" w:type="dxa"/>
            <w:right w:w="0" w:type="dxa"/>
          </w:tblCellMar>
        </w:tblPrEx>
        <w:trPr>
          <w:trHeight w:val="465" w:hRule="atLeast"/>
        </w:trPr>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方正黑体_GBK" w:hAnsi="方正黑体_GBK" w:eastAsia="方正黑体_GBK" w:cs="方正黑体_GBK"/>
                <w:color w:val="333333"/>
                <w:highlight w:val="none"/>
              </w:rPr>
            </w:pPr>
            <w:r>
              <w:rPr>
                <w:rStyle w:val="11"/>
                <w:rFonts w:hint="eastAsia" w:ascii="方正黑体_GBK" w:hAnsi="方正黑体_GBK" w:eastAsia="方正黑体_GBK" w:cs="方正黑体_GBK"/>
                <w:i w:val="0"/>
                <w:color w:val="333333"/>
                <w:highlight w:val="none"/>
              </w:rPr>
              <w:t>序号</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color w:val="333333"/>
                <w:highlight w:val="none"/>
              </w:rPr>
            </w:pPr>
            <w:r>
              <w:rPr>
                <w:rStyle w:val="11"/>
                <w:rFonts w:hint="eastAsia" w:ascii="方正黑体_GBK" w:hAnsi="方正黑体_GBK" w:eastAsia="方正黑体_GBK" w:cs="方正黑体_GBK"/>
                <w:i w:val="0"/>
                <w:color w:val="333333"/>
                <w:highlight w:val="none"/>
              </w:rPr>
              <w:t>评分项目</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color w:val="333333"/>
                <w:highlight w:val="none"/>
              </w:rPr>
            </w:pPr>
            <w:r>
              <w:rPr>
                <w:rStyle w:val="11"/>
                <w:rFonts w:hint="eastAsia" w:ascii="方正黑体_GBK" w:hAnsi="方正黑体_GBK" w:eastAsia="方正黑体_GBK" w:cs="方正黑体_GBK"/>
                <w:i w:val="0"/>
                <w:color w:val="333333"/>
                <w:highlight w:val="none"/>
              </w:rPr>
              <w:t>考评内容及标准</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color w:val="333333"/>
                <w:highlight w:val="none"/>
              </w:rPr>
            </w:pPr>
            <w:r>
              <w:rPr>
                <w:rFonts w:hint="eastAsia" w:ascii="方正黑体_GBK" w:hAnsi="方正黑体_GBK" w:eastAsia="方正黑体_GBK" w:cs="方正黑体_GBK"/>
                <w:color w:val="333333"/>
                <w:highlight w:val="none"/>
              </w:rPr>
              <w:t>评分标准</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color w:val="333333"/>
                <w:highlight w:val="none"/>
              </w:rPr>
            </w:pPr>
            <w:r>
              <w:rPr>
                <w:rFonts w:hint="eastAsia" w:ascii="方正黑体_GBK" w:hAnsi="方正黑体_GBK" w:eastAsia="方正黑体_GBK" w:cs="方正黑体_GBK"/>
                <w:color w:val="333333"/>
                <w:highlight w:val="none"/>
              </w:rPr>
              <w:t>专家表现情况</w:t>
            </w: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color w:val="333333"/>
                <w:highlight w:val="none"/>
              </w:rPr>
            </w:pPr>
            <w:r>
              <w:rPr>
                <w:rFonts w:hint="eastAsia" w:ascii="方正黑体_GBK" w:hAnsi="方正黑体_GBK" w:eastAsia="方正黑体_GBK" w:cs="方正黑体_GBK"/>
                <w:color w:val="333333"/>
                <w:highlight w:val="none"/>
              </w:rPr>
              <w:t>得分</w:t>
            </w:r>
          </w:p>
        </w:tc>
      </w:tr>
      <w:tr>
        <w:tblPrEx>
          <w:tblCellMar>
            <w:top w:w="0" w:type="dxa"/>
            <w:left w:w="0" w:type="dxa"/>
            <w:bottom w:w="0" w:type="dxa"/>
            <w:right w:w="0" w:type="dxa"/>
          </w:tblCellMar>
        </w:tblPrEx>
        <w:trPr>
          <w:trHeight w:val="1812" w:hRule="atLeast"/>
        </w:trPr>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1</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专业理论水平（20 分）</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专家具有满足其申请专业领域技术服务的理论知识，并熟悉、掌握该领域最新的政策文件和技术规范等。</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专家不掌握最新的政策文件（扣4分），不掌握最新的技术规范（扣4分），专家不具有专业领域技术服务理论知识（扣12分）。</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r>
        <w:tblPrEx>
          <w:tblCellMar>
            <w:top w:w="0" w:type="dxa"/>
            <w:left w:w="0" w:type="dxa"/>
            <w:bottom w:w="0" w:type="dxa"/>
            <w:right w:w="0" w:type="dxa"/>
          </w:tblCellMar>
        </w:tblPrEx>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2</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业务能力（20 分）</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专家能够熟悉、掌握所接受邀请的工作相关技术导则、法律法规、评审准则等要求。</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专家不熟悉技术导则（扣4分），专家不熟悉法律法规（扣4分），专家依据错误的法律法规、技术导则和评审准则出具专家意见的。（扣12分）</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r>
        <w:tblPrEx>
          <w:tblCellMar>
            <w:top w:w="0" w:type="dxa"/>
            <w:left w:w="0" w:type="dxa"/>
            <w:bottom w:w="0" w:type="dxa"/>
            <w:right w:w="0" w:type="dxa"/>
          </w:tblCellMar>
        </w:tblPrEx>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3</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工作态度（20 分）</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专家积极参与委派的各类技术支持活动，能够科学、客观、公正的出具意见。</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rPr>
              <w:t>专家无正当理由拒绝参加技术支持活动（扣12分），专家在活动中不出具个人意见的（扣4分），专家在活动中不客观、不公正</w:t>
            </w:r>
            <w:r>
              <w:rPr>
                <w:rFonts w:hint="eastAsia" w:ascii="仿宋_GB2312" w:hAnsi="仿宋_GB2312" w:eastAsia="仿宋_GB2312" w:cs="仿宋_GB2312"/>
                <w:color w:val="auto"/>
                <w:sz w:val="24"/>
                <w:szCs w:val="24"/>
                <w:highlight w:val="none"/>
                <w:shd w:val="clear" w:color="auto" w:fill="auto"/>
                <w:lang w:eastAsia="zh-CN"/>
              </w:rPr>
              <w:t>的</w:t>
            </w:r>
            <w:r>
              <w:rPr>
                <w:rFonts w:hint="eastAsia" w:ascii="仿宋_GB2312" w:hAnsi="仿宋_GB2312" w:eastAsia="仿宋_GB2312" w:cs="仿宋_GB2312"/>
                <w:color w:val="auto"/>
                <w:sz w:val="24"/>
                <w:szCs w:val="24"/>
                <w:highlight w:val="none"/>
                <w:shd w:val="clear" w:color="auto" w:fill="auto"/>
              </w:rPr>
              <w:t>（扣4分）</w:t>
            </w:r>
            <w:r>
              <w:rPr>
                <w:rFonts w:hint="eastAsia" w:ascii="仿宋_GB2312" w:hAnsi="仿宋_GB2312" w:eastAsia="仿宋_GB2312" w:cs="仿宋_GB2312"/>
                <w:color w:val="auto"/>
                <w:sz w:val="24"/>
                <w:szCs w:val="24"/>
                <w:highlight w:val="none"/>
                <w:shd w:val="clear" w:color="auto" w:fill="auto"/>
                <w:lang w:eastAsia="zh-CN"/>
              </w:rPr>
              <w:t>。</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r>
        <w:tblPrEx>
          <w:tblCellMar>
            <w:top w:w="0" w:type="dxa"/>
            <w:left w:w="0" w:type="dxa"/>
            <w:bottom w:w="0" w:type="dxa"/>
            <w:right w:w="0" w:type="dxa"/>
          </w:tblCellMar>
        </w:tblPrEx>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4</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诚信自律（20 分）</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专家参与技术审查或者咨询服务过程中，表现的诚信性和自律性情况。</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专家在不同场合发表前后不一致的观点的（扣12分），专家参加活动迟到者（扣4分），早退者（扣4分）。</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r>
        <w:tblPrEx>
          <w:tblCellMar>
            <w:top w:w="0" w:type="dxa"/>
            <w:left w:w="0" w:type="dxa"/>
            <w:bottom w:w="0" w:type="dxa"/>
            <w:right w:w="0" w:type="dxa"/>
          </w:tblCellMar>
        </w:tblPrEx>
        <w:tc>
          <w:tcPr>
            <w:tcW w:w="255"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5</w:t>
            </w:r>
          </w:p>
        </w:tc>
        <w:tc>
          <w:tcPr>
            <w:tcW w:w="55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廉洁方面（20 分）</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在规定的咨询服务费外，是否有违反廉洁纪律，以“吃、拿、卡、要、报”等方式收受好处或借机承揽业务等情况。</w:t>
            </w: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在规定的咨询服务费外，以“吃、拿、卡、要、报”等方式收受好处或借机承揽业务（扣20分）</w:t>
            </w: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r>
        <w:tblPrEx>
          <w:tblCellMar>
            <w:top w:w="0" w:type="dxa"/>
            <w:left w:w="0" w:type="dxa"/>
            <w:bottom w:w="0" w:type="dxa"/>
            <w:right w:w="0" w:type="dxa"/>
          </w:tblCellMar>
        </w:tblPrEx>
        <w:trPr>
          <w:trHeight w:val="789" w:hRule="atLeast"/>
        </w:trPr>
        <w:tc>
          <w:tcPr>
            <w:tcW w:w="807" w:type="pct"/>
            <w:gridSpan w:val="2"/>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center"/>
              <w:textAlignment w:val="auto"/>
              <w:rPr>
                <w:rFonts w:hint="eastAsia" w:ascii="仿宋_GB2312" w:hAnsi="仿宋_GB2312" w:eastAsia="仿宋_GB2312" w:cs="仿宋_GB2312"/>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合计</w:t>
            </w:r>
          </w:p>
        </w:tc>
        <w:tc>
          <w:tcPr>
            <w:tcW w:w="1336"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1549"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903"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c>
          <w:tcPr>
            <w:tcW w:w="402"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shd w:val="clear" w:color="auto" w:fill="auto"/>
              </w:rPr>
            </w:pPr>
          </w:p>
        </w:tc>
      </w:tr>
    </w:tbl>
    <w:p>
      <w:pPr>
        <w:pStyle w:val="7"/>
        <w:shd w:val="clear" w:color="auto" w:fill="FFFFFF"/>
        <w:spacing w:before="0" w:beforeAutospacing="0" w:after="0" w:afterAutospacing="0" w:line="396" w:lineRule="atLeast"/>
        <w:ind w:firstLine="516"/>
        <w:jc w:val="both"/>
        <w:rPr>
          <w:rStyle w:val="11"/>
          <w:rFonts w:hint="eastAsia" w:ascii="仿宋_GB2312" w:hAnsi="仿宋_GB2312" w:eastAsia="仿宋_GB2312" w:cs="仿宋_GB2312"/>
          <w:i w:val="0"/>
          <w:color w:val="auto"/>
          <w:highlight w:val="none"/>
          <w:shd w:val="clear" w:color="auto" w:fill="auto"/>
        </w:rPr>
      </w:pPr>
      <w:r>
        <w:rPr>
          <w:rStyle w:val="11"/>
          <w:rFonts w:hint="eastAsia" w:ascii="仿宋_GB2312" w:hAnsi="仿宋_GB2312" w:eastAsia="仿宋_GB2312" w:cs="仿宋_GB2312"/>
          <w:i w:val="0"/>
          <w:color w:val="auto"/>
          <w:highlight w:val="none"/>
          <w:shd w:val="clear" w:color="auto" w:fill="auto"/>
        </w:rPr>
        <w:t>备注：每项得分17-20分为符合，得分13-16分为比较符合，得分10-12分基本符合，得分0-10分为不符合。</w:t>
      </w:r>
    </w:p>
    <w:p>
      <w:pPr>
        <w:widowControl/>
        <w:shd w:val="clear" w:color="auto" w:fill="FFFFFF"/>
        <w:adjustRightInd w:val="0"/>
        <w:spacing w:line="560" w:lineRule="exact"/>
        <w:rPr>
          <w:rFonts w:hint="eastAsia" w:ascii="仿宋_GB2312" w:hAnsi="仿宋_GB2312" w:eastAsia="仿宋_GB2312" w:cs="仿宋_GB2312"/>
          <w:color w:val="auto"/>
          <w:kern w:val="0"/>
          <w:sz w:val="28"/>
          <w:szCs w:val="28"/>
          <w:highlight w:val="none"/>
          <w:shd w:val="clear" w:color="auto" w:fill="auto"/>
        </w:rPr>
      </w:pPr>
    </w:p>
    <w:sectPr>
      <w:pgSz w:w="16838" w:h="11906" w:orient="landscape"/>
      <w:pgMar w:top="1588" w:right="2041" w:bottom="1588" w:left="192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Times New Roman””">
    <w:altName w:val="Times New Roman"/>
    <w:panose1 w:val="00000000000000000000"/>
    <w:charset w:val="86"/>
    <w:family w:val="roma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jg5YWY2MTU5OGY1ZjkyNDdjNzFlODQ2ZjBhZWYifQ=="/>
  </w:docVars>
  <w:rsids>
    <w:rsidRoot w:val="00A97135"/>
    <w:rsid w:val="00082D98"/>
    <w:rsid w:val="00086603"/>
    <w:rsid w:val="00090690"/>
    <w:rsid w:val="000A48C4"/>
    <w:rsid w:val="000B2785"/>
    <w:rsid w:val="00104DDB"/>
    <w:rsid w:val="0011299A"/>
    <w:rsid w:val="00116F78"/>
    <w:rsid w:val="0012477F"/>
    <w:rsid w:val="001305B9"/>
    <w:rsid w:val="0013438E"/>
    <w:rsid w:val="00161686"/>
    <w:rsid w:val="00162CF3"/>
    <w:rsid w:val="00183426"/>
    <w:rsid w:val="00196863"/>
    <w:rsid w:val="001B33E3"/>
    <w:rsid w:val="001D6ED6"/>
    <w:rsid w:val="00226013"/>
    <w:rsid w:val="002261B0"/>
    <w:rsid w:val="00243E5C"/>
    <w:rsid w:val="002A0133"/>
    <w:rsid w:val="002C43CF"/>
    <w:rsid w:val="002D7267"/>
    <w:rsid w:val="002F3ECC"/>
    <w:rsid w:val="00305EAF"/>
    <w:rsid w:val="003367F3"/>
    <w:rsid w:val="0037508C"/>
    <w:rsid w:val="00375ABA"/>
    <w:rsid w:val="003979E2"/>
    <w:rsid w:val="003C3524"/>
    <w:rsid w:val="003E4B2F"/>
    <w:rsid w:val="003F01DB"/>
    <w:rsid w:val="00422ED0"/>
    <w:rsid w:val="00430A4B"/>
    <w:rsid w:val="0044079D"/>
    <w:rsid w:val="00441D8C"/>
    <w:rsid w:val="00457069"/>
    <w:rsid w:val="004725E2"/>
    <w:rsid w:val="00491578"/>
    <w:rsid w:val="004A1CDE"/>
    <w:rsid w:val="004C0AD8"/>
    <w:rsid w:val="004C6DDA"/>
    <w:rsid w:val="004E45C1"/>
    <w:rsid w:val="004E6D5A"/>
    <w:rsid w:val="004F1E00"/>
    <w:rsid w:val="0050409F"/>
    <w:rsid w:val="005324BE"/>
    <w:rsid w:val="00553894"/>
    <w:rsid w:val="0057284A"/>
    <w:rsid w:val="00577C5C"/>
    <w:rsid w:val="005964DB"/>
    <w:rsid w:val="005A6B61"/>
    <w:rsid w:val="005D6D58"/>
    <w:rsid w:val="00627ACE"/>
    <w:rsid w:val="00643012"/>
    <w:rsid w:val="00663A87"/>
    <w:rsid w:val="00680A8C"/>
    <w:rsid w:val="006953BC"/>
    <w:rsid w:val="006975D3"/>
    <w:rsid w:val="006B0277"/>
    <w:rsid w:val="006B6DA0"/>
    <w:rsid w:val="006C23ED"/>
    <w:rsid w:val="007010FF"/>
    <w:rsid w:val="007231C5"/>
    <w:rsid w:val="00732247"/>
    <w:rsid w:val="00735D01"/>
    <w:rsid w:val="0074722E"/>
    <w:rsid w:val="00763C5B"/>
    <w:rsid w:val="007953C4"/>
    <w:rsid w:val="007C66B2"/>
    <w:rsid w:val="008007FB"/>
    <w:rsid w:val="0080228A"/>
    <w:rsid w:val="00807E91"/>
    <w:rsid w:val="008140BB"/>
    <w:rsid w:val="00814EE9"/>
    <w:rsid w:val="00830B13"/>
    <w:rsid w:val="0083629A"/>
    <w:rsid w:val="00840FEF"/>
    <w:rsid w:val="00886C41"/>
    <w:rsid w:val="00894BA3"/>
    <w:rsid w:val="008A7180"/>
    <w:rsid w:val="008B20FE"/>
    <w:rsid w:val="008C168D"/>
    <w:rsid w:val="008D490D"/>
    <w:rsid w:val="008E7C54"/>
    <w:rsid w:val="00916DF3"/>
    <w:rsid w:val="009306BB"/>
    <w:rsid w:val="009414E9"/>
    <w:rsid w:val="0096387E"/>
    <w:rsid w:val="00963C19"/>
    <w:rsid w:val="009946C3"/>
    <w:rsid w:val="00995EDD"/>
    <w:rsid w:val="009B3D19"/>
    <w:rsid w:val="009E040C"/>
    <w:rsid w:val="009E6472"/>
    <w:rsid w:val="009E6CEB"/>
    <w:rsid w:val="00A029BF"/>
    <w:rsid w:val="00A15E52"/>
    <w:rsid w:val="00A15F81"/>
    <w:rsid w:val="00A27473"/>
    <w:rsid w:val="00A46BBC"/>
    <w:rsid w:val="00A567E0"/>
    <w:rsid w:val="00A61CEB"/>
    <w:rsid w:val="00A84D08"/>
    <w:rsid w:val="00A97135"/>
    <w:rsid w:val="00AA04CD"/>
    <w:rsid w:val="00AA4279"/>
    <w:rsid w:val="00AB0786"/>
    <w:rsid w:val="00AC07BE"/>
    <w:rsid w:val="00AC560F"/>
    <w:rsid w:val="00AD3B17"/>
    <w:rsid w:val="00AE394A"/>
    <w:rsid w:val="00AF458B"/>
    <w:rsid w:val="00B11934"/>
    <w:rsid w:val="00B1309C"/>
    <w:rsid w:val="00B16740"/>
    <w:rsid w:val="00B33866"/>
    <w:rsid w:val="00B36A9B"/>
    <w:rsid w:val="00B41544"/>
    <w:rsid w:val="00B50177"/>
    <w:rsid w:val="00B54D6C"/>
    <w:rsid w:val="00B61F3C"/>
    <w:rsid w:val="00B66105"/>
    <w:rsid w:val="00B7715E"/>
    <w:rsid w:val="00B864D4"/>
    <w:rsid w:val="00BC5CF9"/>
    <w:rsid w:val="00BD31B7"/>
    <w:rsid w:val="00BD4A95"/>
    <w:rsid w:val="00C060F7"/>
    <w:rsid w:val="00C15B47"/>
    <w:rsid w:val="00C4496F"/>
    <w:rsid w:val="00C75ED2"/>
    <w:rsid w:val="00C8138F"/>
    <w:rsid w:val="00C8641D"/>
    <w:rsid w:val="00C86BB4"/>
    <w:rsid w:val="00CC26DC"/>
    <w:rsid w:val="00CC3F80"/>
    <w:rsid w:val="00CD1665"/>
    <w:rsid w:val="00CE082A"/>
    <w:rsid w:val="00CF67CC"/>
    <w:rsid w:val="00D03400"/>
    <w:rsid w:val="00D118B8"/>
    <w:rsid w:val="00D12978"/>
    <w:rsid w:val="00D12A40"/>
    <w:rsid w:val="00D4767C"/>
    <w:rsid w:val="00D56F8B"/>
    <w:rsid w:val="00D6001C"/>
    <w:rsid w:val="00D60D71"/>
    <w:rsid w:val="00D92C20"/>
    <w:rsid w:val="00DA2652"/>
    <w:rsid w:val="00DB0245"/>
    <w:rsid w:val="00DC64E8"/>
    <w:rsid w:val="00DC6ED3"/>
    <w:rsid w:val="00DC7075"/>
    <w:rsid w:val="00DF788D"/>
    <w:rsid w:val="00E02423"/>
    <w:rsid w:val="00E13102"/>
    <w:rsid w:val="00E2059C"/>
    <w:rsid w:val="00E3499C"/>
    <w:rsid w:val="00E522F3"/>
    <w:rsid w:val="00E724E2"/>
    <w:rsid w:val="00E81150"/>
    <w:rsid w:val="00E839B5"/>
    <w:rsid w:val="00E91FB4"/>
    <w:rsid w:val="00E960BF"/>
    <w:rsid w:val="00EA5CD4"/>
    <w:rsid w:val="00EB0F59"/>
    <w:rsid w:val="00EB466C"/>
    <w:rsid w:val="00EC51B4"/>
    <w:rsid w:val="00ED53F4"/>
    <w:rsid w:val="00EE24C5"/>
    <w:rsid w:val="00EE794C"/>
    <w:rsid w:val="00EF604B"/>
    <w:rsid w:val="00F07159"/>
    <w:rsid w:val="00F1231A"/>
    <w:rsid w:val="00F300C2"/>
    <w:rsid w:val="00F3033A"/>
    <w:rsid w:val="00F3127B"/>
    <w:rsid w:val="00F36744"/>
    <w:rsid w:val="00F5122D"/>
    <w:rsid w:val="00F55E0E"/>
    <w:rsid w:val="00F63F1F"/>
    <w:rsid w:val="00F9358B"/>
    <w:rsid w:val="00F95FEC"/>
    <w:rsid w:val="00FA3434"/>
    <w:rsid w:val="00FC7752"/>
    <w:rsid w:val="00FE1370"/>
    <w:rsid w:val="00FF55FD"/>
    <w:rsid w:val="019B1886"/>
    <w:rsid w:val="01B97F5E"/>
    <w:rsid w:val="02830CB2"/>
    <w:rsid w:val="03764359"/>
    <w:rsid w:val="056B77C2"/>
    <w:rsid w:val="0696261C"/>
    <w:rsid w:val="07607F12"/>
    <w:rsid w:val="0A7809B7"/>
    <w:rsid w:val="0B0E781A"/>
    <w:rsid w:val="0BED2CDE"/>
    <w:rsid w:val="0CBA12FE"/>
    <w:rsid w:val="0E1C297E"/>
    <w:rsid w:val="0E653000"/>
    <w:rsid w:val="0F220EF1"/>
    <w:rsid w:val="102E1B18"/>
    <w:rsid w:val="106D32AB"/>
    <w:rsid w:val="109F0700"/>
    <w:rsid w:val="11FC1ECD"/>
    <w:rsid w:val="13763F01"/>
    <w:rsid w:val="147246C9"/>
    <w:rsid w:val="14CF1B1B"/>
    <w:rsid w:val="169928AC"/>
    <w:rsid w:val="17FF51F0"/>
    <w:rsid w:val="1D403128"/>
    <w:rsid w:val="1D530A41"/>
    <w:rsid w:val="1E4A0464"/>
    <w:rsid w:val="1E4C0F12"/>
    <w:rsid w:val="1FFB17F5"/>
    <w:rsid w:val="201E1C07"/>
    <w:rsid w:val="20380B7A"/>
    <w:rsid w:val="20803CC9"/>
    <w:rsid w:val="20E95D13"/>
    <w:rsid w:val="213B08E1"/>
    <w:rsid w:val="21780E44"/>
    <w:rsid w:val="21815F4B"/>
    <w:rsid w:val="2452597D"/>
    <w:rsid w:val="24DC25D2"/>
    <w:rsid w:val="2561056D"/>
    <w:rsid w:val="27FF233B"/>
    <w:rsid w:val="29000A4D"/>
    <w:rsid w:val="2A5E32CD"/>
    <w:rsid w:val="2B6C5576"/>
    <w:rsid w:val="2B7D6630"/>
    <w:rsid w:val="2DE27AC2"/>
    <w:rsid w:val="2E5FBE81"/>
    <w:rsid w:val="2EF0181A"/>
    <w:rsid w:val="2F401A78"/>
    <w:rsid w:val="2F911D08"/>
    <w:rsid w:val="2FBE66E4"/>
    <w:rsid w:val="30A6777C"/>
    <w:rsid w:val="30FC739C"/>
    <w:rsid w:val="316B62D0"/>
    <w:rsid w:val="31B17667"/>
    <w:rsid w:val="33AE5E2C"/>
    <w:rsid w:val="33B17484"/>
    <w:rsid w:val="340F388A"/>
    <w:rsid w:val="359C0C08"/>
    <w:rsid w:val="376257C3"/>
    <w:rsid w:val="37D7D23D"/>
    <w:rsid w:val="39AA58F8"/>
    <w:rsid w:val="3B7E5EF0"/>
    <w:rsid w:val="3BB84807"/>
    <w:rsid w:val="3BCFF007"/>
    <w:rsid w:val="3C85293C"/>
    <w:rsid w:val="3D0117B8"/>
    <w:rsid w:val="3D954E00"/>
    <w:rsid w:val="3DD47ADC"/>
    <w:rsid w:val="3DE10046"/>
    <w:rsid w:val="3FDE5AC0"/>
    <w:rsid w:val="40AD48E9"/>
    <w:rsid w:val="410013EE"/>
    <w:rsid w:val="413E0244"/>
    <w:rsid w:val="419B050B"/>
    <w:rsid w:val="41A73AA2"/>
    <w:rsid w:val="41CE4490"/>
    <w:rsid w:val="4489315A"/>
    <w:rsid w:val="44906321"/>
    <w:rsid w:val="455C4456"/>
    <w:rsid w:val="460C7C2A"/>
    <w:rsid w:val="46805690"/>
    <w:rsid w:val="4812704D"/>
    <w:rsid w:val="48B475E0"/>
    <w:rsid w:val="49B34FFC"/>
    <w:rsid w:val="4CC92EED"/>
    <w:rsid w:val="4DA90454"/>
    <w:rsid w:val="4E3B5550"/>
    <w:rsid w:val="4E5401B4"/>
    <w:rsid w:val="4EB8094F"/>
    <w:rsid w:val="4FB05ACA"/>
    <w:rsid w:val="515C37CB"/>
    <w:rsid w:val="517336E6"/>
    <w:rsid w:val="519D207E"/>
    <w:rsid w:val="51F93AD8"/>
    <w:rsid w:val="52285DEB"/>
    <w:rsid w:val="522D1654"/>
    <w:rsid w:val="524751DF"/>
    <w:rsid w:val="542720D3"/>
    <w:rsid w:val="54705828"/>
    <w:rsid w:val="54B03E76"/>
    <w:rsid w:val="54C6369A"/>
    <w:rsid w:val="56EF6ED8"/>
    <w:rsid w:val="57B43C7D"/>
    <w:rsid w:val="58445001"/>
    <w:rsid w:val="589D4399"/>
    <w:rsid w:val="597C6A1D"/>
    <w:rsid w:val="5AF32D0E"/>
    <w:rsid w:val="5B6F71B9"/>
    <w:rsid w:val="5C7B120D"/>
    <w:rsid w:val="5C8C6F77"/>
    <w:rsid w:val="5D5FA7E5"/>
    <w:rsid w:val="5E827D40"/>
    <w:rsid w:val="5EF3152F"/>
    <w:rsid w:val="5F77CC8A"/>
    <w:rsid w:val="5F7F6A27"/>
    <w:rsid w:val="5FFE2A14"/>
    <w:rsid w:val="600B4B3D"/>
    <w:rsid w:val="60F82E2D"/>
    <w:rsid w:val="61FC8493"/>
    <w:rsid w:val="63736030"/>
    <w:rsid w:val="6457607A"/>
    <w:rsid w:val="654E5711"/>
    <w:rsid w:val="65B2A589"/>
    <w:rsid w:val="669047B5"/>
    <w:rsid w:val="66DF3F3C"/>
    <w:rsid w:val="67753429"/>
    <w:rsid w:val="683C3F47"/>
    <w:rsid w:val="69FE35B6"/>
    <w:rsid w:val="6A05231D"/>
    <w:rsid w:val="6A346265"/>
    <w:rsid w:val="6BED6C25"/>
    <w:rsid w:val="6CAC766A"/>
    <w:rsid w:val="6CFB6FD1"/>
    <w:rsid w:val="6E79323A"/>
    <w:rsid w:val="6EF4F082"/>
    <w:rsid w:val="70207CAA"/>
    <w:rsid w:val="71285AAC"/>
    <w:rsid w:val="71B64265"/>
    <w:rsid w:val="731C4C68"/>
    <w:rsid w:val="73796DEF"/>
    <w:rsid w:val="73B250BD"/>
    <w:rsid w:val="7453025D"/>
    <w:rsid w:val="75166C3E"/>
    <w:rsid w:val="754B57C9"/>
    <w:rsid w:val="758D64C6"/>
    <w:rsid w:val="75BB402E"/>
    <w:rsid w:val="77F58AFA"/>
    <w:rsid w:val="79B7DA93"/>
    <w:rsid w:val="7A4F7B0A"/>
    <w:rsid w:val="7B6F0F8B"/>
    <w:rsid w:val="7BB5E098"/>
    <w:rsid w:val="7C1728A9"/>
    <w:rsid w:val="7C8021FC"/>
    <w:rsid w:val="7CF132CE"/>
    <w:rsid w:val="7D17EFCA"/>
    <w:rsid w:val="7D1E3A13"/>
    <w:rsid w:val="7D8948E1"/>
    <w:rsid w:val="7DAE190B"/>
    <w:rsid w:val="7DE7965B"/>
    <w:rsid w:val="7E573431"/>
    <w:rsid w:val="7E85654A"/>
    <w:rsid w:val="7EEFAAAF"/>
    <w:rsid w:val="7F3E1778"/>
    <w:rsid w:val="7F3FB1EC"/>
    <w:rsid w:val="7F7CB83B"/>
    <w:rsid w:val="7FCA19E0"/>
    <w:rsid w:val="7FEF9465"/>
    <w:rsid w:val="AEEF2103"/>
    <w:rsid w:val="AFF7AC2F"/>
    <w:rsid w:val="BB5F12C9"/>
    <w:rsid w:val="BE7EA206"/>
    <w:rsid w:val="CB425680"/>
    <w:rsid w:val="CF47E7F4"/>
    <w:rsid w:val="D7A5DC8A"/>
    <w:rsid w:val="DFFF3E81"/>
    <w:rsid w:val="E57E15D2"/>
    <w:rsid w:val="EAFE3E08"/>
    <w:rsid w:val="EF7D4144"/>
    <w:rsid w:val="EF7DD037"/>
    <w:rsid w:val="EF7FFFC0"/>
    <w:rsid w:val="F1AED4D7"/>
    <w:rsid w:val="F2EF51D4"/>
    <w:rsid w:val="F3BBB61F"/>
    <w:rsid w:val="F3F7AED9"/>
    <w:rsid w:val="F3F9D290"/>
    <w:rsid w:val="F55CBC64"/>
    <w:rsid w:val="F57A4146"/>
    <w:rsid w:val="F7B7BF52"/>
    <w:rsid w:val="F965082C"/>
    <w:rsid w:val="FAFFA705"/>
    <w:rsid w:val="FB9E8454"/>
    <w:rsid w:val="FBDF8084"/>
    <w:rsid w:val="FBFB1310"/>
    <w:rsid w:val="FBFF318C"/>
    <w:rsid w:val="FF7F1CB0"/>
    <w:rsid w:val="FFF62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仿宋_GB2312" w:cs="Calibri"/>
      <w:sz w:val="32"/>
      <w:szCs w:val="32"/>
    </w:rPr>
  </w:style>
  <w:style w:type="paragraph" w:styleId="3">
    <w:name w:val="annotation text"/>
    <w:basedOn w:val="1"/>
    <w:link w:val="21"/>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2"/>
    <w:semiHidden/>
    <w:unhideWhenUsed/>
    <w:qFormat/>
    <w:uiPriority w:val="99"/>
    <w:rPr>
      <w:b/>
      <w:bCs/>
    </w:r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customStyle="1" w:styleId="14">
    <w:name w:val="正文首行缩进 21"/>
    <w:basedOn w:val="15"/>
    <w:qFormat/>
    <w:uiPriority w:val="0"/>
    <w:pPr>
      <w:ind w:firstLine="420" w:firstLineChars="200"/>
    </w:pPr>
  </w:style>
  <w:style w:type="paragraph" w:customStyle="1" w:styleId="15">
    <w:name w:val="正文文本缩进1"/>
    <w:basedOn w:val="1"/>
    <w:qFormat/>
    <w:uiPriority w:val="0"/>
    <w:pPr>
      <w:ind w:left="420" w:leftChars="200"/>
    </w:pPr>
    <w:rPr>
      <w:rFonts w:ascii="Times New Roman" w:hAnsi="Times New Roman" w:eastAsia="仿宋_GB2312"/>
      <w:sz w:val="32"/>
      <w:szCs w:val="24"/>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ody text|1"/>
    <w:basedOn w:val="1"/>
    <w:qFormat/>
    <w:uiPriority w:val="0"/>
    <w:pPr>
      <w:spacing w:line="377" w:lineRule="auto"/>
      <w:ind w:firstLine="400"/>
    </w:pPr>
    <w:rPr>
      <w:rFonts w:ascii="宋体" w:hAnsi="宋体" w:eastAsia="宋体" w:cs="宋体"/>
      <w:sz w:val="30"/>
      <w:szCs w:val="30"/>
      <w:lang w:val="zh-TW" w:eastAsia="zh-TW" w:bidi="zh-TW"/>
    </w:rPr>
  </w:style>
  <w:style w:type="character" w:customStyle="1" w:styleId="20">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21">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981</Words>
  <Characters>5595</Characters>
  <Lines>46</Lines>
  <Paragraphs>13</Paragraphs>
  <TotalTime>21</TotalTime>
  <ScaleCrop>false</ScaleCrop>
  <LinksUpToDate>false</LinksUpToDate>
  <CharactersWithSpaces>6563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2023-07-12T21:21:00Z</dcterms:created>
  <dc:creator>NTKO</dc:creator>
  <cp:lastModifiedBy>ahwjw040</cp:lastModifiedBy>
  <dcterms:modified xsi:type="dcterms:W3CDTF">2023-07-17T15:08:24Z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6B2C7DF7AE154A72B23DD5FC0219309D_12</vt:lpwstr>
  </property>
</Properties>
</file>