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293" w:rsidRDefault="00472293" w:rsidP="00472293">
      <w:pPr>
        <w:rPr>
          <w:rFonts w:ascii="黑体" w:eastAsia="黑体" w:hAnsi="黑体" w:cs="黑体" w:hint="eastAsia"/>
          <w:sz w:val="32"/>
          <w:szCs w:val="32"/>
        </w:rPr>
      </w:pPr>
    </w:p>
    <w:p w:rsidR="00472293" w:rsidRDefault="00472293" w:rsidP="00472293">
      <w:pPr>
        <w:jc w:val="center"/>
        <w:rPr>
          <w:rFonts w:hint="eastAsia"/>
          <w:sz w:val="32"/>
          <w:szCs w:val="32"/>
          <w:lang w:val="en-US" w:eastAsia="zh-CN"/>
        </w:rPr>
      </w:pPr>
      <w:r>
        <w:rPr>
          <w:rFonts w:ascii="方正小标宋_GBK" w:eastAsia="方正小标宋_GBK" w:hAnsi="方正小标宋_GBK" w:cs="方正小标宋_GBK" w:hint="eastAsia"/>
          <w:bCs/>
          <w:sz w:val="40"/>
          <w:szCs w:val="40"/>
        </w:rPr>
        <w:t>内蒙古自治区癌痛规范化诊疗质量控制评价细则（2023年</w:t>
      </w:r>
      <w:r>
        <w:rPr>
          <w:rFonts w:ascii="方正小标宋_GBK" w:eastAsia="方正小标宋_GBK" w:hAnsi="方正小标宋_GBK" w:cs="方正小标宋_GBK" w:hint="eastAsia"/>
          <w:bCs/>
          <w:color w:val="000000"/>
          <w:sz w:val="40"/>
          <w:szCs w:val="40"/>
        </w:rPr>
        <w:t>版</w:t>
      </w:r>
      <w:r>
        <w:rPr>
          <w:rFonts w:ascii="方正小标宋_GBK" w:eastAsia="方正小标宋_GBK" w:hAnsi="方正小标宋_GBK" w:cs="方正小标宋_GBK" w:hint="eastAsia"/>
          <w:bCs/>
          <w:sz w:val="40"/>
          <w:szCs w:val="40"/>
        </w:rPr>
        <w:t>）</w:t>
      </w:r>
    </w:p>
    <w:tbl>
      <w:tblPr>
        <w:tblW w:w="13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1247"/>
        <w:gridCol w:w="2064"/>
        <w:gridCol w:w="2878"/>
        <w:gridCol w:w="688"/>
        <w:gridCol w:w="1301"/>
        <w:gridCol w:w="4113"/>
      </w:tblGrid>
      <w:tr w:rsidR="00472293" w:rsidTr="00345746">
        <w:trPr>
          <w:trHeight w:val="476"/>
          <w:tblHeader/>
          <w:jc w:val="center"/>
        </w:trPr>
        <w:tc>
          <w:tcPr>
            <w:tcW w:w="1107" w:type="dxa"/>
            <w:vAlign w:val="center"/>
          </w:tcPr>
          <w:p w:rsidR="00472293" w:rsidRDefault="00472293" w:rsidP="00345746">
            <w:pPr>
              <w:jc w:val="center"/>
              <w:rPr>
                <w:rFonts w:ascii="黑体" w:eastAsia="黑体" w:hAnsi="黑体" w:cs="黑体" w:hint="eastAsia"/>
                <w:szCs w:val="21"/>
              </w:rPr>
            </w:pPr>
            <w:r>
              <w:rPr>
                <w:rFonts w:ascii="黑体" w:eastAsia="黑体" w:hAnsi="黑体" w:cs="黑体" w:hint="eastAsia"/>
                <w:szCs w:val="21"/>
              </w:rPr>
              <w:t>内容</w:t>
            </w:r>
          </w:p>
        </w:tc>
        <w:tc>
          <w:tcPr>
            <w:tcW w:w="1247" w:type="dxa"/>
            <w:vAlign w:val="center"/>
          </w:tcPr>
          <w:p w:rsidR="00472293" w:rsidRDefault="00472293" w:rsidP="00345746">
            <w:pPr>
              <w:jc w:val="center"/>
              <w:rPr>
                <w:rFonts w:ascii="黑体" w:eastAsia="黑体" w:hAnsi="黑体" w:cs="黑体" w:hint="eastAsia"/>
                <w:szCs w:val="21"/>
              </w:rPr>
            </w:pPr>
            <w:r>
              <w:rPr>
                <w:rFonts w:ascii="黑体" w:eastAsia="黑体" w:hAnsi="黑体" w:cs="黑体" w:hint="eastAsia"/>
                <w:szCs w:val="21"/>
              </w:rPr>
              <w:t>项目</w:t>
            </w:r>
          </w:p>
        </w:tc>
        <w:tc>
          <w:tcPr>
            <w:tcW w:w="4942" w:type="dxa"/>
            <w:gridSpan w:val="2"/>
            <w:vAlign w:val="center"/>
          </w:tcPr>
          <w:p w:rsidR="00472293" w:rsidRDefault="00472293" w:rsidP="00345746">
            <w:pPr>
              <w:jc w:val="center"/>
              <w:rPr>
                <w:rFonts w:ascii="黑体" w:eastAsia="黑体" w:hAnsi="黑体" w:cs="黑体" w:hint="eastAsia"/>
                <w:szCs w:val="21"/>
              </w:rPr>
            </w:pPr>
            <w:r>
              <w:rPr>
                <w:rFonts w:ascii="黑体" w:eastAsia="黑体" w:hAnsi="黑体" w:cs="黑体" w:hint="eastAsia"/>
                <w:szCs w:val="21"/>
              </w:rPr>
              <w:t>标准</w:t>
            </w:r>
          </w:p>
        </w:tc>
        <w:tc>
          <w:tcPr>
            <w:tcW w:w="688" w:type="dxa"/>
            <w:vAlign w:val="center"/>
          </w:tcPr>
          <w:p w:rsidR="00472293" w:rsidRDefault="00472293" w:rsidP="00345746">
            <w:pPr>
              <w:jc w:val="center"/>
              <w:rPr>
                <w:rFonts w:ascii="黑体" w:eastAsia="黑体" w:hAnsi="黑体" w:cs="黑体" w:hint="eastAsia"/>
                <w:szCs w:val="21"/>
              </w:rPr>
            </w:pPr>
            <w:r>
              <w:rPr>
                <w:rFonts w:ascii="黑体" w:eastAsia="黑体" w:hAnsi="黑体" w:cs="黑体" w:hint="eastAsia"/>
                <w:szCs w:val="21"/>
              </w:rPr>
              <w:t>分值</w:t>
            </w:r>
          </w:p>
        </w:tc>
        <w:tc>
          <w:tcPr>
            <w:tcW w:w="5414" w:type="dxa"/>
            <w:gridSpan w:val="2"/>
            <w:vAlign w:val="center"/>
          </w:tcPr>
          <w:p w:rsidR="00472293" w:rsidRDefault="00472293" w:rsidP="00345746">
            <w:pPr>
              <w:jc w:val="center"/>
              <w:rPr>
                <w:rFonts w:ascii="黑体" w:eastAsia="黑体" w:hAnsi="黑体" w:cs="黑体" w:hint="eastAsia"/>
                <w:szCs w:val="21"/>
              </w:rPr>
            </w:pPr>
            <w:r>
              <w:rPr>
                <w:rFonts w:ascii="黑体" w:eastAsia="黑体" w:hAnsi="黑体" w:cs="黑体" w:hint="eastAsia"/>
                <w:szCs w:val="21"/>
              </w:rPr>
              <w:t>评价方法与督导评分依据</w:t>
            </w:r>
          </w:p>
        </w:tc>
      </w:tr>
      <w:tr w:rsidR="00472293" w:rsidTr="00345746">
        <w:trPr>
          <w:trHeight w:val="846"/>
          <w:jc w:val="center"/>
        </w:trPr>
        <w:tc>
          <w:tcPr>
            <w:tcW w:w="1107" w:type="dxa"/>
            <w:vMerge w:val="restart"/>
            <w:vAlign w:val="center"/>
          </w:tcPr>
          <w:p w:rsidR="00472293" w:rsidRDefault="00472293" w:rsidP="00345746">
            <w:pPr>
              <w:jc w:val="center"/>
              <w:rPr>
                <w:rFonts w:ascii="宋体" w:hAnsi="宋体" w:cs="宋体" w:hint="eastAsia"/>
                <w:szCs w:val="21"/>
              </w:rPr>
            </w:pPr>
            <w:r>
              <w:rPr>
                <w:rFonts w:ascii="宋体" w:hAnsi="宋体" w:cs="宋体" w:hint="eastAsia"/>
                <w:szCs w:val="21"/>
              </w:rPr>
              <w:t>基础条件（10分）</w:t>
            </w: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1.专科规模</w:t>
            </w:r>
          </w:p>
          <w:p w:rsidR="00472293" w:rsidRDefault="00472293" w:rsidP="00345746">
            <w:pPr>
              <w:rPr>
                <w:rFonts w:ascii="宋体" w:hAnsi="宋体" w:cs="宋体" w:hint="eastAsia"/>
                <w:szCs w:val="21"/>
              </w:rPr>
            </w:pPr>
            <w:r>
              <w:rPr>
                <w:rFonts w:ascii="宋体" w:hAnsi="宋体" w:cs="宋体" w:hint="eastAsia"/>
                <w:szCs w:val="21"/>
              </w:rPr>
              <w:t>（6分）</w:t>
            </w:r>
          </w:p>
        </w:tc>
        <w:tc>
          <w:tcPr>
            <w:tcW w:w="2064"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临床科室设置</w:t>
            </w:r>
          </w:p>
        </w:tc>
        <w:tc>
          <w:tcPr>
            <w:tcW w:w="2878" w:type="dxa"/>
            <w:vAlign w:val="center"/>
          </w:tcPr>
          <w:p w:rsidR="00472293" w:rsidRDefault="00472293" w:rsidP="00345746">
            <w:pPr>
              <w:rPr>
                <w:rFonts w:ascii="宋体" w:hAnsi="宋体" w:cs="宋体" w:hint="eastAsia"/>
                <w:szCs w:val="21"/>
              </w:rPr>
            </w:pPr>
            <w:r>
              <w:rPr>
                <w:rFonts w:ascii="宋体" w:hAnsi="宋体" w:cs="宋体" w:hint="eastAsia"/>
                <w:szCs w:val="21"/>
              </w:rPr>
              <w:t>（1）肿瘤科</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3</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查看医院诊疗科目，实地查看。设有独立肿瘤科（住院床位数≥20张）得2分，布局不合理扣1分，每少5张住院床扣1分；每床净使用面积≥6平方米得1分（每减少1平方米扣0.2分，少于4平方米不得分）。</w:t>
            </w:r>
          </w:p>
        </w:tc>
      </w:tr>
      <w:tr w:rsidR="00472293" w:rsidTr="00345746">
        <w:trPr>
          <w:trHeight w:val="819"/>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2064" w:type="dxa"/>
            <w:vMerge/>
            <w:vAlign w:val="center"/>
          </w:tcPr>
          <w:p w:rsidR="00472293" w:rsidRDefault="00472293" w:rsidP="00345746">
            <w:pPr>
              <w:rPr>
                <w:rFonts w:ascii="宋体" w:hAnsi="宋体" w:cs="宋体" w:hint="eastAsia"/>
                <w:szCs w:val="21"/>
              </w:rPr>
            </w:pPr>
          </w:p>
        </w:tc>
        <w:tc>
          <w:tcPr>
            <w:tcW w:w="2878" w:type="dxa"/>
            <w:vAlign w:val="center"/>
          </w:tcPr>
          <w:p w:rsidR="00472293" w:rsidRDefault="00472293" w:rsidP="00345746">
            <w:pPr>
              <w:rPr>
                <w:rFonts w:ascii="宋体" w:hAnsi="宋体" w:cs="宋体" w:hint="eastAsia"/>
                <w:szCs w:val="21"/>
              </w:rPr>
            </w:pPr>
            <w:r>
              <w:rPr>
                <w:rFonts w:ascii="宋体" w:hAnsi="宋体" w:cs="宋体" w:hint="eastAsia"/>
                <w:szCs w:val="21"/>
              </w:rPr>
              <w:t>（2）疼痛科</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3</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设有疼痛科一级诊疗科目得2分，布局不合理扣1分；无疼痛科，但肿瘤科设置有相关肿瘤癌痛分组（床位总数≥3张）得2分。</w:t>
            </w:r>
          </w:p>
        </w:tc>
      </w:tr>
      <w:tr w:rsidR="00472293" w:rsidTr="00345746">
        <w:trPr>
          <w:trHeight w:val="673"/>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Align w:val="center"/>
          </w:tcPr>
          <w:p w:rsidR="00472293" w:rsidRDefault="00472293" w:rsidP="00345746">
            <w:pPr>
              <w:rPr>
                <w:rFonts w:ascii="宋体" w:hAnsi="宋体" w:cs="宋体" w:hint="eastAsia"/>
                <w:szCs w:val="21"/>
              </w:rPr>
            </w:pPr>
            <w:r>
              <w:rPr>
                <w:rFonts w:ascii="宋体" w:hAnsi="宋体" w:cs="宋体" w:hint="eastAsia"/>
                <w:szCs w:val="21"/>
              </w:rPr>
              <w:t>2.发展环境</w:t>
            </w:r>
          </w:p>
          <w:p w:rsidR="00472293" w:rsidRDefault="00472293" w:rsidP="00345746">
            <w:pPr>
              <w:rPr>
                <w:rFonts w:ascii="宋体" w:hAnsi="宋体" w:cs="宋体" w:hint="eastAsia"/>
                <w:szCs w:val="21"/>
              </w:rPr>
            </w:pPr>
            <w:r>
              <w:rPr>
                <w:rFonts w:ascii="宋体" w:hAnsi="宋体" w:cs="宋体" w:hint="eastAsia"/>
                <w:szCs w:val="21"/>
              </w:rPr>
              <w:t>（2分）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制定本院常见肿瘤（包括癌痛）诊疗规范，培训相关人员。</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有本院肿瘤（包括癌痛）诊疗规范得1分，有相关人员培训记录得1分。</w:t>
            </w:r>
          </w:p>
        </w:tc>
      </w:tr>
      <w:tr w:rsidR="00472293" w:rsidTr="00345746">
        <w:trPr>
          <w:trHeight w:val="673"/>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tcBorders>
              <w:bottom w:val="single" w:sz="4" w:space="0" w:color="auto"/>
            </w:tcBorders>
            <w:vAlign w:val="center"/>
          </w:tcPr>
          <w:p w:rsidR="00472293" w:rsidRDefault="00472293" w:rsidP="00345746">
            <w:pPr>
              <w:rPr>
                <w:rFonts w:ascii="宋体" w:hAnsi="宋体" w:cs="宋体" w:hint="eastAsia"/>
                <w:szCs w:val="21"/>
              </w:rPr>
            </w:pPr>
            <w:r>
              <w:rPr>
                <w:rFonts w:ascii="宋体" w:hAnsi="宋体" w:cs="宋体" w:hint="eastAsia"/>
                <w:szCs w:val="21"/>
              </w:rPr>
              <w:t>3.支撑条件（2分）</w:t>
            </w:r>
          </w:p>
        </w:tc>
        <w:tc>
          <w:tcPr>
            <w:tcW w:w="4942" w:type="dxa"/>
            <w:gridSpan w:val="2"/>
            <w:tcBorders>
              <w:bottom w:val="single" w:sz="4" w:space="0" w:color="auto"/>
            </w:tcBorders>
            <w:vAlign w:val="center"/>
          </w:tcPr>
          <w:p w:rsidR="00472293" w:rsidRDefault="00472293" w:rsidP="00345746">
            <w:pPr>
              <w:rPr>
                <w:rFonts w:ascii="宋体" w:hAnsi="宋体" w:cs="宋体" w:hint="eastAsia"/>
                <w:szCs w:val="21"/>
              </w:rPr>
            </w:pPr>
            <w:r>
              <w:rPr>
                <w:rFonts w:ascii="宋体" w:hAnsi="宋体" w:cs="宋体" w:hint="eastAsia"/>
                <w:szCs w:val="21"/>
              </w:rPr>
              <w:t>相关科室能够满足专科发展需求。</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设置有放射科、病理科、超声科、内镜科（室）得2分；病理科开展快速病理检查加1分；上述科室为国家重点加2分，自治区级领先重点加1分，市级领先重点学科加0.5分。</w:t>
            </w:r>
          </w:p>
        </w:tc>
      </w:tr>
      <w:tr w:rsidR="00472293" w:rsidTr="00345746">
        <w:trPr>
          <w:trHeight w:val="252"/>
          <w:jc w:val="center"/>
        </w:trPr>
        <w:tc>
          <w:tcPr>
            <w:tcW w:w="2354" w:type="dxa"/>
            <w:gridSpan w:val="2"/>
            <w:vMerge w:val="restart"/>
            <w:vAlign w:val="center"/>
          </w:tcPr>
          <w:p w:rsidR="00472293" w:rsidRDefault="00472293" w:rsidP="00345746">
            <w:pPr>
              <w:jc w:val="center"/>
              <w:rPr>
                <w:rFonts w:ascii="宋体" w:hAnsi="宋体" w:cs="宋体" w:hint="eastAsia"/>
                <w:szCs w:val="21"/>
              </w:rPr>
            </w:pPr>
            <w:r>
              <w:rPr>
                <w:rFonts w:ascii="宋体" w:hAnsi="宋体" w:cs="宋体" w:hint="eastAsia"/>
                <w:szCs w:val="21"/>
              </w:rPr>
              <w:t>医疗技术队伍（4分）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整体实力</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医护人员形成技术团队，处理疑难重症能力强得1分；各级医师能够掌握相应技术得1分。</w:t>
            </w:r>
          </w:p>
        </w:tc>
      </w:tr>
      <w:tr w:rsidR="00472293" w:rsidTr="00345746">
        <w:trPr>
          <w:trHeight w:val="545"/>
          <w:jc w:val="center"/>
        </w:trPr>
        <w:tc>
          <w:tcPr>
            <w:tcW w:w="2354" w:type="dxa"/>
            <w:gridSpan w:val="2"/>
            <w:vMerge/>
            <w:vAlign w:val="center"/>
          </w:tcPr>
          <w:p w:rsidR="00472293" w:rsidRDefault="00472293" w:rsidP="00345746">
            <w:pPr>
              <w:jc w:val="cente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人员数量、年龄结构、学历结构、职称结构合理：床护比不低于1:0.4，床医比1:0.28；年龄结构可保持持续发展；医师硕、博士比例≥30%；医师高中初职称比例3:4:3,可上下浮动10%。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1项不符合标准扣0.5分。</w:t>
            </w:r>
          </w:p>
        </w:tc>
      </w:tr>
      <w:tr w:rsidR="00472293" w:rsidTr="00345746">
        <w:trPr>
          <w:trHeight w:hRule="exact" w:val="454"/>
          <w:jc w:val="center"/>
        </w:trPr>
        <w:tc>
          <w:tcPr>
            <w:tcW w:w="2354" w:type="dxa"/>
            <w:gridSpan w:val="2"/>
            <w:vMerge/>
            <w:vAlign w:val="center"/>
          </w:tcPr>
          <w:p w:rsidR="00472293" w:rsidRDefault="00472293" w:rsidP="00345746">
            <w:pPr>
              <w:jc w:val="cente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科主任</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副高及以上专业技术职称得1分。</w:t>
            </w:r>
          </w:p>
        </w:tc>
      </w:tr>
      <w:tr w:rsidR="00472293" w:rsidTr="00345746">
        <w:trPr>
          <w:trHeight w:hRule="exact" w:val="454"/>
          <w:jc w:val="center"/>
        </w:trPr>
        <w:tc>
          <w:tcPr>
            <w:tcW w:w="2354" w:type="dxa"/>
            <w:gridSpan w:val="2"/>
            <w:vMerge/>
            <w:vAlign w:val="center"/>
          </w:tcPr>
          <w:p w:rsidR="00472293" w:rsidRDefault="00472293" w:rsidP="00345746">
            <w:pPr>
              <w:jc w:val="center"/>
              <w:rPr>
                <w:rFonts w:ascii="宋体" w:hAnsi="宋体" w:cs="宋体" w:hint="eastAsia"/>
                <w:szCs w:val="21"/>
              </w:rPr>
            </w:pPr>
          </w:p>
        </w:tc>
        <w:tc>
          <w:tcPr>
            <w:tcW w:w="4942" w:type="dxa"/>
            <w:gridSpan w:val="2"/>
            <w:tcBorders>
              <w:bottom w:val="single" w:sz="4" w:space="0" w:color="auto"/>
            </w:tcBorders>
            <w:vAlign w:val="center"/>
          </w:tcPr>
          <w:p w:rsidR="00472293" w:rsidRDefault="00472293" w:rsidP="00345746">
            <w:pPr>
              <w:rPr>
                <w:rFonts w:ascii="宋体" w:hAnsi="宋体" w:cs="宋体" w:hint="eastAsia"/>
                <w:szCs w:val="21"/>
              </w:rPr>
            </w:pPr>
            <w:r>
              <w:rPr>
                <w:rFonts w:ascii="宋体" w:hAnsi="宋体" w:cs="宋体" w:hint="eastAsia"/>
                <w:szCs w:val="21"/>
              </w:rPr>
              <w:t>护士长</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主管护师及以上职称得1分。</w:t>
            </w:r>
          </w:p>
        </w:tc>
      </w:tr>
      <w:tr w:rsidR="00472293" w:rsidTr="00345746">
        <w:trPr>
          <w:trHeight w:val="673"/>
          <w:jc w:val="center"/>
        </w:trPr>
        <w:tc>
          <w:tcPr>
            <w:tcW w:w="1107" w:type="dxa"/>
            <w:vMerge w:val="restart"/>
            <w:vAlign w:val="center"/>
          </w:tcPr>
          <w:p w:rsidR="00472293" w:rsidRDefault="00472293" w:rsidP="00345746">
            <w:pPr>
              <w:jc w:val="center"/>
              <w:rPr>
                <w:rFonts w:ascii="宋体" w:hAnsi="宋体" w:cs="宋体" w:hint="eastAsia"/>
                <w:szCs w:val="21"/>
              </w:rPr>
            </w:pPr>
            <w:r>
              <w:rPr>
                <w:rFonts w:ascii="宋体" w:hAnsi="宋体" w:cs="宋体" w:hint="eastAsia"/>
                <w:szCs w:val="21"/>
              </w:rPr>
              <w:lastRenderedPageBreak/>
              <w:t>组织管理（10分）</w:t>
            </w: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1.制度建立</w:t>
            </w:r>
          </w:p>
          <w:p w:rsidR="00472293" w:rsidRDefault="00472293" w:rsidP="00345746">
            <w:pPr>
              <w:rPr>
                <w:rFonts w:ascii="宋体" w:hAnsi="宋体" w:cs="宋体" w:hint="eastAsia"/>
                <w:szCs w:val="21"/>
              </w:rPr>
            </w:pPr>
            <w:r>
              <w:rPr>
                <w:rFonts w:ascii="宋体" w:hAnsi="宋体" w:cs="宋体" w:hint="eastAsia"/>
                <w:szCs w:val="21"/>
              </w:rPr>
              <w:t>(2分）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（1）癌痛规范化诊疗相关制度装订成册。</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查阅管理制度等文件资料，组织制度健全得1分。</w:t>
            </w:r>
          </w:p>
        </w:tc>
      </w:tr>
      <w:tr w:rsidR="00472293" w:rsidTr="00345746">
        <w:trPr>
          <w:trHeight w:val="430"/>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（2）癌痛规范化治疗工作纳入医院医疗质量管理体系考核，具体措施有落实。</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纳入质量管理体系，在病历质控检查中占有一定分值得1分，纳入质量管理体系但未在病历质控检查中占有一定分值得0.5分，均无得0分。</w:t>
            </w:r>
          </w:p>
        </w:tc>
      </w:tr>
      <w:tr w:rsidR="00472293" w:rsidTr="00345746">
        <w:trPr>
          <w:trHeight w:val="585"/>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2.管理优化</w:t>
            </w:r>
          </w:p>
          <w:p w:rsidR="00472293" w:rsidRDefault="00472293" w:rsidP="00345746">
            <w:pPr>
              <w:rPr>
                <w:rFonts w:ascii="宋体" w:hAnsi="宋体" w:cs="宋体" w:hint="eastAsia"/>
                <w:szCs w:val="21"/>
              </w:rPr>
            </w:pPr>
            <w:r>
              <w:rPr>
                <w:rFonts w:ascii="宋体" w:hAnsi="宋体" w:cs="宋体" w:hint="eastAsia"/>
                <w:szCs w:val="21"/>
              </w:rPr>
              <w:t>(8分）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（1）按照WHO三阶梯止痛治疗原则及《癌症疼痛诊疗规范》（2018年版），癌痛规范化治疗使用阿片类药物有在“药占比”和“门诊均次”费用限制方面的政策倾斜。</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查阅资料、工作记录，完全符合得2分，部分符合得1分，不符合得0分。</w:t>
            </w:r>
          </w:p>
        </w:tc>
      </w:tr>
      <w:tr w:rsidR="00472293" w:rsidTr="00345746">
        <w:trPr>
          <w:trHeight w:val="504"/>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（2）麻醉药品处方实行电子化打印管理。</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现场查看，完全符合得1分，不符合得0分。</w:t>
            </w:r>
          </w:p>
        </w:tc>
      </w:tr>
      <w:tr w:rsidR="00472293" w:rsidTr="00345746">
        <w:trPr>
          <w:trHeight w:val="454"/>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（3）癌痛治疗药物中使用基药种类占比达到20%以上，有逐年增加趋势。</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5</w:t>
            </w:r>
          </w:p>
        </w:tc>
        <w:tc>
          <w:tcPr>
            <w:tcW w:w="5414" w:type="dxa"/>
            <w:gridSpan w:val="2"/>
            <w:tcBorders>
              <w:right w:val="single" w:sz="4" w:space="0" w:color="auto"/>
            </w:tcBorders>
            <w:vAlign w:val="center"/>
          </w:tcPr>
          <w:p w:rsidR="00472293" w:rsidRDefault="00472293" w:rsidP="00345746">
            <w:pPr>
              <w:rPr>
                <w:rFonts w:ascii="宋体" w:hAnsi="宋体" w:cs="宋体" w:hint="eastAsia"/>
                <w:szCs w:val="21"/>
              </w:rPr>
            </w:pPr>
            <w:r>
              <w:rPr>
                <w:rFonts w:ascii="宋体" w:hAnsi="宋体" w:cs="宋体" w:hint="eastAsia"/>
                <w:szCs w:val="21"/>
              </w:rPr>
              <w:t>查阅资料记录，达到20%(包括20%)且完全符合得5分，15%</w:t>
            </w:r>
            <w:r>
              <w:rPr>
                <w:rFonts w:ascii="微软雅黑" w:eastAsia="微软雅黑" w:hAnsi="微软雅黑" w:cs="微软雅黑" w:hint="eastAsia"/>
                <w:szCs w:val="21"/>
              </w:rPr>
              <w:t>～</w:t>
            </w:r>
            <w:r>
              <w:rPr>
                <w:rFonts w:ascii="宋体" w:hAnsi="宋体" w:cs="宋体" w:hint="eastAsia"/>
                <w:szCs w:val="21"/>
              </w:rPr>
              <w:t>20%（包括15%）且逐年增长得2分，15%以下不得分。</w:t>
            </w:r>
          </w:p>
        </w:tc>
      </w:tr>
      <w:tr w:rsidR="00472293" w:rsidTr="00345746">
        <w:trPr>
          <w:trHeight w:val="1006"/>
          <w:jc w:val="center"/>
        </w:trPr>
        <w:tc>
          <w:tcPr>
            <w:tcW w:w="1107" w:type="dxa"/>
            <w:vMerge w:val="restart"/>
            <w:vAlign w:val="center"/>
          </w:tcPr>
          <w:p w:rsidR="00472293" w:rsidRDefault="00472293" w:rsidP="00345746">
            <w:pPr>
              <w:jc w:val="center"/>
              <w:rPr>
                <w:rFonts w:ascii="宋体" w:hAnsi="宋体" w:cs="宋体" w:hint="eastAsia"/>
                <w:szCs w:val="21"/>
              </w:rPr>
            </w:pPr>
            <w:r>
              <w:rPr>
                <w:rFonts w:ascii="宋体" w:hAnsi="宋体" w:cs="宋体" w:hint="eastAsia"/>
                <w:szCs w:val="21"/>
              </w:rPr>
              <w:t>科室质量安全管理（50分）</w:t>
            </w: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1.科室管理</w:t>
            </w:r>
          </w:p>
          <w:p w:rsidR="00472293" w:rsidRDefault="00472293" w:rsidP="00345746">
            <w:pPr>
              <w:rPr>
                <w:rFonts w:ascii="宋体" w:hAnsi="宋体" w:cs="宋体" w:hint="eastAsia"/>
                <w:szCs w:val="21"/>
              </w:rPr>
            </w:pPr>
            <w:r>
              <w:rPr>
                <w:rFonts w:ascii="宋体" w:hAnsi="宋体" w:cs="宋体" w:hint="eastAsia"/>
                <w:szCs w:val="21"/>
              </w:rPr>
              <w:t>（6分）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（1）科室有以科主任为组长的科室质量安全小组，科室至少设置1名疼痛医师，2名疼痛护士负责癌痛评估、规范治疗与患者及家属教育工作。</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查阅文件记录，完全符合得1分，部分符合得0.5分，不符合得0分。</w:t>
            </w:r>
          </w:p>
        </w:tc>
      </w:tr>
      <w:tr w:rsidR="00472293" w:rsidTr="00345746">
        <w:trPr>
          <w:trHeight w:val="690"/>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（2）疼痛医师熟练掌握相关文件；熟练掌握全面疼痛评估方法；能独立开展癌痛患者疼痛评估和规范治疗工作。</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现场随机抽查2名医师考核医师癌痛规范化治疗知识，充分掌握得2分，部分掌握得1分，未掌握得0分。</w:t>
            </w:r>
          </w:p>
        </w:tc>
      </w:tr>
      <w:tr w:rsidR="00472293" w:rsidTr="00345746">
        <w:trPr>
          <w:trHeight w:val="914"/>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（3）疼痛护士熟练掌握疼痛知识和疼痛护理操作流程，能协助医师对患者进行癌痛筛查评估和提高患者治疗依从性，并做好患者住院期间的全程宣教及出院随访工作。</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现场随机抽查2名护士，完全符合得1.5分，部分符合得1分，不符合得0分。</w:t>
            </w:r>
          </w:p>
        </w:tc>
      </w:tr>
      <w:tr w:rsidR="00472293" w:rsidTr="00345746">
        <w:trPr>
          <w:trHeight w:val="752"/>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（4）建立医护人员定期培训制度，组织肿瘤治疗相关医护人员每季度至少接受一次癌痛规范化治疗培训。</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查阅文件记录，完全符合得1.5分，部分符合得1分，不符合得0分。</w:t>
            </w:r>
          </w:p>
        </w:tc>
      </w:tr>
      <w:tr w:rsidR="00472293" w:rsidTr="00345746">
        <w:trPr>
          <w:trHeight w:val="510"/>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（5）癌痛规范化治疗相关培训常态化并保存学习记录。</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实地考查，完全符合得1分，部分符合得0.5分，不符合得</w:t>
            </w:r>
            <w:r>
              <w:rPr>
                <w:rFonts w:ascii="宋体" w:hAnsi="宋体" w:cs="宋体" w:hint="eastAsia"/>
                <w:szCs w:val="21"/>
              </w:rPr>
              <w:lastRenderedPageBreak/>
              <w:t>0分。</w:t>
            </w:r>
          </w:p>
        </w:tc>
      </w:tr>
      <w:tr w:rsidR="00472293" w:rsidTr="00345746">
        <w:trPr>
          <w:trHeight w:val="1458"/>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2.疼痛筛查评估</w:t>
            </w:r>
          </w:p>
          <w:p w:rsidR="00472293" w:rsidRDefault="00472293" w:rsidP="00345746">
            <w:pPr>
              <w:rPr>
                <w:rFonts w:ascii="宋体" w:hAnsi="宋体" w:cs="宋体" w:hint="eastAsia"/>
                <w:szCs w:val="21"/>
              </w:rPr>
            </w:pPr>
            <w:r>
              <w:rPr>
                <w:rFonts w:ascii="宋体" w:hAnsi="宋体" w:cs="宋体" w:hint="eastAsia"/>
                <w:szCs w:val="21"/>
              </w:rPr>
              <w:t>（10分）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（1）建立癌痛常规筛查，动态评估机制，患者入院后，护士在8小时内完成对肿瘤患者的全面疼痛评估，评估有疼痛的患者，护士及时通知医生开展规范化治疗，及时治疗疼痛。</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3</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随机抽查运行和终末病历10份，查阅首程记录，有无疼痛原因、部位、性质、评分的全面疼痛评估以及之前是否用过止痛药的描述。9份及以上合格得3分，8份合格得2分，7份合格得1分，6份及以下得0.5分。</w:t>
            </w:r>
          </w:p>
        </w:tc>
      </w:tr>
      <w:tr w:rsidR="00472293" w:rsidTr="00345746">
        <w:trPr>
          <w:trHeight w:val="824"/>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（2）病程记录体现对疼痛的评估和快速疼痛处理，有疼痛护理单或体温单中有疼痛评估记录。</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3</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随机抽查运行和终末病历10份，9份及以上合格得3分，8份合格得2分，7份合格得1分，6份及以下得0.5分。</w:t>
            </w:r>
          </w:p>
        </w:tc>
      </w:tr>
      <w:tr w:rsidR="00472293" w:rsidTr="00345746">
        <w:trPr>
          <w:trHeight w:val="872"/>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（3）病床旁有疼痛评分表，并告知患者如何使用。</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随机抽查运行和终末病历5份，所抽查病历完全符合得2分，4份符合得1分，3份及以下得0分。</w:t>
            </w:r>
          </w:p>
        </w:tc>
      </w:tr>
      <w:tr w:rsidR="00472293" w:rsidTr="00345746">
        <w:trPr>
          <w:trHeight w:val="926"/>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（4）向病房出院患者发放癌痛患者疼痛知识宣教卡，确保患者及时得到用药指导并及时告知患者办理《门诊专用病历》。</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有健康教育宣传卡（册）得2分，没有得0分。</w:t>
            </w:r>
          </w:p>
        </w:tc>
      </w:tr>
      <w:tr w:rsidR="00472293" w:rsidTr="00345746">
        <w:trPr>
          <w:trHeight w:val="854"/>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3.疼痛规范化治疗</w:t>
            </w:r>
          </w:p>
          <w:p w:rsidR="00472293" w:rsidRDefault="00472293" w:rsidP="00345746">
            <w:pPr>
              <w:rPr>
                <w:rFonts w:ascii="宋体" w:hAnsi="宋体" w:cs="宋体" w:hint="eastAsia"/>
                <w:szCs w:val="21"/>
              </w:rPr>
            </w:pPr>
            <w:r>
              <w:rPr>
                <w:rFonts w:ascii="宋体" w:hAnsi="宋体" w:cs="宋体" w:hint="eastAsia"/>
                <w:szCs w:val="21"/>
              </w:rPr>
              <w:t>(30分)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（1）落实患者知情同意制度，向患者及家属告知开展癌痛治疗的目的、风险、注意事项、合理用药方案等。</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现场抽查2位患者或家属，同时核对住院病历，查阅知情同意书和病程记录，均告知得2分，1位告知得1分，否则得0分。</w:t>
            </w:r>
          </w:p>
        </w:tc>
      </w:tr>
      <w:tr w:rsidR="00472293" w:rsidTr="00345746">
        <w:trPr>
          <w:trHeight w:val="1289"/>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（2）根据WHO三阶梯止痛原则及《癌症疼痛诊疗规范》，口服为最常见给药途径，对不宜口服病人可用其他给药途径。</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随机抽查运行病历5份，查阅用药与评估是否一致，未选择口服制剂或更改给药途径的，均要病程记录中说明原因。5份合格得5分，4份合格得4分，3份合格得3分，3份以下得0分。</w:t>
            </w:r>
          </w:p>
        </w:tc>
      </w:tr>
      <w:tr w:rsidR="00472293" w:rsidTr="00345746">
        <w:trPr>
          <w:trHeight w:val="1424"/>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（3）根据WHO三阶梯止痛原则及《癌症疼痛诊疗规范》，弱化二阶梯给药，简化滴定流程，快速控制疼痛，及时为患者提供规范化治疗方案，因病施治，及时早期应用强阿片类药物，治疗有效率≥80%。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随机抽查运行和终末病历10份，有效率≥80%得5分，＜80%得0分。</w:t>
            </w:r>
          </w:p>
        </w:tc>
      </w:tr>
      <w:tr w:rsidR="00472293" w:rsidTr="00345746">
        <w:trPr>
          <w:trHeight w:val="2357"/>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4）根据WHO三阶梯止痛原则及《癌症疼痛诊疗规范》，做到按时给药。指按规定时间间隔规律性给予止痛药。按时给药有助于维持稳定、有效的血药浓度。目前，控缓释药物临床使用日益广泛，强调以控缓释阿片药物作为基础用药的止痛方法，在滴定和出现爆发痛时，可给予速释阿片类药物对症处理。</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随机抽查住院医嘱门诊处方各10张，每份不合格医嘱或处方扣1分，最多扣至0分。</w:t>
            </w:r>
          </w:p>
        </w:tc>
      </w:tr>
      <w:tr w:rsidR="00472293" w:rsidTr="00345746">
        <w:trPr>
          <w:trHeight w:val="1840"/>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5）根据WHO三阶梯止痛原则《癌症疼痛诊疗规范》，合理用药，不超过日限制剂量使用非甾体抗炎药和含对乙酰氨基酚复方制剂，重视剂量个体化治疗，及时告知患者阿片类药物不良反应的特点及相关注意事项并积极预防便秘等常见不良反应。</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随机抽查医嘱或病程记录各5份，5份合格得5分，4份合格得4分，3份合格得3分，3份以下合格得0分。</w:t>
            </w:r>
          </w:p>
        </w:tc>
      </w:tr>
      <w:tr w:rsidR="00472293" w:rsidTr="00345746">
        <w:trPr>
          <w:trHeight w:val="1058"/>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（6）建立多学科会诊机制，组织肿瘤科、疼痛科、药剂科等有关科室进行会诊，并有会诊记录。</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有对难治性、大剂量或疼痛控制不良患者的会诊制度，或参与2019年1月1日以后的会诊记录，符合得2分，不符合得0分。</w:t>
            </w:r>
          </w:p>
        </w:tc>
      </w:tr>
      <w:tr w:rsidR="00472293" w:rsidTr="00345746">
        <w:trPr>
          <w:trHeight w:val="1046"/>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（7）建立癌痛患者入院、住院、出院疼痛规范化治疗全程管理流程，按照《癌症疼痛诊疗规范》，癌痛患者规范化诊疗率≥80%。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3</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随机抽查运行和终末病历10份，8份以上合格得3分，7份合格得2分，6份合格得1分，6份以下合格得0分。</w:t>
            </w:r>
          </w:p>
        </w:tc>
      </w:tr>
      <w:tr w:rsidR="00472293" w:rsidTr="00345746">
        <w:trPr>
          <w:trHeight w:val="1296"/>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（8）建立出院患者随访制度，对于接受癌痛规范化治疗的患者进行定期电话、微信、视频等多种形式随访，开展疼痛规范化治疗相关指导并记录。</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3</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随机抽查随诊记录本，其中有制度且随访得3分，只有制度或只有随诊记录得2分，否则得0分。</w:t>
            </w:r>
          </w:p>
        </w:tc>
      </w:tr>
      <w:tr w:rsidR="00472293" w:rsidTr="00345746">
        <w:trPr>
          <w:trHeight w:val="884"/>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4.患者教育</w:t>
            </w:r>
          </w:p>
          <w:p w:rsidR="00472293" w:rsidRDefault="00472293" w:rsidP="00345746">
            <w:pPr>
              <w:rPr>
                <w:rFonts w:ascii="宋体" w:hAnsi="宋体" w:cs="宋体" w:hint="eastAsia"/>
                <w:szCs w:val="21"/>
              </w:rPr>
            </w:pPr>
            <w:r>
              <w:rPr>
                <w:rFonts w:ascii="宋体" w:hAnsi="宋体" w:cs="宋体" w:hint="eastAsia"/>
                <w:szCs w:val="21"/>
              </w:rPr>
              <w:t>（4分）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（1）建立住院患者宣教制度，科室疼痛护士每月开展一次患者宣教讲座、科普培训并有宣教培训记录。</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实地考察，查看记录，完全符合得2分，部分符合得1分，不符合得0分。</w:t>
            </w:r>
          </w:p>
        </w:tc>
      </w:tr>
      <w:tr w:rsidR="00472293" w:rsidTr="00345746">
        <w:trPr>
          <w:trHeight w:val="894"/>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（2）病房有疼痛规范治疗知识宣传栏，疼痛护士对首次入院患者及家属开展“一对一”宣教。</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实地考查，完全符合得2分，部分符合得1分，不符合得0分。</w:t>
            </w:r>
          </w:p>
        </w:tc>
      </w:tr>
      <w:tr w:rsidR="00472293" w:rsidTr="00345746">
        <w:trPr>
          <w:trHeight w:val="1992"/>
          <w:jc w:val="center"/>
        </w:trPr>
        <w:tc>
          <w:tcPr>
            <w:tcW w:w="1107" w:type="dxa"/>
            <w:vMerge w:val="restart"/>
            <w:vAlign w:val="center"/>
          </w:tcPr>
          <w:p w:rsidR="00472293" w:rsidRDefault="00472293" w:rsidP="00345746">
            <w:pPr>
              <w:jc w:val="center"/>
              <w:rPr>
                <w:rFonts w:ascii="宋体" w:hAnsi="宋体" w:cs="宋体" w:hint="eastAsia"/>
                <w:szCs w:val="21"/>
              </w:rPr>
            </w:pPr>
            <w:r>
              <w:rPr>
                <w:rFonts w:ascii="宋体" w:hAnsi="宋体" w:cs="宋体" w:hint="eastAsia"/>
                <w:szCs w:val="21"/>
              </w:rPr>
              <w:t>药剂管理</w:t>
            </w:r>
          </w:p>
          <w:p w:rsidR="00472293" w:rsidRDefault="00472293" w:rsidP="00345746">
            <w:pPr>
              <w:jc w:val="center"/>
              <w:rPr>
                <w:rFonts w:ascii="宋体" w:hAnsi="宋体" w:cs="宋体" w:hint="eastAsia"/>
                <w:szCs w:val="21"/>
              </w:rPr>
            </w:pPr>
            <w:r>
              <w:rPr>
                <w:rFonts w:ascii="宋体" w:hAnsi="宋体" w:cs="宋体" w:hint="eastAsia"/>
                <w:szCs w:val="21"/>
              </w:rPr>
              <w:t>(16分)</w:t>
            </w: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1.人员参与</w:t>
            </w:r>
          </w:p>
          <w:p w:rsidR="00472293" w:rsidRDefault="00472293" w:rsidP="00345746">
            <w:pPr>
              <w:rPr>
                <w:rFonts w:ascii="宋体" w:hAnsi="宋体" w:cs="宋体" w:hint="eastAsia"/>
                <w:szCs w:val="21"/>
              </w:rPr>
            </w:pPr>
            <w:r>
              <w:rPr>
                <w:rFonts w:ascii="宋体" w:hAnsi="宋体" w:cs="宋体" w:hint="eastAsia"/>
                <w:szCs w:val="21"/>
              </w:rPr>
              <w:t>(3分）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（1）指定药师参与癌痛规范化诊疗处方管理工作,负责全院癌痛规范化治疗合理用药指导，及时动态分析并公布癌痛规范化治疗不合理用药情况，定期开展临床不合理用药督导检查。</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1.指定药师动态分析用药情况；检查分析报告，包括即释、缓释阿片类药物，二阶梯用药（曲马多、可待因、强痛定）及非甾体抗炎药和含对乙酰氨基酚类药物，至少一季度要分析一次（0.5分）。</w:t>
            </w:r>
          </w:p>
          <w:p w:rsidR="00472293" w:rsidRDefault="00472293" w:rsidP="00345746">
            <w:pPr>
              <w:rPr>
                <w:rFonts w:ascii="宋体" w:hAnsi="宋体" w:cs="宋体" w:hint="eastAsia"/>
                <w:szCs w:val="21"/>
              </w:rPr>
            </w:pPr>
            <w:r>
              <w:rPr>
                <w:rFonts w:ascii="宋体" w:hAnsi="宋体" w:cs="宋体" w:hint="eastAsia"/>
                <w:szCs w:val="21"/>
              </w:rPr>
              <w:t>2.日常督导检查；依据分析及处方检查发现问题及时开展督导检查并有记录并上报院领导查阅（0.5分）。</w:t>
            </w:r>
          </w:p>
        </w:tc>
      </w:tr>
      <w:tr w:rsidR="00472293" w:rsidTr="00345746">
        <w:trPr>
          <w:trHeight w:val="2025"/>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（2）每季度开展相关人员常态化培训、为不合理用药科室进行癌痛规范化治疗用药指导与强化培训。</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1.每季度开展相关人员常态化培训；查阅文件资料、照片、培训内容及会议记录（1分）。</w:t>
            </w:r>
          </w:p>
          <w:p w:rsidR="00472293" w:rsidRDefault="00472293" w:rsidP="00345746">
            <w:pPr>
              <w:rPr>
                <w:rFonts w:ascii="宋体" w:hAnsi="宋体" w:cs="宋体" w:hint="eastAsia"/>
                <w:szCs w:val="21"/>
              </w:rPr>
            </w:pPr>
            <w:r>
              <w:rPr>
                <w:rFonts w:ascii="宋体" w:hAnsi="宋体" w:cs="宋体" w:hint="eastAsia"/>
                <w:szCs w:val="21"/>
              </w:rPr>
              <w:t>2.针对不合理用药情况进行癌痛规范化治疗用药指导与强化培训；查阅指导和培训记录，根据动态分析用药情况确定不合理用药科室（根据疾病谱、品种、剂型利用统计图，全院分析，带动全院规范用药）（1分）。</w:t>
            </w:r>
          </w:p>
        </w:tc>
      </w:tr>
      <w:tr w:rsidR="00472293" w:rsidTr="00345746">
        <w:trPr>
          <w:trHeight w:val="1271"/>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2.药品配备</w:t>
            </w:r>
          </w:p>
          <w:p w:rsidR="00472293" w:rsidRDefault="00472293" w:rsidP="00345746">
            <w:pPr>
              <w:rPr>
                <w:rFonts w:ascii="宋体" w:hAnsi="宋体" w:cs="宋体" w:hint="eastAsia"/>
                <w:szCs w:val="21"/>
              </w:rPr>
            </w:pPr>
            <w:r>
              <w:rPr>
                <w:rFonts w:ascii="宋体" w:hAnsi="宋体" w:cs="宋体" w:hint="eastAsia"/>
                <w:szCs w:val="21"/>
              </w:rPr>
              <w:t>(6分）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（1）医院按照WHO三阶梯止痛原则及《癌症疼痛诊疗规范》要求，配备癌痛规范化治疗必需的阿片类止痛药物，至少3个品种，每个品种不少于2个规格，空安瓿和废贴的回收要按照国家规定严格管理。</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查阅文件资料记录，完全符合得5分，品种少一个或规格少一个扣1分，完全不符合得0分。</w:t>
            </w:r>
          </w:p>
        </w:tc>
      </w:tr>
      <w:tr w:rsidR="00472293" w:rsidTr="00345746">
        <w:trPr>
          <w:trHeight w:val="548"/>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（2）提供纳洛酮等阿片类药物中毒解救药物。</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完全符合得1分，不符合得0分。</w:t>
            </w:r>
          </w:p>
        </w:tc>
      </w:tr>
      <w:tr w:rsidR="00472293" w:rsidTr="00345746">
        <w:trPr>
          <w:trHeight w:val="771"/>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3.处方管理</w:t>
            </w:r>
          </w:p>
          <w:p w:rsidR="00472293" w:rsidRDefault="00472293" w:rsidP="00345746">
            <w:pPr>
              <w:rPr>
                <w:rFonts w:ascii="宋体" w:hAnsi="宋体" w:cs="宋体" w:hint="eastAsia"/>
                <w:szCs w:val="21"/>
              </w:rPr>
            </w:pPr>
            <w:r>
              <w:rPr>
                <w:rFonts w:ascii="宋体" w:hAnsi="宋体" w:cs="宋体" w:hint="eastAsia"/>
                <w:szCs w:val="21"/>
              </w:rPr>
              <w:t>(7分）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（1）为门（急）诊癌痛患者开具麻醉药品、第一类精神药品符合《处方管理办法》相关规定。</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5</w:t>
            </w:r>
          </w:p>
        </w:tc>
        <w:tc>
          <w:tcPr>
            <w:tcW w:w="1301"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倒查1个月麻醉药品处方20份，查阅资料、座谈提问等</w:t>
            </w:r>
          </w:p>
        </w:tc>
        <w:tc>
          <w:tcPr>
            <w:tcW w:w="4113" w:type="dxa"/>
            <w:vAlign w:val="center"/>
          </w:tcPr>
          <w:p w:rsidR="00472293" w:rsidRDefault="00472293" w:rsidP="00345746">
            <w:pPr>
              <w:rPr>
                <w:rFonts w:ascii="宋体" w:hAnsi="宋体" w:cs="宋体" w:hint="eastAsia"/>
                <w:szCs w:val="21"/>
              </w:rPr>
            </w:pPr>
            <w:r>
              <w:rPr>
                <w:rFonts w:ascii="宋体" w:hAnsi="宋体" w:cs="宋体" w:hint="eastAsia"/>
                <w:szCs w:val="21"/>
              </w:rPr>
              <w:t>每张不合格处方扣1分，最多扣除5分。</w:t>
            </w:r>
          </w:p>
        </w:tc>
      </w:tr>
      <w:tr w:rsidR="00472293" w:rsidTr="00345746">
        <w:trPr>
          <w:trHeight w:val="981"/>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（2）晚期癌症长期使用阿片类镇痛药，无极量限制，即应根据个体对阿片类镇痛药的耐受程度决定用药剂量，但应严密注意监控不良反应。</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1301" w:type="dxa"/>
            <w:vMerge/>
            <w:vAlign w:val="center"/>
          </w:tcPr>
          <w:p w:rsidR="00472293" w:rsidRDefault="00472293" w:rsidP="00345746">
            <w:pPr>
              <w:rPr>
                <w:rFonts w:ascii="宋体" w:hAnsi="宋体" w:cs="宋体" w:hint="eastAsia"/>
                <w:szCs w:val="21"/>
              </w:rPr>
            </w:pPr>
          </w:p>
        </w:tc>
        <w:tc>
          <w:tcPr>
            <w:tcW w:w="4113" w:type="dxa"/>
            <w:vAlign w:val="center"/>
          </w:tcPr>
          <w:p w:rsidR="00472293" w:rsidRDefault="00472293" w:rsidP="00345746">
            <w:pPr>
              <w:rPr>
                <w:rFonts w:ascii="宋体" w:hAnsi="宋体" w:cs="宋体" w:hint="eastAsia"/>
                <w:szCs w:val="21"/>
              </w:rPr>
            </w:pPr>
            <w:r>
              <w:rPr>
                <w:rFonts w:ascii="宋体" w:hAnsi="宋体" w:cs="宋体" w:hint="eastAsia"/>
                <w:szCs w:val="21"/>
              </w:rPr>
              <w:t>完全符合得2分，部分符合得1分，不符合得0分。</w:t>
            </w:r>
          </w:p>
        </w:tc>
      </w:tr>
      <w:tr w:rsidR="00472293" w:rsidTr="00345746">
        <w:trPr>
          <w:trHeight w:val="1750"/>
          <w:jc w:val="center"/>
        </w:trPr>
        <w:tc>
          <w:tcPr>
            <w:tcW w:w="1107" w:type="dxa"/>
            <w:vMerge w:val="restart"/>
            <w:vAlign w:val="center"/>
          </w:tcPr>
          <w:p w:rsidR="00472293" w:rsidRDefault="00472293" w:rsidP="00345746">
            <w:pPr>
              <w:jc w:val="left"/>
              <w:rPr>
                <w:rFonts w:ascii="宋体" w:hAnsi="宋体" w:cs="宋体" w:hint="eastAsia"/>
                <w:szCs w:val="21"/>
              </w:rPr>
            </w:pPr>
            <w:r>
              <w:rPr>
                <w:rFonts w:ascii="宋体" w:hAnsi="宋体" w:cs="宋体" w:hint="eastAsia"/>
                <w:szCs w:val="21"/>
              </w:rPr>
              <w:t>门诊管理医务管理护理及患者家居管理</w:t>
            </w:r>
          </w:p>
          <w:p w:rsidR="00472293" w:rsidRDefault="00472293" w:rsidP="00345746">
            <w:pPr>
              <w:jc w:val="center"/>
              <w:rPr>
                <w:rFonts w:ascii="宋体" w:hAnsi="宋体" w:cs="宋体" w:hint="eastAsia"/>
                <w:szCs w:val="21"/>
              </w:rPr>
            </w:pPr>
            <w:r>
              <w:rPr>
                <w:rFonts w:ascii="宋体" w:hAnsi="宋体" w:cs="宋体" w:hint="eastAsia"/>
                <w:szCs w:val="21"/>
              </w:rPr>
              <w:t>（10分）</w:t>
            </w: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1.门诊管理（4分）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设置癌痛门诊，配备专人出诊或肿瘤科室医生定期轮流出诊，每个工作日均需有医护人员出诊，负责疼痛筛查工作，有疼痛筛查表，保证患者及时得到疼痛规范化治疗处理。门诊医护人员需加强培训学习，癌痛规范化治疗规范率≥90%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Merge w:val="restart"/>
            <w:vAlign w:val="center"/>
          </w:tcPr>
          <w:p w:rsidR="00472293" w:rsidRDefault="00472293" w:rsidP="00345746">
            <w:pPr>
              <w:rPr>
                <w:rFonts w:ascii="宋体" w:hAnsi="宋体" w:cs="宋体" w:hint="eastAsia"/>
                <w:szCs w:val="21"/>
              </w:rPr>
            </w:pPr>
            <w:r>
              <w:rPr>
                <w:rFonts w:ascii="宋体" w:hAnsi="宋体" w:cs="宋体" w:hint="eastAsia"/>
                <w:szCs w:val="21"/>
              </w:rPr>
              <w:t>查阅文件资料记录，完全符合得2分，部分符合得1分，不符合得0分。</w:t>
            </w:r>
          </w:p>
        </w:tc>
      </w:tr>
      <w:tr w:rsidR="00472293" w:rsidTr="00345746">
        <w:trPr>
          <w:trHeight w:val="935"/>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（2）定期开展门诊医护人员规范治疗培训，相关政策按照国家最新规定执行，优化门诊癌痛规范化治疗流程。</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Merge/>
            <w:vAlign w:val="center"/>
          </w:tcPr>
          <w:p w:rsidR="00472293" w:rsidRDefault="00472293" w:rsidP="00345746">
            <w:pPr>
              <w:rPr>
                <w:rFonts w:ascii="宋体" w:hAnsi="宋体" w:cs="宋体" w:hint="eastAsia"/>
                <w:szCs w:val="21"/>
              </w:rPr>
            </w:pPr>
          </w:p>
        </w:tc>
      </w:tr>
      <w:tr w:rsidR="00472293" w:rsidTr="00345746">
        <w:trPr>
          <w:trHeight w:val="1488"/>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2.医务管理（4分）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（1）门诊癌痛患者使用阿片类镇痛药物按照国家相关文件要求简化流程，方便患者，实行首诊负责，不得推诿，保证患者权益（如肿瘤疼痛患者办理《门诊专用病历》，严格按照《处方管理办法》第21条执行。</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查阅门诊专用病历，用药是否合理，剂量调整是否规范，符合得2分，不符合得0分。</w:t>
            </w:r>
          </w:p>
        </w:tc>
      </w:tr>
      <w:tr w:rsidR="00472293" w:rsidTr="00345746">
        <w:trPr>
          <w:trHeight w:val="1318"/>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（2）医务部门定期开展癌痛规范化诊疗专项督导检查，促进相关科室改进服务，优化流程，定期培训，总结提高，检查过程中发现的问题要及时协调解决。</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2</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有检查记录及整改措施，检查范围（包括阿片类药物、阿片类复方制剂及抽查非阿片类止痛药物使用的合理性），均有检查记录及整改措施得2分，只有阿片类药物、阿片类复方剂检查记录得1分，无相关检查记录得0分。</w:t>
            </w:r>
          </w:p>
        </w:tc>
      </w:tr>
      <w:tr w:rsidR="00472293" w:rsidTr="00345746">
        <w:trPr>
          <w:trHeight w:val="1469"/>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restart"/>
            <w:vAlign w:val="center"/>
          </w:tcPr>
          <w:p w:rsidR="00472293" w:rsidRDefault="00472293" w:rsidP="00345746">
            <w:pPr>
              <w:rPr>
                <w:rFonts w:ascii="宋体" w:hAnsi="宋体" w:cs="宋体" w:hint="eastAsia"/>
                <w:szCs w:val="21"/>
              </w:rPr>
            </w:pPr>
            <w:r>
              <w:rPr>
                <w:rFonts w:ascii="宋体" w:hAnsi="宋体" w:cs="宋体" w:hint="eastAsia"/>
                <w:szCs w:val="21"/>
              </w:rPr>
              <w:t>3.护理及家居管理</w:t>
            </w:r>
          </w:p>
          <w:p w:rsidR="00472293" w:rsidRDefault="00472293" w:rsidP="00345746">
            <w:pPr>
              <w:rPr>
                <w:rFonts w:ascii="宋体" w:hAnsi="宋体" w:cs="宋体" w:hint="eastAsia"/>
                <w:szCs w:val="21"/>
              </w:rPr>
            </w:pPr>
            <w:r>
              <w:rPr>
                <w:rFonts w:ascii="宋体" w:hAnsi="宋体" w:cs="宋体" w:hint="eastAsia"/>
                <w:szCs w:val="21"/>
              </w:rPr>
              <w:t>（2分）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建立门诊定期随访制度，配备专人负责门诊疼痛患者家居电话、微信、视频等多种形式随访工作，提高患者疼痛治疗满意度，随访发现问题及时反馈相关医务人员，随访率≥80%（门诊处方后一周内随访率）。</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查阅随访制度和随访记录，收治肿瘤病人的相关科室随机选择3名门诊患者，电话确认有无随访，其中有制度得0.5分，出院随访率≥85%得1分，一周内随访达标得1分，两周内随访达标得0.5分，未落实得0分。</w:t>
            </w:r>
          </w:p>
        </w:tc>
      </w:tr>
      <w:tr w:rsidR="00472293" w:rsidTr="00345746">
        <w:trPr>
          <w:trHeight w:val="922"/>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（2）定期开展相关科室护理人员癌痛规范化治疗培训及患者教育常态化培训。</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查看台账，完全符合得1分，部分符合得0.5分，不符合得0分。</w:t>
            </w:r>
          </w:p>
        </w:tc>
      </w:tr>
      <w:tr w:rsidR="00472293" w:rsidTr="00345746">
        <w:trPr>
          <w:trHeight w:val="1732"/>
          <w:jc w:val="center"/>
        </w:trPr>
        <w:tc>
          <w:tcPr>
            <w:tcW w:w="1107" w:type="dxa"/>
            <w:vMerge w:val="restart"/>
            <w:vAlign w:val="center"/>
          </w:tcPr>
          <w:p w:rsidR="00472293" w:rsidRDefault="00472293" w:rsidP="00345746">
            <w:pPr>
              <w:jc w:val="center"/>
              <w:rPr>
                <w:rFonts w:ascii="宋体" w:hAnsi="宋体" w:cs="宋体" w:hint="eastAsia"/>
                <w:szCs w:val="21"/>
              </w:rPr>
            </w:pPr>
            <w:r>
              <w:rPr>
                <w:rFonts w:ascii="宋体" w:hAnsi="宋体" w:cs="宋体" w:hint="eastAsia"/>
                <w:szCs w:val="21"/>
              </w:rPr>
              <w:t>附加项</w:t>
            </w:r>
          </w:p>
          <w:p w:rsidR="00472293" w:rsidRDefault="00472293" w:rsidP="00345746">
            <w:pPr>
              <w:jc w:val="center"/>
              <w:rPr>
                <w:rFonts w:ascii="宋体" w:hAnsi="宋体" w:cs="宋体" w:hint="eastAsia"/>
                <w:szCs w:val="21"/>
              </w:rPr>
            </w:pPr>
            <w:r>
              <w:rPr>
                <w:rFonts w:ascii="宋体" w:hAnsi="宋体" w:cs="宋体" w:hint="eastAsia"/>
                <w:szCs w:val="21"/>
              </w:rPr>
              <w:t>（10分）</w:t>
            </w:r>
          </w:p>
        </w:tc>
        <w:tc>
          <w:tcPr>
            <w:tcW w:w="1247" w:type="dxa"/>
            <w:vMerge w:val="restart"/>
            <w:vAlign w:val="center"/>
          </w:tcPr>
          <w:p w:rsidR="00472293" w:rsidRDefault="00472293" w:rsidP="00345746">
            <w:pPr>
              <w:jc w:val="center"/>
              <w:rPr>
                <w:rFonts w:ascii="宋体" w:hAnsi="宋体" w:cs="宋体" w:hint="eastAsia"/>
                <w:szCs w:val="21"/>
              </w:rPr>
            </w:pPr>
            <w:r>
              <w:rPr>
                <w:rFonts w:ascii="宋体" w:hAnsi="宋体" w:cs="宋体" w:hint="eastAsia"/>
                <w:szCs w:val="21"/>
              </w:rPr>
              <w:t>癌痛质控指标完成情况（10分）</w:t>
            </w: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1.肿瘤科医患比=肿瘤科固定在岗（本院）医师总数占同期肿瘤科患者住院总例次数（例次）×100%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0.5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开展肿瘤科临床诊疗工作，固定在岗（本院）医师熟练掌握癌痛患者全面疼痛评估方法，熟练掌握各种止痛药物的特性、使用方法以及不良反应的处理方法，能够独立开展癌痛患者疼痛评估和治疗工作，为肿瘤患者提供规范化疼痛治疗，年收治中晚期肿瘤患者有一定例次。是反映医疗机构肿瘤科医疗质量的结构性指标。</w:t>
            </w:r>
          </w:p>
        </w:tc>
      </w:tr>
      <w:tr w:rsidR="00472293" w:rsidTr="00345746">
        <w:trPr>
          <w:trHeight w:val="1567"/>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2.各级癌痛患者比例=该级癌痛患者人数占同期肿瘤患者总人数×100%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0.5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根据NRS评分标准，使用《疼痛程度数字评估量表》对患者疼痛程度进行评估，按照疼痛对应的数字将疼痛程度分为：轻度疼痛（1-3），中度疼痛（4-6），重度疼痛（7-10）。评价不同疼痛程度占同期所有肿瘤患者总数的比例。体现医疗机构接诊不同癌痛程度患者所占比重。</w:t>
            </w:r>
          </w:p>
        </w:tc>
      </w:tr>
      <w:tr w:rsidR="00472293" w:rsidTr="00345746">
        <w:trPr>
          <w:trHeight w:val="1297"/>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3.疼痛筛查率=疼痛筛查患者人数占同期肿瘤患者总人数×100%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根据《NCCN成人癌痛指南》、国家卫生健康委《癌症疼痛治疗规范（2018年版）》要求，肿瘤患者入院后医护人员应主动进行疼痛筛查，询问患者有无疼痛，以便下一步评估与治疗的进行。是反映医疗机构癌痛诊疗质量的过程指标。</w:t>
            </w:r>
          </w:p>
        </w:tc>
      </w:tr>
      <w:tr w:rsidR="00472293" w:rsidTr="00345746">
        <w:trPr>
          <w:trHeight w:val="1701"/>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4.8小时评估完成率=入院8小时内完成疼痛评估人数占同期肿瘤患者总人数×100%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根据国家卫生健康委《癌症疼痛治疗规范（2018年版）》，肿瘤患者入院后8小时内应当完成全面评估。肿瘤患者入院后，医护人员应主动询问肿瘤患者有无疼痛，常规评估疼痛病情，予以相应处理，并进行相应的疼痛评估记录。是反映医疗机构癌痛诊疗质量的过程指标。</w:t>
            </w:r>
          </w:p>
        </w:tc>
      </w:tr>
      <w:tr w:rsidR="00472293" w:rsidTr="00345746">
        <w:trPr>
          <w:trHeight w:val="1926"/>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5.口服阿片药物治疗率=口服阿片类镇痛药物患者人数占同期所有使用阿片镇痛药物患者总人数×100%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根据《WHO三阶梯止痛原则》，口服为最常见的给药途径。阿片控缓释药物临床使用日益广泛，强调以控缓释阿片药物作为基础用药的止痛方法，在出现爆发性疼痛时，可给予速释阿片类药物对症处理。口服阿片药物治疗率是指癌痛患者使用口服阿片类镇痛药物人数与所有使用阿片类药物镇痛的病人数的比例。是反映医疗机构癌痛诊疗质量的过程指标。</w:t>
            </w:r>
          </w:p>
        </w:tc>
      </w:tr>
      <w:tr w:rsidR="00472293" w:rsidTr="00345746">
        <w:trPr>
          <w:trHeight w:val="1756"/>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6.动态评估率=动态评估患者人数同期癌痛患者总人数×100%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根据国家卫生健康委《癌症疼痛诊疗规范（2018年版）》，病人入院后，应对其进行动态评估，记录用药种类、剂量滴定，记录疼痛程度及病情变化。病程记录应体现根据患者病情变化适时调整癌痛治疗方案。给予止痛治疗3天内或达到稳定缓解状态时的全面评估。对癌痛患者动态评估率不低于90％。是反映医疗机构癌痛诊疗质量的过程指标。</w:t>
            </w:r>
          </w:p>
        </w:tc>
      </w:tr>
      <w:tr w:rsidR="00472293" w:rsidTr="00345746">
        <w:trPr>
          <w:trHeight w:val="1555"/>
          <w:jc w:val="center"/>
        </w:trPr>
        <w:tc>
          <w:tcPr>
            <w:tcW w:w="1107" w:type="dxa"/>
            <w:vMerge/>
            <w:vAlign w:val="center"/>
          </w:tcPr>
          <w:p w:rsidR="00472293" w:rsidRDefault="00472293" w:rsidP="00345746">
            <w:pPr>
              <w:jc w:val="cente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7.治疗有效率=NRS≤3分以下患者人数占同期所有癌痛患者总人数×100%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根据卫生健康委《癌症疼痛诊疗规范（2018版）》，准确评估患者病情，制定个体化治疗方案，因病施治。癌痛患者治疗3天之内将疼痛控制在（NRS评分）3分以下的患者人数与所有疼痛治疗患者数的比例不低于75％。是反映医疗机构癌痛诊疗质量的结果指标。</w:t>
            </w:r>
          </w:p>
        </w:tc>
      </w:tr>
      <w:tr w:rsidR="00472293" w:rsidTr="00345746">
        <w:trPr>
          <w:trHeight w:val="1591"/>
          <w:jc w:val="center"/>
        </w:trPr>
        <w:tc>
          <w:tcPr>
            <w:tcW w:w="1107" w:type="dxa"/>
            <w:vMerge/>
            <w:vAlign w:val="center"/>
          </w:tcPr>
          <w:p w:rsidR="00472293" w:rsidRDefault="00472293" w:rsidP="00345746">
            <w:pP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8.多学科协作诊治率=癌痛MDT患者人数占同期所有癌痛患者总人数×100%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根据国家卫生健康委《关于加强肿瘤规范化诊疗管理工作的通知》的要求，推行“单病种、多学科”诊疗，组织肿瘤科、内科、外科、放疗、病理、药学、影像、检验、核医学等相关学科进行会诊、病例讨论或联合查房，制订科学、适宜的诊疗方案。是反映医疗机构癌痛诊疗质量的过程指标。</w:t>
            </w:r>
          </w:p>
        </w:tc>
      </w:tr>
      <w:tr w:rsidR="00472293" w:rsidTr="00345746">
        <w:trPr>
          <w:trHeight w:val="1816"/>
          <w:jc w:val="center"/>
        </w:trPr>
        <w:tc>
          <w:tcPr>
            <w:tcW w:w="1107" w:type="dxa"/>
            <w:vMerge/>
            <w:vAlign w:val="center"/>
          </w:tcPr>
          <w:p w:rsidR="00472293" w:rsidRDefault="00472293" w:rsidP="00345746">
            <w:pP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9.对乙酰氨基酚及其复方制剂合理使用率=合理使用对乙酰氨基酚患者人数占同期使用对乙酰氨基酚患者总人数×100%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0.5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对乙酰氨基酚长期服用有严重的肝肾毒性，根据国家药典及国家卫生健康委《癌症疼痛诊疗规范（2018年版）》的要求，癌痛患者使用对乙酰氨基酚及其复方制剂等药物日剂量不超过2000mg，且连续使用不超过10天。是体现对乙酰氨基酚在癌痛病人中的合理应用，是反映医疗机构癌痛诊疗质量的过程指标。</w:t>
            </w:r>
          </w:p>
        </w:tc>
      </w:tr>
      <w:tr w:rsidR="00472293" w:rsidTr="00345746">
        <w:trPr>
          <w:trHeight w:val="1391"/>
          <w:jc w:val="center"/>
        </w:trPr>
        <w:tc>
          <w:tcPr>
            <w:tcW w:w="1107" w:type="dxa"/>
            <w:vMerge/>
            <w:vAlign w:val="center"/>
          </w:tcPr>
          <w:p w:rsidR="00472293" w:rsidRDefault="00472293" w:rsidP="00345746">
            <w:pP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10.重度疼痛发生率=NRS≥7分患者人数占同期癌痛患者总人数×100%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1</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使用《疼痛程度数字评估量表》对患者疼痛程度进行评估，按照疼痛对应的数字定义重度疼痛（NRS：7-10分）。重度疼痛严重影响患者生活质量，需要立即进行处理。是反映医疗机构癌痛诊疗质量的过程指标。</w:t>
            </w:r>
          </w:p>
        </w:tc>
      </w:tr>
      <w:tr w:rsidR="00472293" w:rsidTr="00345746">
        <w:trPr>
          <w:trHeight w:val="1579"/>
          <w:jc w:val="center"/>
        </w:trPr>
        <w:tc>
          <w:tcPr>
            <w:tcW w:w="1107" w:type="dxa"/>
            <w:vMerge/>
            <w:vAlign w:val="center"/>
          </w:tcPr>
          <w:p w:rsidR="00472293" w:rsidRDefault="00472293" w:rsidP="00345746">
            <w:pP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11.不良反应规范治疗率=给予不良反应预处理的患者人数占同期使用阿片类药物患者总人数×100%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0.5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根据《NCCN成人癌痛指南》、国家卫生健康委《癌症疼痛治疗规范（2018年版）》要求，对癌痛患者处方阿片类药物进行疼痛控制的同时，应给予相应不良反应的预防性药物。保障癌痛患者控制癌痛的同时，生活质量达到最佳。是反映医疗机构癌痛诊疗质量的过程指标。</w:t>
            </w:r>
          </w:p>
        </w:tc>
      </w:tr>
      <w:tr w:rsidR="00472293" w:rsidTr="00345746">
        <w:trPr>
          <w:trHeight w:val="1519"/>
          <w:jc w:val="center"/>
        </w:trPr>
        <w:tc>
          <w:tcPr>
            <w:tcW w:w="1107" w:type="dxa"/>
            <w:vMerge/>
            <w:vAlign w:val="center"/>
          </w:tcPr>
          <w:p w:rsidR="00472293" w:rsidRDefault="00472293" w:rsidP="00345746">
            <w:pP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12.随访率（%）=出院1周以内随访患者数占同期癌痛患者总数×100%</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0.5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根据国家卫生健康委《癌症疼痛诊疗规范（2018年版）》要求，对接受癌痛规范化治疗的患者进行定期随访、癌痛评估并记录，保障患者得到持续、合理、有效的癌痛治疗。出院癌痛患者随访率不低于70％，统计患者出院后1周以内疼痛患者的随访记录。是反映医疗机构癌痛诊疗质量的结果指标。</w:t>
            </w:r>
          </w:p>
        </w:tc>
      </w:tr>
      <w:tr w:rsidR="00472293" w:rsidTr="00345746">
        <w:trPr>
          <w:trHeight w:val="1257"/>
          <w:jc w:val="center"/>
        </w:trPr>
        <w:tc>
          <w:tcPr>
            <w:tcW w:w="1107" w:type="dxa"/>
            <w:vMerge/>
            <w:vAlign w:val="center"/>
          </w:tcPr>
          <w:p w:rsidR="00472293" w:rsidRDefault="00472293" w:rsidP="00345746">
            <w:pPr>
              <w:rPr>
                <w:rFonts w:ascii="宋体" w:hAnsi="宋体" w:cs="宋体" w:hint="eastAsia"/>
                <w:szCs w:val="21"/>
              </w:rPr>
            </w:pPr>
          </w:p>
        </w:tc>
        <w:tc>
          <w:tcPr>
            <w:tcW w:w="1247" w:type="dxa"/>
            <w:vMerge/>
            <w:vAlign w:val="center"/>
          </w:tcPr>
          <w:p w:rsidR="00472293" w:rsidRDefault="00472293" w:rsidP="00345746">
            <w:pPr>
              <w:rPr>
                <w:rFonts w:ascii="宋体" w:hAnsi="宋体" w:cs="宋体" w:hint="eastAsia"/>
                <w:szCs w:val="21"/>
              </w:rPr>
            </w:pPr>
          </w:p>
        </w:tc>
        <w:tc>
          <w:tcPr>
            <w:tcW w:w="4942"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13.药品配备（品种数量）</w:t>
            </w:r>
          </w:p>
        </w:tc>
        <w:tc>
          <w:tcPr>
            <w:tcW w:w="688" w:type="dxa"/>
            <w:vAlign w:val="center"/>
          </w:tcPr>
          <w:p w:rsidR="00472293" w:rsidRDefault="00472293" w:rsidP="00345746">
            <w:pPr>
              <w:jc w:val="center"/>
              <w:rPr>
                <w:rFonts w:ascii="宋体" w:hAnsi="宋体" w:cs="宋体" w:hint="eastAsia"/>
                <w:szCs w:val="21"/>
              </w:rPr>
            </w:pPr>
            <w:r>
              <w:rPr>
                <w:rFonts w:ascii="宋体" w:hAnsi="宋体" w:cs="宋体" w:hint="eastAsia"/>
                <w:szCs w:val="21"/>
              </w:rPr>
              <w:t>0.5</w:t>
            </w:r>
          </w:p>
        </w:tc>
        <w:tc>
          <w:tcPr>
            <w:tcW w:w="5414" w:type="dxa"/>
            <w:gridSpan w:val="2"/>
            <w:vAlign w:val="center"/>
          </w:tcPr>
          <w:p w:rsidR="00472293" w:rsidRDefault="00472293" w:rsidP="00345746">
            <w:pPr>
              <w:rPr>
                <w:rFonts w:ascii="宋体" w:hAnsi="宋体" w:cs="宋体" w:hint="eastAsia"/>
                <w:szCs w:val="21"/>
              </w:rPr>
            </w:pPr>
            <w:r>
              <w:rPr>
                <w:rFonts w:ascii="宋体" w:hAnsi="宋体" w:cs="宋体" w:hint="eastAsia"/>
                <w:szCs w:val="21"/>
              </w:rPr>
              <w:t>按照WHO止痛原则，根据国家卫生健康委《癌症疼痛诊疗规范（2018年版）》的要求，医疗机构应提供至少3个品种的阿片类止痛药物，以及纳洛酮等阿片类药物中毒解救药物，并能够按照处方调配药品，指导临床合理使用，属于结构性指标。</w:t>
            </w:r>
          </w:p>
        </w:tc>
      </w:tr>
    </w:tbl>
    <w:p w:rsidR="00472293" w:rsidRDefault="00472293" w:rsidP="00472293">
      <w:pPr>
        <w:ind w:rightChars="130" w:right="258"/>
        <w:rPr>
          <w:rFonts w:hint="eastAsia"/>
          <w:sz w:val="32"/>
          <w:szCs w:val="32"/>
          <w:lang w:val="en-US" w:eastAsia="zh-CN"/>
        </w:rPr>
      </w:pPr>
    </w:p>
    <w:p w:rsidR="00472293" w:rsidRDefault="00472293" w:rsidP="00472293">
      <w:pPr>
        <w:widowControl/>
        <w:jc w:val="left"/>
        <w:rPr>
          <w:rFonts w:ascii="宋体"/>
          <w:caps/>
          <w:spacing w:val="20"/>
          <w:w w:val="90"/>
          <w:sz w:val="32"/>
          <w:szCs w:val="32"/>
        </w:rPr>
        <w:sectPr w:rsidR="00472293">
          <w:pgSz w:w="16838" w:h="11906" w:orient="landscape"/>
          <w:pgMar w:top="1587" w:right="2098" w:bottom="1587" w:left="1985" w:header="851" w:footer="1587" w:gutter="0"/>
          <w:cols w:space="720"/>
          <w:docGrid w:type="linesAndChars" w:linePitch="291" w:charSpace="-2374"/>
        </w:sectPr>
      </w:pPr>
    </w:p>
    <w:p w:rsidR="00B077B0" w:rsidRPr="00472293" w:rsidRDefault="00B077B0">
      <w:bookmarkStart w:id="0" w:name="_GoBack"/>
      <w:bookmarkEnd w:id="0"/>
    </w:p>
    <w:sectPr w:rsidR="00B077B0" w:rsidRPr="00472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93"/>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72293"/>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A5242-414E-4004-9552-B6289486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2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2023-05-25T07:38:00Z</dcterms:created>
  <dcterms:modified xsi:type="dcterms:W3CDTF">2023-05-25T07:39:00Z</dcterms:modified>
</cp:coreProperties>
</file>