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eastAsia="方正小标宋_GBK"/>
          <w:sz w:val="40"/>
          <w:szCs w:val="40"/>
        </w:rPr>
      </w:pPr>
    </w:p>
    <w:p>
      <w:pPr>
        <w:spacing w:line="600" w:lineRule="exact"/>
        <w:jc w:val="center"/>
        <w:rPr>
          <w:rFonts w:hint="eastAsia" w:ascii="方正小标宋_GBK" w:hAnsi="方正小标宋_GBK" w:eastAsia="方正小标宋_GBK" w:cs="方正小标宋_GBK"/>
          <w:sz w:val="44"/>
          <w:szCs w:val="44"/>
        </w:rPr>
      </w:pPr>
      <w:bookmarkStart w:id="0" w:name="_Hlk102639529"/>
      <w:r>
        <w:rPr>
          <w:rFonts w:hint="eastAsia" w:ascii="方正小标宋_GBK" w:hAnsi="方正小标宋_GBK" w:eastAsia="方正小标宋_GBK" w:cs="方正小标宋_GBK"/>
          <w:sz w:val="44"/>
          <w:szCs w:val="44"/>
        </w:rPr>
        <w:t>重庆市医疗保障局办公室</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val="en-US" w:eastAsia="zh-CN"/>
        </w:rPr>
        <w:t>2023年</w:t>
      </w:r>
      <w:r>
        <w:rPr>
          <w:rFonts w:hint="eastAsia" w:ascii="方正小标宋_GBK" w:hAnsi="方正小标宋_GBK" w:eastAsia="方正小标宋_GBK" w:cs="方正小标宋_GBK"/>
          <w:sz w:val="44"/>
          <w:szCs w:val="44"/>
        </w:rPr>
        <w:t>国家医保谈判药品</w:t>
      </w:r>
    </w:p>
    <w:p>
      <w:pPr>
        <w:spacing w:line="600" w:lineRule="exact"/>
        <w:jc w:val="center"/>
        <w:rPr>
          <w:rFonts w:eastAsia="方正仿宋_GBK" w:cs="方正仿宋_GBK"/>
          <w:sz w:val="21"/>
        </w:rPr>
      </w:pPr>
      <w:r>
        <w:rPr>
          <w:rFonts w:hint="eastAsia" w:ascii="方正小标宋_GBK" w:hAnsi="方正小标宋_GBK" w:eastAsia="方正小标宋_GBK" w:cs="方正小标宋_GBK"/>
          <w:sz w:val="44"/>
          <w:szCs w:val="44"/>
        </w:rPr>
        <w:t>门诊保障用药名单的通知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rPr>
      </w:pPr>
    </w:p>
    <w:p>
      <w:pPr>
        <w:keepNext w:val="0"/>
        <w:keepLines w:val="0"/>
        <w:pageBreakBefore w:val="0"/>
        <w:widowControl w:val="0"/>
        <w:kinsoku/>
        <w:wordWrap/>
        <w:overflowPunct/>
        <w:topLinePunct w:val="0"/>
        <w:autoSpaceDE/>
        <w:autoSpaceDN/>
        <w:bidi w:val="0"/>
        <w:adjustRightInd/>
        <w:snapToGrid/>
        <w:spacing w:line="600" w:lineRule="exact"/>
        <w:ind w:firstLine="2240" w:firstLineChars="700"/>
        <w:jc w:val="both"/>
        <w:textAlignment w:val="auto"/>
        <w:rPr>
          <w:rFonts w:hint="eastAsia" w:ascii="Times New Roman" w:hAnsi="Times New Roman" w:eastAsia="方正仿宋_GBK" w:cs="方正仿宋_GBK"/>
          <w:lang w:val="en-US" w:eastAsia="zh-CN"/>
        </w:rPr>
      </w:pPr>
      <w:bookmarkStart w:id="2" w:name="_GoBack"/>
      <w:bookmarkEnd w:id="2"/>
      <w:r>
        <w:rPr>
          <w:rFonts w:hint="eastAsia" w:ascii="Times New Roman" w:hAnsi="Times New Roman" w:eastAsia="方正仿宋_GBK" w:cs="方正仿宋_GBK"/>
          <w:lang w:val="en-US" w:eastAsia="zh-CN"/>
        </w:rPr>
        <w:t>渝医保办〔2023〕17号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仿宋_GBK" w:cs="方正仿宋_GBK"/>
        </w:rPr>
      </w:pPr>
      <w:r>
        <w:rPr>
          <w:rFonts w:hint="eastAsia" w:ascii="Times New Roman" w:hAnsi="Times New Roman" w:eastAsia="方正仿宋_GBK" w:cs="方正仿宋_GBK"/>
        </w:rPr>
        <w:t>各区县（自治县）医疗保障局，两江新区社会保障局</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高新区政务服务和社会事务中心</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万盛经开区人力社保局：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rPr>
      </w:pPr>
      <w:r>
        <w:rPr>
          <w:rFonts w:hint="eastAsia" w:ascii="Times New Roman" w:hAnsi="Times New Roman" w:eastAsia="方正仿宋_GBK" w:cs="方正仿宋_GBK"/>
        </w:rPr>
        <w:t>为落实党中央、国务院决策部署，提高参保人员用药保障水平，做好</w:t>
      </w:r>
      <w:r>
        <w:rPr>
          <w:rFonts w:hint="eastAsia" w:ascii="Times New Roman" w:hAnsi="Times New Roman" w:eastAsia="方正仿宋_GBK" w:cs="方正仿宋_GBK"/>
          <w:lang w:eastAsia="zh-CN"/>
        </w:rPr>
        <w:t>国家</w:t>
      </w:r>
      <w:r>
        <w:rPr>
          <w:rFonts w:hint="eastAsia" w:ascii="Times New Roman" w:hAnsi="Times New Roman" w:eastAsia="方正仿宋_GBK" w:cs="方正仿宋_GBK"/>
        </w:rPr>
        <w:t>谈判药品落地工作，确保广大参保人员切实受益</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根据《国家医保局人力资源社会保障部关于印发〈国家基本医疗保险、工伤保险和生育保险药品目录（2022年）〉的通知》（医保发〔2023〕5号）、《重庆市医疗保障局关于做好国家医保谈判药品门诊用药保障工作的通知》（渝医保发〔2021〕12号）精神，现将重庆市医疗保险国家医保谈判药品（</w:t>
      </w:r>
      <w:r>
        <w:rPr>
          <w:rFonts w:hint="eastAsia" w:ascii="Times New Roman" w:hAnsi="Times New Roman" w:eastAsia="方正仿宋_GBK" w:cs="方正仿宋_GBK"/>
          <w:lang w:eastAsia="zh-CN"/>
        </w:rPr>
        <w:t>以下简称国谈药品</w:t>
      </w:r>
      <w:r>
        <w:rPr>
          <w:rFonts w:hint="eastAsia" w:ascii="Times New Roman" w:hAnsi="Times New Roman" w:eastAsia="方正仿宋_GBK" w:cs="方正仿宋_GBK"/>
        </w:rPr>
        <w:t>）门诊保障用药名单公布如下，并提出以下意见，请遵照执行。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rPr>
      </w:pPr>
      <w:r>
        <w:rPr>
          <w:rFonts w:hint="eastAsia" w:ascii="Times New Roman" w:hAnsi="Times New Roman" w:eastAsia="方正仿宋_GBK" w:cs="方正仿宋_GBK"/>
        </w:rPr>
        <w:t>一、国谈药品门诊用药限制使用范围有多个适应症时，适应症为我市门诊特病范围的，按我市特病政策执行；适应症不属于我市特病范围的，按国谈药</w:t>
      </w:r>
      <w:r>
        <w:rPr>
          <w:rFonts w:hint="eastAsia" w:ascii="Times New Roman" w:hAnsi="Times New Roman" w:eastAsia="方正仿宋_GBK" w:cs="方正仿宋_GBK"/>
          <w:lang w:eastAsia="zh-CN"/>
        </w:rPr>
        <w:t>品</w:t>
      </w:r>
      <w:r>
        <w:rPr>
          <w:rFonts w:hint="eastAsia" w:ascii="Times New Roman" w:hAnsi="Times New Roman" w:eastAsia="方正仿宋_GBK" w:cs="方正仿宋_GBK"/>
        </w:rPr>
        <w:t>门诊保障政策执行。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lang w:eastAsia="zh-CN"/>
        </w:rPr>
      </w:pPr>
      <w:r>
        <w:rPr>
          <w:rFonts w:hint="eastAsia" w:ascii="Times New Roman" w:hAnsi="Times New Roman" w:eastAsia="方正仿宋_GBK" w:cs="方正仿宋_GBK"/>
          <w:lang w:eastAsia="zh-CN"/>
        </w:rPr>
        <w:t>二</w:t>
      </w:r>
      <w:r>
        <w:rPr>
          <w:rFonts w:hint="eastAsia" w:ascii="Times New Roman" w:hAnsi="Times New Roman" w:eastAsia="方正仿宋_GBK" w:cs="方正仿宋_GBK"/>
        </w:rPr>
        <w:t>、国谈药品门诊保障机制是我市门诊特病政策的有益补充，</w:t>
      </w:r>
      <w:r>
        <w:rPr>
          <w:rFonts w:hint="eastAsia" w:ascii="Times New Roman" w:hAnsi="Times New Roman" w:eastAsia="方正仿宋_GBK" w:cs="方正仿宋_GBK"/>
          <w:lang w:eastAsia="zh-CN"/>
        </w:rPr>
        <w:t>各</w:t>
      </w:r>
      <w:r>
        <w:rPr>
          <w:rFonts w:hint="eastAsia" w:ascii="Times New Roman" w:hAnsi="Times New Roman" w:eastAsia="方正仿宋_GBK" w:cs="方正仿宋_GBK"/>
        </w:rPr>
        <w:t>区县医保部门要积极会同相关部门做好</w:t>
      </w:r>
      <w:r>
        <w:rPr>
          <w:rFonts w:hint="eastAsia" w:ascii="Times New Roman" w:hAnsi="Times New Roman" w:eastAsia="方正仿宋_GBK" w:cs="方正仿宋_GBK"/>
          <w:lang w:eastAsia="zh-CN"/>
        </w:rPr>
        <w:t>门诊</w:t>
      </w:r>
      <w:r>
        <w:rPr>
          <w:rFonts w:hint="eastAsia" w:ascii="Times New Roman" w:hAnsi="Times New Roman" w:eastAsia="方正仿宋_GBK" w:cs="方正仿宋_GBK"/>
        </w:rPr>
        <w:t>用药保障工作</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加强对定点医疗机构指导</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密切督查工作进展和规范。有关医疗机构要加强对国谈药品的管理和使用，完善药品用药指南和规范，规范诊疗行为，促进合理用药。有关</w:t>
      </w:r>
      <w:r>
        <w:rPr>
          <w:rFonts w:hint="eastAsia" w:ascii="Times New Roman" w:hAnsi="Times New Roman" w:eastAsia="方正仿宋_GBK" w:cs="方正仿宋_GBK"/>
          <w:lang w:eastAsia="zh-CN"/>
        </w:rPr>
        <w:t>零售</w:t>
      </w:r>
      <w:r>
        <w:rPr>
          <w:rFonts w:hint="eastAsia" w:ascii="Times New Roman" w:hAnsi="Times New Roman" w:eastAsia="方正仿宋_GBK" w:cs="方正仿宋_GBK"/>
        </w:rPr>
        <w:t>药店要按“三定”管理原则核实患者在医保信息系统中的备案信息，并做好方便患者的药品配送服务</w:t>
      </w:r>
      <w:r>
        <w:rPr>
          <w:rFonts w:hint="eastAsia" w:ascii="Times New Roman" w:hAnsi="Times New Roman" w:eastAsia="方正仿宋_GBK" w:cs="方正仿宋_GBK"/>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Times New Roman" w:hAnsi="Times New Roman" w:eastAsia="方正仿宋_GBK" w:cs="方正仿宋_GBK"/>
        </w:rPr>
      </w:pP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Times New Roman" w:hAnsi="Times New Roman" w:eastAsia="方正仿宋_GBK" w:cs="方正仿宋_GBK"/>
        </w:rPr>
      </w:pPr>
    </w:p>
    <w:p>
      <w:pPr>
        <w:keepNext w:val="0"/>
        <w:keepLines w:val="0"/>
        <w:pageBreakBefore w:val="0"/>
        <w:widowControl w:val="0"/>
        <w:kinsoku/>
        <w:wordWrap/>
        <w:overflowPunct/>
        <w:topLinePunct w:val="0"/>
        <w:autoSpaceDE/>
        <w:autoSpaceDN/>
        <w:bidi w:val="0"/>
        <w:adjustRightInd/>
        <w:snapToGrid/>
        <w:spacing w:line="600" w:lineRule="exact"/>
        <w:ind w:firstLine="4000" w:firstLineChars="1250"/>
        <w:jc w:val="both"/>
        <w:textAlignment w:val="auto"/>
        <w:rPr>
          <w:rFonts w:hint="eastAsia" w:ascii="Times New Roman" w:hAnsi="Times New Roman" w:eastAsia="方正仿宋_GBK" w:cs="方正仿宋_GBK"/>
        </w:rPr>
      </w:pPr>
      <w:r>
        <w:rPr>
          <w:rFonts w:hint="eastAsia" w:ascii="Times New Roman" w:hAnsi="Times New Roman" w:eastAsia="方正仿宋_GBK" w:cs="方正仿宋_GBK"/>
        </w:rPr>
        <w:t>重庆市医疗保障局办公室</w:t>
      </w:r>
    </w:p>
    <w:p>
      <w:pPr>
        <w:keepNext w:val="0"/>
        <w:keepLines w:val="0"/>
        <w:pageBreakBefore w:val="0"/>
        <w:widowControl w:val="0"/>
        <w:kinsoku/>
        <w:wordWrap/>
        <w:overflowPunct/>
        <w:topLinePunct w:val="0"/>
        <w:autoSpaceDE/>
        <w:autoSpaceDN/>
        <w:bidi w:val="0"/>
        <w:adjustRightInd/>
        <w:snapToGrid/>
        <w:spacing w:line="600" w:lineRule="exact"/>
        <w:ind w:firstLine="4576" w:firstLineChars="1430"/>
        <w:jc w:val="both"/>
        <w:textAlignment w:val="auto"/>
        <w:rPr>
          <w:rFonts w:hint="eastAsia" w:ascii="Times New Roman" w:hAnsi="Times New Roman" w:eastAsia="方正仿宋_GBK" w:cs="方正仿宋_GBK"/>
        </w:rPr>
      </w:pPr>
      <w:r>
        <w:rPr>
          <w:rFonts w:hint="eastAsia" w:ascii="Times New Roman" w:hAnsi="Times New Roman" w:eastAsia="方正仿宋_GBK" w:cs="方正仿宋_GBK"/>
        </w:rPr>
        <w:t>2023年5月</w:t>
      </w:r>
      <w:r>
        <w:rPr>
          <w:rFonts w:hint="eastAsia" w:ascii="Times New Roman" w:hAnsi="Times New Roman" w:eastAsia="方正仿宋_GBK" w:cs="方正仿宋_GBK"/>
          <w:lang w:val="en-US" w:eastAsia="zh-CN"/>
        </w:rPr>
        <w:t>2</w:t>
      </w:r>
      <w:r>
        <w:rPr>
          <w:rFonts w:hint="eastAsia" w:eastAsia="方正仿宋_GBK" w:cs="方正仿宋_GBK"/>
          <w:lang w:val="en-US" w:eastAsia="zh-CN"/>
        </w:rPr>
        <w:t>3</w:t>
      </w:r>
      <w:r>
        <w:rPr>
          <w:rFonts w:hint="eastAsia" w:ascii="Times New Roman" w:hAnsi="Times New Roman" w:eastAsia="方正仿宋_GBK" w:cs="方正仿宋_GBK"/>
        </w:rPr>
        <w:t xml:space="preserve">日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sz w:val="32"/>
          <w:szCs w:val="20"/>
          <w:lang w:eastAsia="zh-CN"/>
        </w:rPr>
      </w:pPr>
      <w:r>
        <w:rPr>
          <w:rFonts w:hint="eastAsia" w:ascii="Times New Roman" w:hAnsi="Times New Roman" w:eastAsia="方正仿宋_GBK"/>
          <w:sz w:val="32"/>
          <w:szCs w:val="20"/>
          <w:lang w:eastAsia="zh-CN"/>
        </w:rPr>
        <w:t>（此件公开发布）</w:t>
      </w:r>
    </w:p>
    <w:p>
      <w:pPr>
        <w:wordWrap/>
        <w:spacing w:line="600" w:lineRule="exact"/>
        <w:ind w:firstLine="640"/>
        <w:jc w:val="left"/>
        <w:rPr>
          <w:rFonts w:hint="eastAsia" w:ascii="方正仿宋_GBK" w:hAnsi="方正仿宋_GBK" w:eastAsia="方正仿宋_GBK" w:cs="方正仿宋_GBK"/>
        </w:rPr>
        <w:sectPr>
          <w:footerReference r:id="rId3" w:type="default"/>
          <w:pgSz w:w="11906" w:h="16838"/>
          <w:pgMar w:top="2098" w:right="1474" w:bottom="1984" w:left="1587" w:header="850" w:footer="992" w:gutter="0"/>
          <w:pgNumType w:fmt="numberInDash"/>
          <w:cols w:space="720" w:num="1"/>
          <w:docGrid w:type="lines" w:linePitch="442" w:charSpace="0"/>
        </w:sectPr>
      </w:pPr>
    </w:p>
    <w:p>
      <w:pPr>
        <w:wordWrap/>
        <w:spacing w:line="600" w:lineRule="exact"/>
        <w:ind w:firstLine="640"/>
        <w:jc w:val="left"/>
        <w:rPr>
          <w:rFonts w:eastAsia="方正仿宋_GBK"/>
        </w:rPr>
      </w:pPr>
      <w:r>
        <w:rPr>
          <w:rFonts w:hint="eastAsia" w:ascii="方正仿宋_GBK" w:hAnsi="方正仿宋_GBK" w:eastAsia="方正仿宋_GBK" w:cs="方正仿宋_GBK"/>
        </w:rPr>
        <w:t xml:space="preserve"> </w:t>
      </w:r>
      <w:r>
        <w:rPr>
          <w:rFonts w:hint="eastAsia" w:eastAsia="方正仿宋_GBK"/>
        </w:rPr>
        <w:t xml:space="preserve"> </w:t>
      </w:r>
    </w:p>
    <w:p>
      <w:pPr>
        <w:spacing w:line="600" w:lineRule="exact"/>
        <w:ind w:firstLine="640"/>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lang w:val="en-US" w:eastAsia="zh-CN"/>
        </w:rPr>
        <w:t>2023年</w:t>
      </w:r>
      <w:r>
        <w:rPr>
          <w:rFonts w:hint="eastAsia" w:ascii="方正小标宋_GBK" w:hAnsi="方正小标宋_GBK" w:eastAsia="方正小标宋_GBK" w:cs="方正小标宋_GBK"/>
          <w:b w:val="0"/>
          <w:bCs w:val="0"/>
          <w:sz w:val="44"/>
          <w:szCs w:val="44"/>
        </w:rPr>
        <w:t>国家医保谈判药品门诊保障用药名单</w:t>
      </w:r>
    </w:p>
    <w:p>
      <w:pPr>
        <w:spacing w:line="600" w:lineRule="exact"/>
        <w:ind w:firstLine="640"/>
        <w:jc w:val="center"/>
        <w:rPr>
          <w:rFonts w:ascii="Calibri" w:hAnsi="Calibri" w:eastAsia="宋体"/>
          <w:b/>
          <w:bCs/>
          <w:sz w:val="21"/>
          <w:szCs w:val="24"/>
        </w:rPr>
      </w:pPr>
    </w:p>
    <w:tbl>
      <w:tblPr>
        <w:tblStyle w:val="16"/>
        <w:tblW w:w="13500" w:type="dxa"/>
        <w:jc w:val="center"/>
        <w:tblLayout w:type="autofit"/>
        <w:tblCellMar>
          <w:top w:w="0" w:type="dxa"/>
          <w:left w:w="0" w:type="dxa"/>
          <w:bottom w:w="0" w:type="dxa"/>
          <w:right w:w="0" w:type="dxa"/>
        </w:tblCellMar>
      </w:tblPr>
      <w:tblGrid>
        <w:gridCol w:w="1080"/>
        <w:gridCol w:w="2940"/>
        <w:gridCol w:w="2940"/>
        <w:gridCol w:w="4845"/>
        <w:gridCol w:w="1695"/>
      </w:tblGrid>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eastAsia" w:ascii="方正黑体_GBK" w:hAnsi="方正黑体_GBK" w:eastAsia="方正黑体_GBK" w:cs="方正黑体_GBK"/>
                <w:color w:val="000000"/>
                <w:kern w:val="0"/>
                <w:sz w:val="20"/>
                <w:szCs w:val="20"/>
                <w:lang w:val="en-US" w:eastAsia="zh-CN"/>
              </w:rPr>
            </w:pPr>
            <w:r>
              <w:rPr>
                <w:rFonts w:hint="eastAsia" w:ascii="方正黑体_GBK" w:hAnsi="方正黑体_GBK" w:eastAsia="方正黑体_GBK" w:cs="方正黑体_GBK"/>
                <w:color w:val="000000"/>
                <w:kern w:val="0"/>
                <w:sz w:val="20"/>
                <w:szCs w:val="20"/>
                <w:lang w:val="en-US" w:eastAsia="zh-CN"/>
              </w:rPr>
              <w:t>序号</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eastAsia" w:ascii="方正黑体_GBK" w:hAnsi="方正黑体_GBK" w:eastAsia="方正黑体_GBK" w:cs="方正黑体_GBK"/>
                <w:color w:val="000000"/>
                <w:kern w:val="0"/>
                <w:sz w:val="20"/>
                <w:szCs w:val="20"/>
              </w:rPr>
            </w:pPr>
            <w:r>
              <w:rPr>
                <w:rFonts w:hint="eastAsia" w:ascii="方正黑体_GBK" w:hAnsi="方正黑体_GBK" w:eastAsia="方正黑体_GBK" w:cs="方正黑体_GBK"/>
                <w:color w:val="000000"/>
                <w:kern w:val="0"/>
                <w:sz w:val="20"/>
                <w:szCs w:val="20"/>
              </w:rPr>
              <w:t>药品名称</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eastAsia" w:ascii="方正黑体_GBK" w:hAnsi="方正黑体_GBK" w:eastAsia="方正黑体_GBK" w:cs="方正黑体_GBK"/>
                <w:color w:val="000000"/>
                <w:kern w:val="0"/>
                <w:sz w:val="20"/>
                <w:szCs w:val="20"/>
              </w:rPr>
            </w:pPr>
            <w:r>
              <w:rPr>
                <w:rFonts w:hint="eastAsia" w:ascii="方正黑体_GBK" w:hAnsi="方正黑体_GBK" w:eastAsia="方正黑体_GBK" w:cs="方正黑体_GBK"/>
                <w:color w:val="000000"/>
                <w:kern w:val="0"/>
                <w:sz w:val="20"/>
                <w:szCs w:val="20"/>
              </w:rPr>
              <w:t>剂型、规格</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eastAsia" w:ascii="方正黑体_GBK" w:hAnsi="方正黑体_GBK" w:eastAsia="方正黑体_GBK" w:cs="方正黑体_GBK"/>
                <w:color w:val="000000"/>
                <w:kern w:val="0"/>
                <w:sz w:val="20"/>
                <w:szCs w:val="20"/>
              </w:rPr>
            </w:pPr>
            <w:r>
              <w:rPr>
                <w:rFonts w:hint="eastAsia" w:ascii="方正黑体_GBK" w:hAnsi="方正黑体_GBK" w:eastAsia="方正黑体_GBK" w:cs="方正黑体_GBK"/>
                <w:color w:val="000000"/>
                <w:kern w:val="0"/>
                <w:sz w:val="20"/>
                <w:szCs w:val="20"/>
              </w:rPr>
              <w:t>备注</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center"/>
              <w:textAlignment w:val="center"/>
              <w:rPr>
                <w:rFonts w:hint="eastAsia" w:ascii="方正黑体_GBK" w:hAnsi="方正黑体_GBK" w:eastAsia="方正黑体_GBK" w:cs="方正黑体_GBK"/>
                <w:color w:val="000000"/>
                <w:kern w:val="0"/>
                <w:sz w:val="20"/>
                <w:szCs w:val="20"/>
              </w:rPr>
            </w:pPr>
            <w:r>
              <w:rPr>
                <w:rFonts w:hint="eastAsia" w:ascii="方正黑体_GBK" w:hAnsi="方正黑体_GBK" w:eastAsia="方正黑体_GBK" w:cs="方正黑体_GBK"/>
                <w:color w:val="000000"/>
                <w:kern w:val="0"/>
                <w:sz w:val="20"/>
                <w:szCs w:val="20"/>
              </w:rPr>
              <w:t>协议有效期</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麦格司他胶囊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int="eastAsia"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C</w:t>
            </w:r>
            <w:r>
              <w:rPr>
                <w:rFonts w:hint="eastAsia" w:hAnsi="宋体" w:eastAsia="宋体" w:cs="宋体"/>
                <w:color w:val="000000"/>
                <w:kern w:val="0"/>
                <w:sz w:val="20"/>
                <w:szCs w:val="20"/>
              </w:rPr>
              <w:t>型尼曼匹克病患者。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8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注射用维得利珠单抗</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限中度至重度活动性溃疡性结肠炎的二线用药或中度至重度活动性克罗恩病的二线用药。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司来帕格片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WHO</w:t>
            </w:r>
            <w:r>
              <w:rPr>
                <w:rFonts w:hint="eastAsia" w:hAnsi="宋体" w:eastAsia="宋体" w:cs="宋体"/>
                <w:color w:val="000000"/>
                <w:kern w:val="0"/>
                <w:sz w:val="20"/>
                <w:szCs w:val="20"/>
              </w:rPr>
              <w:t>功能分级</w:t>
            </w:r>
            <w:r>
              <w:rPr>
                <w:rFonts w:hAnsi="宋体" w:eastAsia="宋体" w:cs="宋体"/>
                <w:color w:val="000000"/>
                <w:kern w:val="0"/>
                <w:sz w:val="20"/>
                <w:szCs w:val="20"/>
              </w:rPr>
              <w:t>II</w:t>
            </w:r>
            <w:r>
              <w:rPr>
                <w:rFonts w:hint="eastAsia" w:hAnsi="宋体" w:eastAsia="宋体" w:cs="宋体"/>
                <w:color w:val="000000"/>
                <w:kern w:val="0"/>
                <w:sz w:val="20"/>
                <w:szCs w:val="20"/>
              </w:rPr>
              <w:t>级</w:t>
            </w:r>
            <w:r>
              <w:rPr>
                <w:rFonts w:hAnsi="宋体" w:eastAsia="宋体" w:cs="宋体"/>
                <w:color w:val="000000"/>
                <w:kern w:val="0"/>
                <w:sz w:val="20"/>
                <w:szCs w:val="20"/>
              </w:rPr>
              <w:t>-III</w:t>
            </w:r>
            <w:r>
              <w:rPr>
                <w:rFonts w:hint="eastAsia" w:hAnsi="宋体" w:eastAsia="宋体" w:cs="宋体"/>
                <w:color w:val="000000"/>
                <w:kern w:val="0"/>
                <w:sz w:val="20"/>
                <w:szCs w:val="20"/>
              </w:rPr>
              <w:t>级的肺动脉高压（</w:t>
            </w:r>
            <w:r>
              <w:rPr>
                <w:rFonts w:hAnsi="宋体" w:eastAsia="宋体" w:cs="宋体"/>
                <w:color w:val="000000"/>
                <w:kern w:val="0"/>
                <w:sz w:val="20"/>
                <w:szCs w:val="20"/>
              </w:rPr>
              <w:t>WHO</w:t>
            </w:r>
            <w:r>
              <w:rPr>
                <w:rFonts w:hint="eastAsia" w:hAnsi="宋体" w:eastAsia="宋体" w:cs="宋体"/>
                <w:color w:val="000000"/>
                <w:kern w:val="0"/>
                <w:sz w:val="20"/>
                <w:szCs w:val="20"/>
              </w:rPr>
              <w:t>第</w:t>
            </w:r>
            <w:r>
              <w:rPr>
                <w:rFonts w:hAnsi="宋体" w:eastAsia="宋体" w:cs="宋体"/>
                <w:color w:val="000000"/>
                <w:kern w:val="0"/>
                <w:sz w:val="20"/>
                <w:szCs w:val="20"/>
              </w:rPr>
              <w:t>1</w:t>
            </w:r>
            <w:r>
              <w:rPr>
                <w:rFonts w:hint="eastAsia" w:hAnsi="宋体" w:eastAsia="宋体" w:cs="宋体"/>
                <w:color w:val="000000"/>
                <w:kern w:val="0"/>
                <w:sz w:val="20"/>
                <w:szCs w:val="20"/>
              </w:rPr>
              <w:t>组）的患者。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注射用重组人组织型纤溶酶原激酶衍生物</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限急性心肌梗死发病</w:t>
            </w:r>
            <w:r>
              <w:rPr>
                <w:rFonts w:hAnsi="宋体" w:eastAsia="宋体" w:cs="宋体"/>
                <w:color w:val="000000"/>
                <w:kern w:val="0"/>
                <w:sz w:val="20"/>
                <w:szCs w:val="20"/>
              </w:rPr>
              <w:t>12</w:t>
            </w:r>
            <w:r>
              <w:rPr>
                <w:rFonts w:hint="eastAsia" w:hAnsi="宋体" w:eastAsia="宋体" w:cs="宋体"/>
                <w:color w:val="000000"/>
                <w:kern w:val="0"/>
                <w:sz w:val="20"/>
                <w:szCs w:val="20"/>
              </w:rPr>
              <w:t>小时内使用。</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注射用重组人尿激酶原</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5mg/</w:t>
            </w:r>
            <w:r>
              <w:rPr>
                <w:rFonts w:hint="eastAsia" w:hAnsi="宋体" w:eastAsia="宋体" w:cs="宋体"/>
                <w:color w:val="000000"/>
                <w:kern w:val="0"/>
                <w:sz w:val="20"/>
                <w:szCs w:val="20"/>
              </w:rPr>
              <w:t>支</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限急性心肌梗死发病</w:t>
            </w:r>
            <w:r>
              <w:rPr>
                <w:rFonts w:hAnsi="宋体" w:eastAsia="宋体" w:cs="宋体"/>
                <w:color w:val="000000"/>
                <w:kern w:val="0"/>
                <w:sz w:val="20"/>
                <w:szCs w:val="20"/>
              </w:rPr>
              <w:t>12</w:t>
            </w:r>
            <w:r>
              <w:rPr>
                <w:rFonts w:hint="eastAsia" w:hAnsi="宋体" w:eastAsia="宋体" w:cs="宋体"/>
                <w:color w:val="000000"/>
                <w:kern w:val="0"/>
                <w:sz w:val="20"/>
                <w:szCs w:val="20"/>
              </w:rPr>
              <w:t>小时内使用。</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87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注射用阿替普酶</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限急性心肌梗死发病</w:t>
            </w:r>
            <w:r>
              <w:rPr>
                <w:rFonts w:hAnsi="宋体" w:eastAsia="宋体" w:cs="宋体"/>
                <w:color w:val="000000"/>
                <w:kern w:val="0"/>
                <w:sz w:val="20"/>
                <w:szCs w:val="20"/>
              </w:rPr>
              <w:t>12</w:t>
            </w:r>
            <w:r>
              <w:rPr>
                <w:rFonts w:hint="eastAsia" w:hAnsi="宋体" w:eastAsia="宋体" w:cs="宋体"/>
                <w:color w:val="000000"/>
                <w:kern w:val="0"/>
                <w:sz w:val="20"/>
                <w:szCs w:val="20"/>
              </w:rPr>
              <w:t>小时内、脑梗死发病</w:t>
            </w:r>
            <w:r>
              <w:rPr>
                <w:rFonts w:hAnsi="宋体" w:eastAsia="宋体" w:cs="宋体"/>
                <w:color w:val="000000"/>
                <w:kern w:val="0"/>
                <w:sz w:val="20"/>
                <w:szCs w:val="20"/>
              </w:rPr>
              <w:t>3</w:t>
            </w:r>
            <w:r>
              <w:rPr>
                <w:rFonts w:hint="eastAsia" w:hAnsi="宋体" w:eastAsia="宋体" w:cs="宋体"/>
                <w:color w:val="000000"/>
                <w:kern w:val="0"/>
                <w:sz w:val="20"/>
                <w:szCs w:val="20"/>
              </w:rPr>
              <w:t>小时内的溶栓治疗，超过说明书规定用药时限的不予支付。</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注射用重组人</w:t>
            </w:r>
            <w:r>
              <w:rPr>
                <w:rFonts w:hAnsi="宋体" w:eastAsia="宋体" w:cs="宋体"/>
                <w:color w:val="000000"/>
                <w:kern w:val="0"/>
                <w:sz w:val="20"/>
                <w:szCs w:val="20"/>
              </w:rPr>
              <w:t>TNK</w:t>
            </w:r>
            <w:r>
              <w:rPr>
                <w:rFonts w:hint="eastAsia" w:hAnsi="宋体" w:eastAsia="宋体" w:cs="宋体"/>
                <w:color w:val="000000"/>
                <w:kern w:val="0"/>
                <w:sz w:val="20"/>
                <w:szCs w:val="20"/>
              </w:rPr>
              <w:t>组织型纤溶酶原激活剂</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1.0</w:t>
            </w:r>
            <w:r>
              <w:rPr>
                <w:rFonts w:hint="eastAsia" w:hAnsi="宋体" w:eastAsia="宋体" w:cs="宋体"/>
                <w:color w:val="000000"/>
                <w:kern w:val="0"/>
                <w:sz w:val="20"/>
                <w:szCs w:val="20"/>
              </w:rPr>
              <w:t>×</w:t>
            </w:r>
            <w:r>
              <w:rPr>
                <w:rFonts w:hAnsi="宋体" w:eastAsia="宋体" w:cs="宋体"/>
                <w:color w:val="000000"/>
                <w:kern w:val="0"/>
                <w:sz w:val="20"/>
                <w:szCs w:val="20"/>
              </w:rPr>
              <w:t>10E7IU/16mg/</w:t>
            </w:r>
            <w:r>
              <w:rPr>
                <w:rFonts w:hint="eastAsia" w:hAnsi="宋体" w:eastAsia="宋体" w:cs="宋体"/>
                <w:color w:val="000000"/>
                <w:kern w:val="0"/>
                <w:sz w:val="20"/>
                <w:szCs w:val="20"/>
              </w:rPr>
              <w:t>支</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限急性心肌梗死发病</w:t>
            </w:r>
            <w:r>
              <w:rPr>
                <w:rFonts w:hAnsi="宋体" w:eastAsia="宋体" w:cs="宋体"/>
                <w:color w:val="000000"/>
                <w:kern w:val="0"/>
                <w:sz w:val="20"/>
                <w:szCs w:val="20"/>
              </w:rPr>
              <w:t>6</w:t>
            </w:r>
            <w:r>
              <w:rPr>
                <w:rFonts w:hint="eastAsia" w:hAnsi="宋体" w:eastAsia="宋体" w:cs="宋体"/>
                <w:color w:val="000000"/>
                <w:kern w:val="0"/>
                <w:sz w:val="20"/>
                <w:szCs w:val="20"/>
              </w:rPr>
              <w:t>小时内使用。</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甲苯磺酸艾多沙班片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15mg/</w:t>
            </w:r>
            <w:r>
              <w:rPr>
                <w:rFonts w:hint="eastAsia" w:hAnsi="宋体" w:eastAsia="宋体" w:cs="宋体"/>
                <w:color w:val="000000"/>
                <w:kern w:val="0"/>
                <w:sz w:val="20"/>
                <w:szCs w:val="20"/>
              </w:rPr>
              <w:t>片；</w:t>
            </w:r>
            <w:r>
              <w:rPr>
                <w:rFonts w:hAnsi="宋体" w:eastAsia="宋体" w:cs="宋体"/>
                <w:color w:val="000000"/>
                <w:kern w:val="0"/>
                <w:sz w:val="20"/>
                <w:szCs w:val="20"/>
              </w:rPr>
              <w:t>30mg/</w:t>
            </w:r>
            <w:r>
              <w:rPr>
                <w:rFonts w:hint="eastAsia" w:hAnsi="宋体" w:eastAsia="宋体" w:cs="宋体"/>
                <w:color w:val="000000"/>
                <w:kern w:val="0"/>
                <w:sz w:val="20"/>
                <w:szCs w:val="20"/>
              </w:rPr>
              <w:t>片；</w:t>
            </w:r>
            <w:r>
              <w:rPr>
                <w:rFonts w:hAnsi="宋体" w:eastAsia="宋体" w:cs="宋体"/>
                <w:color w:val="000000"/>
                <w:kern w:val="0"/>
                <w:sz w:val="20"/>
                <w:szCs w:val="20"/>
              </w:rPr>
              <w:t>60mg/</w:t>
            </w:r>
            <w:r>
              <w:rPr>
                <w:rFonts w:hint="eastAsia" w:hAnsi="宋体" w:eastAsia="宋体" w:cs="宋体"/>
                <w:color w:val="000000"/>
                <w:kern w:val="0"/>
                <w:sz w:val="20"/>
                <w:szCs w:val="20"/>
              </w:rPr>
              <w:t>片</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限华法林治疗控制不良或出血高危的非瓣膜性房颤、深静脉血栓、肺栓塞患者。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30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注射用重组人凝血因子Ⅶ</w:t>
            </w:r>
            <w:r>
              <w:rPr>
                <w:rFonts w:hAnsi="宋体" w:eastAsia="宋体" w:cs="宋体"/>
                <w:color w:val="000000"/>
                <w:kern w:val="0"/>
                <w:sz w:val="20"/>
                <w:szCs w:val="20"/>
              </w:rPr>
              <w:t>a</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用于下列患者群体出血的治疗，以及外科手术或有创操作出血的防治：</w:t>
            </w:r>
          </w:p>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w:t>
            </w:r>
            <w:r>
              <w:rPr>
                <w:rFonts w:hint="eastAsia" w:hAnsi="宋体" w:eastAsia="宋体" w:cs="宋体"/>
                <w:color w:val="000000"/>
                <w:kern w:val="0"/>
                <w:sz w:val="20"/>
                <w:szCs w:val="20"/>
              </w:rPr>
              <w:t>凝血因子</w:t>
            </w:r>
            <w:r>
              <w:rPr>
                <w:rFonts w:hAnsi="宋体" w:eastAsia="宋体" w:cs="宋体"/>
                <w:color w:val="000000"/>
                <w:kern w:val="0"/>
                <w:sz w:val="20"/>
                <w:szCs w:val="20"/>
              </w:rPr>
              <w:t>VIII</w:t>
            </w:r>
            <w:r>
              <w:rPr>
                <w:rFonts w:hint="eastAsia" w:hAnsi="宋体" w:eastAsia="宋体" w:cs="宋体"/>
                <w:color w:val="000000"/>
                <w:kern w:val="0"/>
                <w:sz w:val="20"/>
                <w:szCs w:val="20"/>
              </w:rPr>
              <w:t>或</w:t>
            </w:r>
            <w:r>
              <w:rPr>
                <w:rFonts w:hAnsi="宋体" w:eastAsia="宋体" w:cs="宋体"/>
                <w:color w:val="000000"/>
                <w:kern w:val="0"/>
                <w:sz w:val="20"/>
                <w:szCs w:val="20"/>
              </w:rPr>
              <w:t>IX</w:t>
            </w:r>
            <w:r>
              <w:rPr>
                <w:rFonts w:hint="eastAsia" w:hAnsi="宋体" w:eastAsia="宋体" w:cs="宋体"/>
                <w:color w:val="000000"/>
                <w:kern w:val="0"/>
                <w:sz w:val="20"/>
                <w:szCs w:val="20"/>
              </w:rPr>
              <w:t>的抑制物</w:t>
            </w:r>
            <w:r>
              <w:rPr>
                <w:rFonts w:hAnsi="宋体" w:eastAsia="宋体" w:cs="宋体"/>
                <w:color w:val="000000"/>
                <w:kern w:val="0"/>
                <w:sz w:val="20"/>
                <w:szCs w:val="20"/>
              </w:rPr>
              <w:t>&gt;5</w:t>
            </w:r>
            <w:r>
              <w:rPr>
                <w:rFonts w:hint="eastAsia" w:hAnsi="宋体" w:eastAsia="宋体" w:cs="宋体"/>
                <w:color w:val="000000"/>
                <w:kern w:val="0"/>
                <w:sz w:val="20"/>
                <w:szCs w:val="20"/>
              </w:rPr>
              <w:t>个</w:t>
            </w:r>
            <w:r>
              <w:rPr>
                <w:rFonts w:hAnsi="宋体" w:eastAsia="宋体" w:cs="宋体"/>
                <w:color w:val="000000"/>
                <w:kern w:val="0"/>
                <w:sz w:val="20"/>
                <w:szCs w:val="20"/>
              </w:rPr>
              <w:t>Bethesda</w:t>
            </w:r>
            <w:r>
              <w:rPr>
                <w:rFonts w:hint="eastAsia" w:hAnsi="宋体" w:eastAsia="宋体" w:cs="宋体"/>
                <w:color w:val="000000"/>
                <w:kern w:val="0"/>
                <w:sz w:val="20"/>
                <w:szCs w:val="20"/>
              </w:rPr>
              <w:t>单位</w:t>
            </w:r>
            <w:r>
              <w:rPr>
                <w:rFonts w:hAnsi="宋体" w:eastAsia="宋体" w:cs="宋体"/>
                <w:color w:val="000000"/>
                <w:kern w:val="0"/>
                <w:sz w:val="20"/>
                <w:szCs w:val="20"/>
              </w:rPr>
              <w:t>(BU)</w:t>
            </w:r>
            <w:r>
              <w:rPr>
                <w:rFonts w:hint="eastAsia" w:hAnsi="宋体" w:eastAsia="宋体" w:cs="宋体"/>
                <w:color w:val="000000"/>
                <w:kern w:val="0"/>
                <w:sz w:val="20"/>
                <w:szCs w:val="20"/>
              </w:rPr>
              <w:t>的先天性血友病患者；预计对注射凝血因子</w:t>
            </w:r>
            <w:r>
              <w:rPr>
                <w:rFonts w:hAnsi="宋体" w:eastAsia="宋体" w:cs="宋体"/>
                <w:color w:val="000000"/>
                <w:kern w:val="0"/>
                <w:sz w:val="20"/>
                <w:szCs w:val="20"/>
              </w:rPr>
              <w:t>VIII</w:t>
            </w:r>
            <w:r>
              <w:rPr>
                <w:rFonts w:hint="eastAsia" w:hAnsi="宋体" w:eastAsia="宋体" w:cs="宋体"/>
                <w:color w:val="000000"/>
                <w:kern w:val="0"/>
                <w:sz w:val="20"/>
                <w:szCs w:val="20"/>
              </w:rPr>
              <w:t>或凝血因子</w:t>
            </w:r>
            <w:r>
              <w:rPr>
                <w:rFonts w:hAnsi="宋体" w:eastAsia="宋体" w:cs="宋体"/>
                <w:color w:val="000000"/>
                <w:kern w:val="0"/>
                <w:sz w:val="20"/>
                <w:szCs w:val="20"/>
              </w:rPr>
              <w:t>IX</w:t>
            </w:r>
            <w:r>
              <w:rPr>
                <w:rFonts w:hint="eastAsia" w:hAnsi="宋体" w:eastAsia="宋体" w:cs="宋体"/>
                <w:color w:val="000000"/>
                <w:kern w:val="0"/>
                <w:sz w:val="20"/>
                <w:szCs w:val="20"/>
              </w:rPr>
              <w:t>，具有高记忆应答的先天性血友病患者；</w:t>
            </w:r>
            <w:r>
              <w:rPr>
                <w:rFonts w:hAnsi="宋体" w:eastAsia="宋体" w:cs="宋体"/>
                <w:color w:val="000000"/>
                <w:kern w:val="0"/>
                <w:sz w:val="20"/>
                <w:szCs w:val="20"/>
              </w:rPr>
              <w:t>2.</w:t>
            </w:r>
            <w:r>
              <w:rPr>
                <w:rFonts w:hint="eastAsia" w:hAnsi="宋体" w:eastAsia="宋体" w:cs="宋体"/>
                <w:color w:val="000000"/>
                <w:kern w:val="0"/>
                <w:sz w:val="20"/>
                <w:szCs w:val="20"/>
              </w:rPr>
              <w:t>获得性血友病患者；</w:t>
            </w:r>
            <w:r>
              <w:rPr>
                <w:rFonts w:hAnsi="宋体" w:eastAsia="宋体" w:cs="宋体"/>
                <w:color w:val="000000"/>
                <w:kern w:val="0"/>
                <w:sz w:val="20"/>
                <w:szCs w:val="20"/>
              </w:rPr>
              <w:t>3.</w:t>
            </w:r>
            <w:r>
              <w:rPr>
                <w:rFonts w:hint="eastAsia" w:hAnsi="宋体" w:eastAsia="宋体" w:cs="宋体"/>
                <w:color w:val="000000"/>
                <w:kern w:val="0"/>
                <w:sz w:val="20"/>
                <w:szCs w:val="20"/>
              </w:rPr>
              <w:t>先天性凝血因子</w:t>
            </w:r>
            <w:r>
              <w:rPr>
                <w:rFonts w:hAnsi="宋体" w:eastAsia="宋体" w:cs="宋体"/>
                <w:color w:val="000000"/>
                <w:kern w:val="0"/>
                <w:sz w:val="20"/>
                <w:szCs w:val="20"/>
              </w:rPr>
              <w:t>VII(FVII)</w:t>
            </w:r>
            <w:r>
              <w:rPr>
                <w:rFonts w:hint="eastAsia" w:hAnsi="宋体" w:eastAsia="宋体" w:cs="宋体"/>
                <w:color w:val="000000"/>
                <w:kern w:val="0"/>
                <w:sz w:val="20"/>
                <w:szCs w:val="20"/>
              </w:rPr>
              <w:t>缺乏症患者；</w:t>
            </w:r>
            <w:r>
              <w:rPr>
                <w:rFonts w:hAnsi="宋体" w:eastAsia="宋体" w:cs="宋体"/>
                <w:color w:val="000000"/>
                <w:kern w:val="0"/>
                <w:sz w:val="20"/>
                <w:szCs w:val="20"/>
              </w:rPr>
              <w:t>4.</w:t>
            </w:r>
            <w:r>
              <w:rPr>
                <w:rFonts w:hint="eastAsia" w:hAnsi="宋体" w:eastAsia="宋体" w:cs="宋体"/>
                <w:color w:val="000000"/>
                <w:kern w:val="0"/>
                <w:sz w:val="20"/>
                <w:szCs w:val="20"/>
              </w:rPr>
              <w:t>具有血小板膜糖蛋白</w:t>
            </w:r>
            <w:r>
              <w:rPr>
                <w:rFonts w:hAnsi="宋体" w:eastAsia="宋体" w:cs="宋体"/>
                <w:color w:val="000000"/>
                <w:kern w:val="0"/>
                <w:sz w:val="20"/>
                <w:szCs w:val="20"/>
              </w:rPr>
              <w:t>IIb</w:t>
            </w:r>
            <w:r>
              <w:rPr>
                <w:rFonts w:hint="eastAsia" w:hAnsi="宋体" w:eastAsia="宋体" w:cs="宋体"/>
                <w:color w:val="000000"/>
                <w:kern w:val="0"/>
                <w:sz w:val="20"/>
                <w:szCs w:val="20"/>
              </w:rPr>
              <w:t>－</w:t>
            </w:r>
            <w:r>
              <w:rPr>
                <w:rFonts w:hAnsi="宋体" w:eastAsia="宋体" w:cs="宋体"/>
                <w:color w:val="000000"/>
                <w:kern w:val="0"/>
                <w:sz w:val="20"/>
                <w:szCs w:val="20"/>
              </w:rPr>
              <w:t>IIIa(GPIIb</w:t>
            </w:r>
            <w:r>
              <w:rPr>
                <w:rFonts w:hint="eastAsia" w:hAnsi="宋体" w:eastAsia="宋体" w:cs="宋体"/>
                <w:color w:val="000000"/>
                <w:kern w:val="0"/>
                <w:sz w:val="20"/>
                <w:szCs w:val="20"/>
              </w:rPr>
              <w:t>－</w:t>
            </w:r>
            <w:r>
              <w:rPr>
                <w:rFonts w:hAnsi="宋体" w:eastAsia="宋体" w:cs="宋体"/>
                <w:color w:val="000000"/>
                <w:kern w:val="0"/>
                <w:sz w:val="20"/>
                <w:szCs w:val="20"/>
              </w:rPr>
              <w:t>IIIa)</w:t>
            </w:r>
            <w:r>
              <w:rPr>
                <w:rFonts w:hint="eastAsia" w:hAnsi="宋体" w:eastAsia="宋体" w:cs="宋体"/>
                <w:color w:val="000000"/>
                <w:kern w:val="0"/>
                <w:sz w:val="20"/>
                <w:szCs w:val="20"/>
              </w:rPr>
              <w:t>和</w:t>
            </w:r>
            <w:r>
              <w:rPr>
                <w:rFonts w:hAnsi="宋体" w:eastAsia="宋体" w:cs="宋体"/>
                <w:color w:val="000000"/>
                <w:kern w:val="0"/>
                <w:sz w:val="20"/>
                <w:szCs w:val="20"/>
              </w:rPr>
              <w:t>/</w:t>
            </w:r>
            <w:r>
              <w:rPr>
                <w:rFonts w:hint="eastAsia" w:hAnsi="宋体" w:eastAsia="宋体" w:cs="宋体"/>
                <w:color w:val="000000"/>
                <w:kern w:val="0"/>
                <w:sz w:val="20"/>
                <w:szCs w:val="20"/>
              </w:rPr>
              <w:t>或人白细胞抗原</w:t>
            </w:r>
            <w:r>
              <w:rPr>
                <w:rFonts w:hAnsi="宋体" w:eastAsia="宋体" w:cs="宋体"/>
                <w:color w:val="000000"/>
                <w:kern w:val="0"/>
                <w:sz w:val="20"/>
                <w:szCs w:val="20"/>
              </w:rPr>
              <w:t>(HLA)</w:t>
            </w:r>
            <w:r>
              <w:rPr>
                <w:rFonts w:hint="eastAsia" w:hAnsi="宋体" w:eastAsia="宋体" w:cs="宋体"/>
                <w:color w:val="000000"/>
                <w:kern w:val="0"/>
                <w:sz w:val="20"/>
                <w:szCs w:val="20"/>
              </w:rPr>
              <w:t>抗体和既往或现在对血小板输注无效或不佳的血小板无力症患者。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85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重组人血小板生成素注射液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Style w:val="2"/>
              <w:keepNext/>
              <w:keepLines/>
              <w:pageBreakBefore w:val="0"/>
              <w:widowControl w:val="0"/>
              <w:kinsoku/>
              <w:wordWrap/>
              <w:overflowPunct/>
              <w:topLinePunct w:val="0"/>
              <w:autoSpaceDE/>
              <w:autoSpaceDN/>
              <w:bidi w:val="0"/>
              <w:adjustRightInd/>
              <w:snapToGrid/>
              <w:spacing w:line="320" w:lineRule="exact"/>
              <w:textAlignment w:val="auto"/>
            </w:pPr>
            <w:r>
              <w:rPr>
                <w:rFonts w:hint="eastAsia" w:ascii="Times New Roman" w:hAnsi="宋体" w:eastAsia="宋体" w:cs="宋体"/>
                <w:b w:val="0"/>
                <w:color w:val="000000"/>
                <w:kern w:val="0"/>
                <w:sz w:val="20"/>
                <w:szCs w:val="20"/>
                <w:lang w:val="en-US" w:eastAsia="zh-CN" w:bidi="ar-SA"/>
              </w:rPr>
              <w:t>限实体瘤化疗后所致的血小板减少症或原发免疫性血小板减少症(ITP)。</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人凝血因子Ⅸ</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用于凝血因子Ⅸ缺乏症（</w:t>
            </w:r>
            <w:r>
              <w:rPr>
                <w:rFonts w:hAnsi="宋体" w:eastAsia="宋体" w:cs="宋体"/>
                <w:color w:val="000000"/>
                <w:kern w:val="0"/>
                <w:sz w:val="20"/>
                <w:szCs w:val="20"/>
              </w:rPr>
              <w:t>B</w:t>
            </w:r>
            <w:r>
              <w:rPr>
                <w:rFonts w:hint="eastAsia" w:hAnsi="宋体" w:eastAsia="宋体" w:cs="宋体"/>
                <w:color w:val="000000"/>
                <w:kern w:val="0"/>
                <w:sz w:val="20"/>
                <w:szCs w:val="20"/>
              </w:rPr>
              <w:t>型血友病）患者的出血治疗。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艾曲泊帕乙醇胺片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限既往对糖皮质激素、免疫球蛋白等治疗反应不佳的成人和</w:t>
            </w:r>
            <w:r>
              <w:rPr>
                <w:rFonts w:hAnsi="宋体" w:eastAsia="宋体" w:cs="宋体"/>
                <w:color w:val="000000"/>
                <w:kern w:val="0"/>
                <w:sz w:val="20"/>
                <w:szCs w:val="20"/>
              </w:rPr>
              <w:t>6</w:t>
            </w:r>
            <w:r>
              <w:rPr>
                <w:rFonts w:hint="eastAsia" w:hAnsi="宋体" w:eastAsia="宋体" w:cs="宋体"/>
                <w:color w:val="000000"/>
                <w:kern w:val="0"/>
                <w:sz w:val="20"/>
                <w:szCs w:val="20"/>
              </w:rPr>
              <w:t>岁及以上儿童慢性免疫性</w:t>
            </w:r>
            <w:r>
              <w:rPr>
                <w:rFonts w:hAnsi="宋体" w:eastAsia="宋体" w:cs="宋体"/>
                <w:color w:val="000000"/>
                <w:kern w:val="0"/>
                <w:sz w:val="20"/>
                <w:szCs w:val="20"/>
              </w:rPr>
              <w:t>(</w:t>
            </w:r>
            <w:r>
              <w:rPr>
                <w:rFonts w:hint="eastAsia" w:hAnsi="宋体" w:eastAsia="宋体" w:cs="宋体"/>
                <w:color w:val="000000"/>
                <w:kern w:val="0"/>
                <w:sz w:val="20"/>
                <w:szCs w:val="20"/>
              </w:rPr>
              <w:t>特发性</w:t>
            </w:r>
            <w:r>
              <w:rPr>
                <w:rFonts w:hAnsi="宋体" w:eastAsia="宋体" w:cs="宋体"/>
                <w:color w:val="000000"/>
                <w:kern w:val="0"/>
                <w:sz w:val="20"/>
                <w:szCs w:val="20"/>
              </w:rPr>
              <w:t>)</w:t>
            </w:r>
            <w:r>
              <w:rPr>
                <w:rFonts w:hint="eastAsia" w:hAnsi="宋体" w:eastAsia="宋体" w:cs="宋体"/>
                <w:color w:val="000000"/>
                <w:kern w:val="0"/>
                <w:sz w:val="20"/>
                <w:szCs w:val="20"/>
              </w:rPr>
              <w:t>血小板减少症</w:t>
            </w:r>
            <w:r>
              <w:rPr>
                <w:rFonts w:hAnsi="宋体" w:eastAsia="宋体" w:cs="宋体"/>
                <w:color w:val="000000"/>
                <w:kern w:val="0"/>
                <w:sz w:val="20"/>
                <w:szCs w:val="20"/>
              </w:rPr>
              <w:t>(ITP)</w:t>
            </w:r>
            <w:r>
              <w:rPr>
                <w:rFonts w:hint="eastAsia" w:hAnsi="宋体" w:eastAsia="宋体" w:cs="宋体"/>
                <w:color w:val="000000"/>
                <w:kern w:val="0"/>
                <w:sz w:val="20"/>
                <w:szCs w:val="20"/>
              </w:rPr>
              <w:t>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海曲泊帕乙醇胺片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Ansi="宋体" w:eastAsia="宋体" w:cs="宋体"/>
                <w:color w:val="000000"/>
                <w:kern w:val="0"/>
                <w:sz w:val="20"/>
                <w:szCs w:val="20"/>
              </w:rPr>
            </w:pPr>
            <w:r>
              <w:rPr>
                <w:rFonts w:hAnsi="宋体" w:eastAsia="宋体" w:cs="宋体"/>
                <w:color w:val="000000"/>
                <w:kern w:val="0"/>
                <w:sz w:val="20"/>
                <w:szCs w:val="20"/>
              </w:rPr>
              <w:t>1.</w:t>
            </w:r>
            <w:r>
              <w:rPr>
                <w:rFonts w:hint="eastAsia" w:hAnsi="宋体" w:eastAsia="宋体" w:cs="宋体"/>
                <w:color w:val="000000"/>
                <w:kern w:val="0"/>
                <w:sz w:val="20"/>
                <w:szCs w:val="20"/>
              </w:rPr>
              <w:t>本品适用于既往对糖皮质激素、免疫球蛋白等治疗反应不佳的慢性原发免疫性血小板减少症</w:t>
            </w:r>
            <w:r>
              <w:rPr>
                <w:rFonts w:hAnsi="宋体" w:eastAsia="宋体" w:cs="宋体"/>
                <w:color w:val="000000"/>
                <w:kern w:val="0"/>
                <w:sz w:val="20"/>
                <w:szCs w:val="20"/>
              </w:rPr>
              <w:t>(ITP)</w:t>
            </w:r>
            <w:r>
              <w:rPr>
                <w:rFonts w:hint="eastAsia" w:hAnsi="宋体" w:eastAsia="宋体" w:cs="宋体"/>
                <w:color w:val="000000"/>
                <w:kern w:val="0"/>
                <w:sz w:val="20"/>
                <w:szCs w:val="20"/>
              </w:rPr>
              <w:t>成人患者，使血小板计数升高并减少或防止出血。本品仅用于因血小板减少和临床条件导致出血风险增加的</w:t>
            </w:r>
            <w:r>
              <w:rPr>
                <w:rFonts w:hAnsi="宋体" w:eastAsia="宋体" w:cs="宋体"/>
                <w:color w:val="000000"/>
                <w:kern w:val="0"/>
                <w:sz w:val="20"/>
                <w:szCs w:val="20"/>
              </w:rPr>
              <w:t>ITP</w:t>
            </w:r>
            <w:r>
              <w:rPr>
                <w:rFonts w:hint="eastAsia" w:hAnsi="宋体" w:eastAsia="宋体" w:cs="宋体"/>
                <w:color w:val="000000"/>
                <w:kern w:val="0"/>
                <w:sz w:val="20"/>
                <w:szCs w:val="20"/>
              </w:rPr>
              <w:t>患者；</w:t>
            </w:r>
            <w:r>
              <w:rPr>
                <w:rFonts w:hAnsi="宋体" w:eastAsia="宋体" w:cs="宋体"/>
                <w:color w:val="000000"/>
                <w:kern w:val="0"/>
                <w:sz w:val="20"/>
                <w:szCs w:val="20"/>
              </w:rPr>
              <w:br w:type="textWrapping"/>
            </w:r>
            <w:r>
              <w:rPr>
                <w:rFonts w:hAnsi="宋体" w:eastAsia="宋体" w:cs="宋体"/>
                <w:color w:val="000000"/>
                <w:kern w:val="0"/>
                <w:sz w:val="20"/>
                <w:szCs w:val="20"/>
              </w:rPr>
              <w:t>2.</w:t>
            </w:r>
            <w:r>
              <w:rPr>
                <w:rFonts w:hint="eastAsia" w:hAnsi="宋体" w:eastAsia="宋体" w:cs="宋体"/>
                <w:color w:val="000000"/>
                <w:kern w:val="0"/>
                <w:sz w:val="20"/>
                <w:szCs w:val="20"/>
              </w:rPr>
              <w:t>本品适用于对免疫抑制治疗</w:t>
            </w:r>
            <w:r>
              <w:rPr>
                <w:rFonts w:hAnsi="宋体" w:eastAsia="宋体" w:cs="宋体"/>
                <w:color w:val="000000"/>
                <w:kern w:val="0"/>
                <w:sz w:val="20"/>
                <w:szCs w:val="20"/>
              </w:rPr>
              <w:t>(IST)</w:t>
            </w:r>
            <w:r>
              <w:rPr>
                <w:rFonts w:hint="eastAsia" w:hAnsi="宋体" w:eastAsia="宋体" w:cs="宋体"/>
                <w:color w:val="000000"/>
                <w:kern w:val="0"/>
                <w:sz w:val="20"/>
                <w:szCs w:val="20"/>
              </w:rPr>
              <w:t>疗效不佳的重型再生障碍性贫血</w:t>
            </w:r>
            <w:r>
              <w:rPr>
                <w:rFonts w:hAnsi="宋体" w:eastAsia="宋体" w:cs="宋体"/>
                <w:color w:val="000000"/>
                <w:kern w:val="0"/>
                <w:sz w:val="20"/>
                <w:szCs w:val="20"/>
              </w:rPr>
              <w:t>(SAA)</w:t>
            </w:r>
            <w:r>
              <w:rPr>
                <w:rFonts w:hint="eastAsia" w:hAnsi="宋体" w:eastAsia="宋体" w:cs="宋体"/>
                <w:color w:val="000000"/>
                <w:kern w:val="0"/>
                <w:sz w:val="20"/>
                <w:szCs w:val="20"/>
              </w:rPr>
              <w:t>成人患者。基于一项</w:t>
            </w:r>
            <w:r>
              <w:rPr>
                <w:rFonts w:hAnsi="宋体" w:eastAsia="宋体" w:cs="宋体"/>
                <w:color w:val="000000"/>
                <w:kern w:val="0"/>
                <w:sz w:val="20"/>
                <w:szCs w:val="20"/>
              </w:rPr>
              <w:t>II</w:t>
            </w:r>
            <w:r>
              <w:rPr>
                <w:rFonts w:hint="eastAsia" w:hAnsi="宋体" w:eastAsia="宋体" w:cs="宋体"/>
                <w:color w:val="000000"/>
                <w:kern w:val="0"/>
                <w:sz w:val="20"/>
                <w:szCs w:val="20"/>
              </w:rPr>
              <w:t>期单臂试验的结果附条件批准本适应症。该适应症的完全批准将取决于正在进行的确证性临床试验的结果。</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马来酸阿伐曲泊帕片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line="400" w:lineRule="exact"/>
              <w:jc w:val="left"/>
              <w:rPr>
                <w:rFonts w:hAnsi="宋体" w:eastAsia="宋体" w:cs="宋体"/>
                <w:color w:val="000000"/>
                <w:kern w:val="0"/>
                <w:sz w:val="20"/>
                <w:szCs w:val="20"/>
              </w:rPr>
            </w:pPr>
            <w:r>
              <w:rPr>
                <w:rFonts w:hint="eastAsia" w:hAnsi="宋体" w:eastAsia="宋体" w:cs="宋体"/>
                <w:color w:val="000000"/>
                <w:kern w:val="0"/>
                <w:sz w:val="20"/>
                <w:szCs w:val="20"/>
              </w:rPr>
              <w:t>限择期行诊断性操作或者手术的慢性肝病相关血小板减少症的成年患者。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醋酸艾替班特注射液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用于治疗成人、青少年和≥</w:t>
            </w:r>
            <w:r>
              <w:rPr>
                <w:rFonts w:hAnsi="宋体" w:eastAsia="宋体" w:cs="宋体"/>
                <w:color w:val="000000"/>
                <w:kern w:val="0"/>
                <w:sz w:val="20"/>
                <w:szCs w:val="20"/>
              </w:rPr>
              <w:t>2</w:t>
            </w:r>
            <w:r>
              <w:rPr>
                <w:rFonts w:hint="eastAsia" w:hAnsi="宋体" w:eastAsia="宋体" w:cs="宋体"/>
                <w:color w:val="000000"/>
                <w:kern w:val="0"/>
                <w:sz w:val="20"/>
                <w:szCs w:val="20"/>
              </w:rPr>
              <w:t>岁儿童的遗传性血管性水肿（</w:t>
            </w:r>
            <w:r>
              <w:rPr>
                <w:rFonts w:hAnsi="宋体" w:eastAsia="宋体" w:cs="宋体"/>
                <w:color w:val="000000"/>
                <w:kern w:val="0"/>
                <w:sz w:val="20"/>
                <w:szCs w:val="20"/>
              </w:rPr>
              <w:t>HAE</w:t>
            </w:r>
            <w:r>
              <w:rPr>
                <w:rFonts w:hint="eastAsia" w:hAnsi="宋体" w:eastAsia="宋体" w:cs="宋体"/>
                <w:color w:val="000000"/>
                <w:kern w:val="0"/>
                <w:sz w:val="20"/>
                <w:szCs w:val="20"/>
              </w:rPr>
              <w:t>）急性发作。</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罗沙司他胶囊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本品适用于慢性肾脏病</w:t>
            </w:r>
            <w:r>
              <w:rPr>
                <w:rFonts w:hAnsi="宋体" w:eastAsia="宋体" w:cs="宋体"/>
                <w:color w:val="000000"/>
                <w:kern w:val="0"/>
                <w:sz w:val="20"/>
                <w:szCs w:val="20"/>
              </w:rPr>
              <w:t>(CKD)</w:t>
            </w:r>
            <w:r>
              <w:rPr>
                <w:rFonts w:hint="eastAsia" w:hAnsi="宋体" w:eastAsia="宋体" w:cs="宋体"/>
                <w:color w:val="000000"/>
                <w:kern w:val="0"/>
                <w:sz w:val="20"/>
                <w:szCs w:val="20"/>
              </w:rPr>
              <w:t>引起的贫血</w:t>
            </w:r>
            <w:r>
              <w:rPr>
                <w:rFonts w:hAnsi="宋体" w:eastAsia="宋体" w:cs="宋体"/>
                <w:color w:val="000000"/>
                <w:kern w:val="0"/>
                <w:sz w:val="20"/>
                <w:szCs w:val="20"/>
              </w:rPr>
              <w:t xml:space="preserve">, </w:t>
            </w:r>
            <w:r>
              <w:rPr>
                <w:rFonts w:hint="eastAsia" w:hAnsi="宋体" w:eastAsia="宋体" w:cs="宋体"/>
                <w:color w:val="000000"/>
                <w:kern w:val="0"/>
                <w:sz w:val="20"/>
                <w:szCs w:val="20"/>
              </w:rPr>
              <w:t>包括透析及非透析患者。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波生坦片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WHO</w:t>
            </w:r>
            <w:r>
              <w:rPr>
                <w:rFonts w:hint="eastAsia" w:hAnsi="宋体" w:eastAsia="宋体" w:cs="宋体"/>
                <w:color w:val="000000"/>
                <w:kern w:val="0"/>
                <w:sz w:val="20"/>
                <w:szCs w:val="20"/>
              </w:rPr>
              <w:t>功能分级</w:t>
            </w:r>
            <w:r>
              <w:rPr>
                <w:rFonts w:hAnsi="宋体" w:eastAsia="宋体" w:cs="宋体"/>
                <w:color w:val="000000"/>
                <w:kern w:val="0"/>
                <w:sz w:val="20"/>
                <w:szCs w:val="20"/>
              </w:rPr>
              <w:t>II</w:t>
            </w:r>
            <w:r>
              <w:rPr>
                <w:rFonts w:hint="eastAsia" w:hAnsi="宋体" w:eastAsia="宋体" w:cs="宋体"/>
                <w:color w:val="000000"/>
                <w:kern w:val="0"/>
                <w:sz w:val="20"/>
                <w:szCs w:val="20"/>
              </w:rPr>
              <w:t>级</w:t>
            </w:r>
            <w:r>
              <w:rPr>
                <w:rFonts w:hAnsi="宋体" w:eastAsia="宋体" w:cs="宋体"/>
                <w:color w:val="000000"/>
                <w:kern w:val="0"/>
                <w:sz w:val="20"/>
                <w:szCs w:val="20"/>
              </w:rPr>
              <w:t>-IV</w:t>
            </w:r>
            <w:r>
              <w:rPr>
                <w:rFonts w:hint="eastAsia" w:hAnsi="宋体" w:eastAsia="宋体" w:cs="宋体"/>
                <w:color w:val="000000"/>
                <w:kern w:val="0"/>
                <w:sz w:val="20"/>
                <w:szCs w:val="20"/>
              </w:rPr>
              <w:t>级的肺动脉高压（</w:t>
            </w:r>
            <w:r>
              <w:rPr>
                <w:rFonts w:hAnsi="宋体" w:eastAsia="宋体" w:cs="宋体"/>
                <w:color w:val="000000"/>
                <w:kern w:val="0"/>
                <w:sz w:val="20"/>
                <w:szCs w:val="20"/>
              </w:rPr>
              <w:t>WHO</w:t>
            </w:r>
            <w:r>
              <w:rPr>
                <w:rFonts w:hint="eastAsia" w:hAnsi="宋体" w:eastAsia="宋体" w:cs="宋体"/>
                <w:color w:val="000000"/>
                <w:kern w:val="0"/>
                <w:sz w:val="20"/>
                <w:szCs w:val="20"/>
              </w:rPr>
              <w:t>第</w:t>
            </w:r>
            <w:r>
              <w:rPr>
                <w:rFonts w:hAnsi="宋体" w:eastAsia="宋体" w:cs="宋体"/>
                <w:color w:val="000000"/>
                <w:kern w:val="0"/>
                <w:sz w:val="20"/>
                <w:szCs w:val="20"/>
              </w:rPr>
              <w:t>1</w:t>
            </w:r>
            <w:r>
              <w:rPr>
                <w:rFonts w:hint="eastAsia" w:hAnsi="宋体" w:eastAsia="宋体" w:cs="宋体"/>
                <w:color w:val="000000"/>
                <w:kern w:val="0"/>
                <w:sz w:val="20"/>
                <w:szCs w:val="20"/>
              </w:rPr>
              <w:t>组）的患者。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波生坦分散片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3-12</w:t>
            </w:r>
            <w:r>
              <w:rPr>
                <w:rFonts w:hint="eastAsia" w:hAnsi="宋体" w:eastAsia="宋体" w:cs="宋体"/>
                <w:color w:val="000000"/>
                <w:kern w:val="0"/>
                <w:sz w:val="20"/>
                <w:szCs w:val="20"/>
              </w:rPr>
              <w:t>岁特发性或先天性肺动脉高压患者。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73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19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利奥西呱片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限以下情况方可支付：</w:t>
            </w:r>
            <w:r>
              <w:rPr>
                <w:rFonts w:hAnsi="宋体" w:eastAsia="宋体" w:cs="宋体"/>
                <w:color w:val="000000"/>
                <w:kern w:val="0"/>
                <w:sz w:val="20"/>
                <w:szCs w:val="20"/>
              </w:rPr>
              <w:t>1.</w:t>
            </w:r>
            <w:r>
              <w:rPr>
                <w:rFonts w:hint="eastAsia" w:hAnsi="宋体" w:eastAsia="宋体" w:cs="宋体"/>
                <w:color w:val="000000"/>
                <w:kern w:val="0"/>
                <w:sz w:val="20"/>
                <w:szCs w:val="20"/>
              </w:rPr>
              <w:t>术后持续性或复发性慢性血栓栓塞性肺动脉高压（</w:t>
            </w:r>
            <w:r>
              <w:rPr>
                <w:rFonts w:hAnsi="宋体" w:eastAsia="宋体" w:cs="宋体"/>
                <w:color w:val="000000"/>
                <w:kern w:val="0"/>
                <w:sz w:val="20"/>
                <w:szCs w:val="20"/>
              </w:rPr>
              <w:t>CTEPH</w:t>
            </w:r>
            <w:r>
              <w:rPr>
                <w:rFonts w:hint="eastAsia" w:hAnsi="宋体" w:eastAsia="宋体" w:cs="宋体"/>
                <w:color w:val="000000"/>
                <w:kern w:val="0"/>
                <w:sz w:val="20"/>
                <w:szCs w:val="20"/>
              </w:rPr>
              <w:t>）或不能手术的</w:t>
            </w:r>
            <w:r>
              <w:rPr>
                <w:rFonts w:hAnsi="宋体" w:eastAsia="宋体" w:cs="宋体"/>
                <w:color w:val="000000"/>
                <w:kern w:val="0"/>
                <w:sz w:val="20"/>
                <w:szCs w:val="20"/>
              </w:rPr>
              <w:t>CTEPH</w:t>
            </w:r>
            <w:r>
              <w:rPr>
                <w:rFonts w:hint="eastAsia" w:hAnsi="宋体" w:eastAsia="宋体" w:cs="宋体"/>
                <w:color w:val="000000"/>
                <w:kern w:val="0"/>
                <w:sz w:val="20"/>
                <w:szCs w:val="20"/>
              </w:rPr>
              <w:t>，且（</w:t>
            </w:r>
            <w:r>
              <w:rPr>
                <w:rFonts w:hAnsi="宋体" w:eastAsia="宋体" w:cs="宋体"/>
                <w:color w:val="000000"/>
                <w:kern w:val="0"/>
                <w:sz w:val="20"/>
                <w:szCs w:val="20"/>
              </w:rPr>
              <w:t>WHO FC</w:t>
            </w:r>
            <w:r>
              <w:rPr>
                <w:rFonts w:hint="eastAsia" w:hAnsi="宋体" w:eastAsia="宋体" w:cs="宋体"/>
                <w:color w:val="000000"/>
                <w:kern w:val="0"/>
                <w:sz w:val="20"/>
                <w:szCs w:val="20"/>
              </w:rPr>
              <w:t>）为</w:t>
            </w:r>
            <w:r>
              <w:rPr>
                <w:rFonts w:hAnsi="宋体" w:eastAsia="宋体" w:cs="宋体"/>
                <w:color w:val="000000"/>
                <w:kern w:val="0"/>
                <w:sz w:val="20"/>
                <w:szCs w:val="20"/>
              </w:rPr>
              <w:t>II-III</w:t>
            </w:r>
            <w:r>
              <w:rPr>
                <w:rFonts w:hint="eastAsia" w:hAnsi="宋体" w:eastAsia="宋体" w:cs="宋体"/>
                <w:color w:val="000000"/>
                <w:kern w:val="0"/>
                <w:sz w:val="20"/>
                <w:szCs w:val="20"/>
              </w:rPr>
              <w:t>的患者；</w:t>
            </w:r>
            <w:r>
              <w:rPr>
                <w:rFonts w:hAnsi="宋体" w:eastAsia="宋体" w:cs="宋体"/>
                <w:color w:val="000000"/>
                <w:kern w:val="0"/>
                <w:sz w:val="20"/>
                <w:szCs w:val="20"/>
              </w:rPr>
              <w:t>2.</w:t>
            </w:r>
            <w:r>
              <w:rPr>
                <w:rFonts w:hint="eastAsia" w:hAnsi="宋体" w:eastAsia="宋体" w:cs="宋体"/>
                <w:color w:val="000000"/>
                <w:kern w:val="0"/>
                <w:sz w:val="20"/>
                <w:szCs w:val="20"/>
              </w:rPr>
              <w:t>动脉性肺动脉高压（</w:t>
            </w:r>
            <w:r>
              <w:rPr>
                <w:rFonts w:hAnsi="宋体" w:eastAsia="宋体" w:cs="宋体"/>
                <w:color w:val="000000"/>
                <w:kern w:val="0"/>
                <w:sz w:val="20"/>
                <w:szCs w:val="20"/>
              </w:rPr>
              <w:t>PAH</w:t>
            </w:r>
            <w:r>
              <w:rPr>
                <w:rFonts w:hint="eastAsia" w:hAnsi="宋体" w:eastAsia="宋体" w:cs="宋体"/>
                <w:color w:val="000000"/>
                <w:kern w:val="0"/>
                <w:sz w:val="20"/>
                <w:szCs w:val="20"/>
              </w:rPr>
              <w:t>）且（</w:t>
            </w:r>
            <w:r>
              <w:rPr>
                <w:rFonts w:hAnsi="宋体" w:eastAsia="宋体" w:cs="宋体"/>
                <w:color w:val="000000"/>
                <w:kern w:val="0"/>
                <w:sz w:val="20"/>
                <w:szCs w:val="20"/>
              </w:rPr>
              <w:t>WHO FC</w:t>
            </w:r>
            <w:r>
              <w:rPr>
                <w:rFonts w:hint="eastAsia" w:hAnsi="宋体" w:eastAsia="宋体" w:cs="宋体"/>
                <w:color w:val="000000"/>
                <w:kern w:val="0"/>
                <w:sz w:val="20"/>
                <w:szCs w:val="20"/>
              </w:rPr>
              <w:t>）为</w:t>
            </w:r>
            <w:r>
              <w:rPr>
                <w:rFonts w:hAnsi="宋体" w:eastAsia="宋体" w:cs="宋体"/>
                <w:color w:val="000000"/>
                <w:kern w:val="0"/>
                <w:sz w:val="20"/>
                <w:szCs w:val="20"/>
              </w:rPr>
              <w:t>II-III</w:t>
            </w:r>
            <w:r>
              <w:rPr>
                <w:rFonts w:hint="eastAsia" w:hAnsi="宋体" w:eastAsia="宋体" w:cs="宋体"/>
                <w:color w:val="000000"/>
                <w:kern w:val="0"/>
                <w:sz w:val="20"/>
                <w:szCs w:val="20"/>
              </w:rPr>
              <w:t>患者的二线用药。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马昔腾坦片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WHO</w:t>
            </w:r>
            <w:r>
              <w:rPr>
                <w:rFonts w:hint="eastAsia" w:hAnsi="宋体" w:eastAsia="宋体" w:cs="宋体"/>
                <w:color w:val="000000"/>
                <w:kern w:val="0"/>
                <w:sz w:val="20"/>
                <w:szCs w:val="20"/>
              </w:rPr>
              <w:t>功能分级</w:t>
            </w:r>
            <w:r>
              <w:rPr>
                <w:rFonts w:hAnsi="宋体" w:eastAsia="宋体" w:cs="宋体"/>
                <w:color w:val="000000"/>
                <w:kern w:val="0"/>
                <w:sz w:val="20"/>
                <w:szCs w:val="20"/>
              </w:rPr>
              <w:t>II</w:t>
            </w:r>
            <w:r>
              <w:rPr>
                <w:rFonts w:hint="eastAsia" w:hAnsi="宋体" w:eastAsia="宋体" w:cs="宋体"/>
                <w:color w:val="000000"/>
                <w:kern w:val="0"/>
                <w:sz w:val="20"/>
                <w:szCs w:val="20"/>
              </w:rPr>
              <w:t>级</w:t>
            </w:r>
            <w:r>
              <w:rPr>
                <w:rFonts w:hAnsi="宋体" w:eastAsia="宋体" w:cs="宋体"/>
                <w:color w:val="000000"/>
                <w:kern w:val="0"/>
                <w:sz w:val="20"/>
                <w:szCs w:val="20"/>
              </w:rPr>
              <w:t>-III</w:t>
            </w:r>
            <w:r>
              <w:rPr>
                <w:rFonts w:hint="eastAsia" w:hAnsi="宋体" w:eastAsia="宋体" w:cs="宋体"/>
                <w:color w:val="000000"/>
                <w:kern w:val="0"/>
                <w:sz w:val="20"/>
                <w:szCs w:val="20"/>
              </w:rPr>
              <w:t>级的肺动脉高压（</w:t>
            </w:r>
            <w:r>
              <w:rPr>
                <w:rFonts w:hAnsi="宋体" w:eastAsia="宋体" w:cs="宋体"/>
                <w:color w:val="000000"/>
                <w:kern w:val="0"/>
                <w:sz w:val="20"/>
                <w:szCs w:val="20"/>
              </w:rPr>
              <w:t>WHO</w:t>
            </w:r>
            <w:r>
              <w:rPr>
                <w:rFonts w:hint="eastAsia" w:hAnsi="宋体" w:eastAsia="宋体" w:cs="宋体"/>
                <w:color w:val="000000"/>
                <w:kern w:val="0"/>
                <w:sz w:val="20"/>
                <w:szCs w:val="20"/>
              </w:rPr>
              <w:t>第</w:t>
            </w:r>
            <w:r>
              <w:rPr>
                <w:rFonts w:hAnsi="宋体" w:eastAsia="宋体" w:cs="宋体"/>
                <w:color w:val="000000"/>
                <w:kern w:val="0"/>
                <w:sz w:val="20"/>
                <w:szCs w:val="20"/>
              </w:rPr>
              <w:t>1</w:t>
            </w:r>
            <w:r>
              <w:rPr>
                <w:rFonts w:hint="eastAsia" w:hAnsi="宋体" w:eastAsia="宋体" w:cs="宋体"/>
                <w:color w:val="000000"/>
                <w:kern w:val="0"/>
                <w:sz w:val="20"/>
                <w:szCs w:val="20"/>
              </w:rPr>
              <w:t>组）的患者。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788"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沙库巴曲缬沙坦钠片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w:t>
            </w:r>
            <w:r>
              <w:rPr>
                <w:rFonts w:hint="eastAsia" w:hAnsi="宋体" w:eastAsia="宋体" w:cs="宋体"/>
                <w:color w:val="000000"/>
                <w:kern w:val="0"/>
                <w:sz w:val="20"/>
                <w:szCs w:val="20"/>
              </w:rPr>
              <w:t>以沙库巴曲缬沙坦计</w:t>
            </w:r>
            <w:r>
              <w:rPr>
                <w:rFonts w:hAnsi="宋体" w:eastAsia="宋体" w:cs="宋体"/>
                <w:color w:val="000000"/>
                <w:kern w:val="0"/>
                <w:sz w:val="20"/>
                <w:szCs w:val="20"/>
              </w:rPr>
              <w:t>50mg</w:t>
            </w:r>
            <w:r>
              <w:rPr>
                <w:rFonts w:hint="eastAsia" w:hAnsi="宋体" w:eastAsia="宋体" w:cs="宋体"/>
                <w:color w:val="000000"/>
                <w:kern w:val="0"/>
                <w:sz w:val="20"/>
                <w:szCs w:val="20"/>
              </w:rPr>
              <w:t>、</w:t>
            </w:r>
            <w:r>
              <w:rPr>
                <w:rFonts w:hAnsi="宋体" w:eastAsia="宋体" w:cs="宋体"/>
                <w:color w:val="000000"/>
                <w:kern w:val="0"/>
                <w:sz w:val="20"/>
                <w:szCs w:val="20"/>
              </w:rPr>
              <w:t>100mg</w:t>
            </w:r>
            <w:r>
              <w:rPr>
                <w:rFonts w:hint="eastAsia" w:hAnsi="宋体" w:eastAsia="宋体" w:cs="宋体"/>
                <w:color w:val="000000"/>
                <w:kern w:val="0"/>
                <w:sz w:val="20"/>
                <w:szCs w:val="20"/>
              </w:rPr>
              <w:t>、</w:t>
            </w:r>
            <w:r>
              <w:rPr>
                <w:rFonts w:hAnsi="宋体" w:eastAsia="宋体" w:cs="宋体"/>
                <w:color w:val="000000"/>
                <w:kern w:val="0"/>
                <w:sz w:val="20"/>
                <w:szCs w:val="20"/>
              </w:rPr>
              <w:t>200mg</w:t>
            </w:r>
            <w:r>
              <w:rPr>
                <w:rFonts w:hint="eastAsia" w:hAnsi="宋体" w:eastAsia="宋体" w:cs="宋体"/>
                <w:color w:val="000000"/>
                <w:kern w:val="0"/>
                <w:sz w:val="20"/>
                <w:szCs w:val="20"/>
              </w:rPr>
              <w:t>：用于射血分数降低的慢性心力衰竭</w:t>
            </w:r>
            <w:r>
              <w:rPr>
                <w:rFonts w:hAnsi="宋体" w:eastAsia="宋体" w:cs="宋体"/>
                <w:color w:val="000000"/>
                <w:kern w:val="0"/>
                <w:sz w:val="20"/>
                <w:szCs w:val="20"/>
              </w:rPr>
              <w:t xml:space="preserve">(NYHA </w:t>
            </w:r>
            <w:r>
              <w:rPr>
                <w:rFonts w:hint="eastAsia" w:hAnsi="宋体" w:eastAsia="宋体" w:cs="宋体"/>
                <w:color w:val="000000"/>
                <w:kern w:val="0"/>
                <w:sz w:val="20"/>
                <w:szCs w:val="20"/>
              </w:rPr>
              <w:t>Ⅱ</w:t>
            </w:r>
            <w:r>
              <w:rPr>
                <w:rFonts w:hAnsi="宋体" w:eastAsia="宋体" w:cs="宋体"/>
                <w:color w:val="000000"/>
                <w:kern w:val="0"/>
                <w:sz w:val="20"/>
                <w:szCs w:val="20"/>
              </w:rPr>
              <w:t>-</w:t>
            </w:r>
            <w:r>
              <w:rPr>
                <w:rFonts w:hint="eastAsia" w:hAnsi="宋体" w:eastAsia="宋体" w:cs="宋体"/>
                <w:color w:val="000000"/>
                <w:kern w:val="0"/>
                <w:sz w:val="20"/>
                <w:szCs w:val="20"/>
              </w:rPr>
              <w:t>Ⅳ级，</w:t>
            </w:r>
            <w:r>
              <w:rPr>
                <w:rFonts w:hAnsi="宋体" w:eastAsia="宋体" w:cs="宋体"/>
                <w:color w:val="000000"/>
                <w:kern w:val="0"/>
                <w:sz w:val="20"/>
                <w:szCs w:val="20"/>
              </w:rPr>
              <w:t>LVEF</w:t>
            </w:r>
            <w:r>
              <w:rPr>
                <w:rFonts w:hint="eastAsia" w:hAnsi="宋体" w:eastAsia="宋体" w:cs="宋体"/>
                <w:color w:val="000000"/>
                <w:kern w:val="0"/>
                <w:sz w:val="20"/>
                <w:szCs w:val="20"/>
              </w:rPr>
              <w:t>≤</w:t>
            </w:r>
            <w:r>
              <w:rPr>
                <w:rFonts w:hAnsi="宋体" w:eastAsia="宋体" w:cs="宋体"/>
                <w:color w:val="000000"/>
                <w:kern w:val="0"/>
                <w:sz w:val="20"/>
                <w:szCs w:val="20"/>
              </w:rPr>
              <w:t>40%)</w:t>
            </w:r>
            <w:r>
              <w:rPr>
                <w:rFonts w:hint="eastAsia" w:hAnsi="宋体" w:eastAsia="宋体" w:cs="宋体"/>
                <w:color w:val="000000"/>
                <w:kern w:val="0"/>
                <w:sz w:val="20"/>
                <w:szCs w:val="20"/>
              </w:rPr>
              <w:t>成人患者，降低心血管死亡和心力衰竭住院的风险。沙库巴曲缬沙坦钠片可代替血管紧张素转化酶抑制剂</w:t>
            </w:r>
            <w:r>
              <w:rPr>
                <w:rFonts w:hAnsi="宋体" w:eastAsia="宋体" w:cs="宋体"/>
                <w:color w:val="000000"/>
                <w:kern w:val="0"/>
                <w:sz w:val="20"/>
                <w:szCs w:val="20"/>
              </w:rPr>
              <w:t>(ACEI)</w:t>
            </w:r>
            <w:r>
              <w:rPr>
                <w:rFonts w:hint="eastAsia" w:hAnsi="宋体" w:eastAsia="宋体" w:cs="宋体"/>
                <w:color w:val="000000"/>
                <w:kern w:val="0"/>
                <w:sz w:val="20"/>
                <w:szCs w:val="20"/>
              </w:rPr>
              <w:t>或血管紧张素Ⅱ受体拮抗剂</w:t>
            </w:r>
            <w:r>
              <w:rPr>
                <w:rFonts w:hAnsi="宋体" w:eastAsia="宋体" w:cs="宋体"/>
                <w:color w:val="000000"/>
                <w:kern w:val="0"/>
                <w:sz w:val="20"/>
                <w:szCs w:val="20"/>
              </w:rPr>
              <w:t>(ARB)</w:t>
            </w:r>
            <w:r>
              <w:rPr>
                <w:rFonts w:hint="eastAsia" w:hAnsi="宋体" w:eastAsia="宋体" w:cs="宋体"/>
                <w:color w:val="000000"/>
                <w:kern w:val="0"/>
                <w:sz w:val="20"/>
                <w:szCs w:val="20"/>
              </w:rPr>
              <w:t>，与其他心力衰竭治疗药物合用。</w:t>
            </w:r>
            <w:r>
              <w:rPr>
                <w:rFonts w:hAnsi="宋体" w:eastAsia="宋体" w:cs="宋体"/>
                <w:color w:val="000000"/>
                <w:kern w:val="0"/>
                <w:sz w:val="20"/>
                <w:szCs w:val="20"/>
              </w:rPr>
              <w:t>2.</w:t>
            </w:r>
            <w:r>
              <w:rPr>
                <w:rFonts w:hint="eastAsia" w:hAnsi="宋体" w:eastAsia="宋体" w:cs="宋体"/>
                <w:color w:val="000000"/>
                <w:kern w:val="0"/>
                <w:sz w:val="20"/>
                <w:szCs w:val="20"/>
              </w:rPr>
              <w:t>以沙库巴曲缬沙坦计</w:t>
            </w:r>
            <w:r>
              <w:rPr>
                <w:rFonts w:hAnsi="宋体" w:eastAsia="宋体" w:cs="宋体"/>
                <w:color w:val="000000"/>
                <w:kern w:val="0"/>
                <w:sz w:val="20"/>
                <w:szCs w:val="20"/>
              </w:rPr>
              <w:t>100mg</w:t>
            </w:r>
            <w:r>
              <w:rPr>
                <w:rFonts w:hint="eastAsia" w:hAnsi="宋体" w:eastAsia="宋体" w:cs="宋体"/>
                <w:color w:val="000000"/>
                <w:kern w:val="0"/>
                <w:sz w:val="20"/>
                <w:szCs w:val="20"/>
              </w:rPr>
              <w:t>、</w:t>
            </w:r>
            <w:r>
              <w:rPr>
                <w:rFonts w:hAnsi="宋体" w:eastAsia="宋体" w:cs="宋体"/>
                <w:color w:val="000000"/>
                <w:kern w:val="0"/>
                <w:sz w:val="20"/>
                <w:szCs w:val="20"/>
              </w:rPr>
              <w:t>200mg</w:t>
            </w:r>
            <w:r>
              <w:rPr>
                <w:rFonts w:hint="eastAsia" w:hAnsi="宋体" w:eastAsia="宋体" w:cs="宋体"/>
                <w:color w:val="000000"/>
                <w:kern w:val="0"/>
                <w:sz w:val="20"/>
                <w:szCs w:val="20"/>
              </w:rPr>
              <w:t>：用于治疗原发性高血压。</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84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本维莫德乳膏</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10g:0.1g/</w:t>
            </w:r>
            <w:r>
              <w:rPr>
                <w:rFonts w:hint="eastAsia" w:hAnsi="宋体" w:eastAsia="宋体" w:cs="宋体"/>
                <w:color w:val="000000"/>
                <w:kern w:val="0"/>
                <w:sz w:val="20"/>
                <w:szCs w:val="20"/>
              </w:rPr>
              <w:t>支</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限轻中度稳定性寻常型银屑病患者的二线治疗，需按说明书用药。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度普利尤单抗注射液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限对传统治疗无效、有禁忌或不耐受的中重度特应性皮炎患者，需按说明书用药。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注射用醋酸奥曲肽微球</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int="eastAsia" w:hAnsi="宋体" w:eastAsia="宋体" w:cs="宋体"/>
                <w:color w:val="000000"/>
                <w:kern w:val="0"/>
                <w:sz w:val="20"/>
                <w:szCs w:val="20"/>
                <w:lang w:eastAsia="zh-CN"/>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限胃肠胰内分泌肿瘤、肢端肥大症，按说明书用药。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醋酸兰瑞肽缓释注射液（预充式）</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限肢端肥大症，按说明书用药。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5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泊沙康唑口服混悬液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限以下情况方可支付：</w:t>
            </w:r>
            <w:r>
              <w:rPr>
                <w:rFonts w:hAnsi="宋体" w:eastAsia="宋体" w:cs="宋体"/>
                <w:color w:val="000000"/>
                <w:kern w:val="0"/>
                <w:sz w:val="20"/>
                <w:szCs w:val="20"/>
              </w:rPr>
              <w:t>1.</w:t>
            </w:r>
            <w:r>
              <w:rPr>
                <w:rFonts w:hint="eastAsia" w:hAnsi="宋体" w:eastAsia="宋体" w:cs="宋体"/>
                <w:color w:val="000000"/>
                <w:kern w:val="0"/>
                <w:sz w:val="20"/>
                <w:szCs w:val="20"/>
              </w:rPr>
              <w:t>预防移植后（干细胞及实体器官移植）及恶性肿瘤患者有重度粒细胞缺乏的侵袭性曲霉菌和念球菌感染。</w:t>
            </w:r>
            <w:r>
              <w:rPr>
                <w:rFonts w:hAnsi="宋体" w:eastAsia="宋体" w:cs="宋体"/>
                <w:color w:val="000000"/>
                <w:kern w:val="0"/>
                <w:sz w:val="20"/>
                <w:szCs w:val="20"/>
              </w:rPr>
              <w:t>2.</w:t>
            </w:r>
            <w:r>
              <w:rPr>
                <w:rFonts w:hint="eastAsia" w:hAnsi="宋体" w:eastAsia="宋体" w:cs="宋体"/>
                <w:color w:val="000000"/>
                <w:kern w:val="0"/>
                <w:sz w:val="20"/>
                <w:szCs w:val="20"/>
              </w:rPr>
              <w:t>伊曲康唑或氟康唑难治性口咽念珠菌病。</w:t>
            </w:r>
            <w:r>
              <w:rPr>
                <w:rFonts w:hAnsi="宋体" w:eastAsia="宋体" w:cs="宋体"/>
                <w:color w:val="000000"/>
                <w:kern w:val="0"/>
                <w:sz w:val="20"/>
                <w:szCs w:val="20"/>
              </w:rPr>
              <w:t>3.</w:t>
            </w:r>
            <w:r>
              <w:rPr>
                <w:rFonts w:hint="eastAsia" w:hAnsi="宋体" w:eastAsia="宋体" w:cs="宋体"/>
                <w:color w:val="000000"/>
                <w:kern w:val="0"/>
                <w:sz w:val="20"/>
                <w:szCs w:val="20"/>
              </w:rPr>
              <w:t>接合菌纲类感染。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2022年1月1日至2023年12月31日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德拉马尼片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限耐多药结核患者。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艾尔巴韦格拉瑞韦片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本品用于治疗成人慢性丙型肝炎（</w:t>
            </w:r>
            <w:r>
              <w:rPr>
                <w:rFonts w:hAnsi="宋体" w:eastAsia="宋体" w:cs="宋体"/>
                <w:color w:val="000000"/>
                <w:kern w:val="0"/>
                <w:sz w:val="20"/>
                <w:szCs w:val="20"/>
              </w:rPr>
              <w:t>CHC</w:t>
            </w:r>
            <w:r>
              <w:rPr>
                <w:rFonts w:hint="eastAsia" w:hAnsi="宋体" w:eastAsia="宋体" w:cs="宋体"/>
                <w:color w:val="000000"/>
                <w:kern w:val="0"/>
                <w:sz w:val="20"/>
                <w:szCs w:val="20"/>
              </w:rPr>
              <w:t>）感染。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03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29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来迪派韦索磷布韦片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本品适用于治疗成人和</w:t>
            </w:r>
            <w:r>
              <w:rPr>
                <w:rFonts w:hAnsi="宋体" w:eastAsia="宋体" w:cs="宋体"/>
                <w:color w:val="000000"/>
                <w:kern w:val="0"/>
                <w:sz w:val="20"/>
                <w:szCs w:val="20"/>
              </w:rPr>
              <w:t>12</w:t>
            </w:r>
            <w:r>
              <w:rPr>
                <w:rFonts w:hint="eastAsia" w:hAnsi="宋体" w:eastAsia="宋体" w:cs="宋体"/>
                <w:color w:val="000000"/>
                <w:kern w:val="0"/>
                <w:sz w:val="20"/>
                <w:szCs w:val="20"/>
              </w:rPr>
              <w:t>至</w:t>
            </w:r>
            <w:r>
              <w:rPr>
                <w:rFonts w:hAnsi="宋体" w:eastAsia="宋体" w:cs="宋体"/>
                <w:color w:val="000000"/>
                <w:kern w:val="0"/>
                <w:sz w:val="20"/>
                <w:szCs w:val="20"/>
              </w:rPr>
              <w:t>&lt;18</w:t>
            </w:r>
            <w:r>
              <w:rPr>
                <w:rFonts w:hint="eastAsia" w:hAnsi="宋体" w:eastAsia="宋体" w:cs="宋体"/>
                <w:color w:val="000000"/>
                <w:kern w:val="0"/>
                <w:sz w:val="20"/>
                <w:szCs w:val="20"/>
              </w:rPr>
              <w:t>岁青少年的慢性丙型肝炎病毒</w:t>
            </w:r>
            <w:r>
              <w:rPr>
                <w:rFonts w:hAnsi="宋体" w:eastAsia="宋体" w:cs="宋体"/>
                <w:color w:val="000000"/>
                <w:kern w:val="0"/>
                <w:sz w:val="20"/>
                <w:szCs w:val="20"/>
              </w:rPr>
              <w:t>(HCV)</w:t>
            </w:r>
            <w:r>
              <w:rPr>
                <w:rFonts w:hint="eastAsia" w:hAnsi="宋体" w:eastAsia="宋体" w:cs="宋体"/>
                <w:color w:val="000000"/>
                <w:kern w:val="0"/>
                <w:sz w:val="20"/>
                <w:szCs w:val="20"/>
              </w:rPr>
              <w:t>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索磷布韦维帕他韦片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本品用于治疗成人慢性丙型肝炎病毒（</w:t>
            </w:r>
            <w:r>
              <w:rPr>
                <w:rFonts w:hAnsi="宋体" w:eastAsia="宋体" w:cs="宋体"/>
                <w:color w:val="000000"/>
                <w:kern w:val="0"/>
                <w:sz w:val="20"/>
                <w:szCs w:val="20"/>
              </w:rPr>
              <w:t>HCV</w:t>
            </w:r>
            <w:r>
              <w:rPr>
                <w:rFonts w:hint="eastAsia" w:hAnsi="宋体" w:eastAsia="宋体" w:cs="宋体"/>
                <w:color w:val="000000"/>
                <w:kern w:val="0"/>
                <w:sz w:val="20"/>
                <w:szCs w:val="20"/>
              </w:rPr>
              <w:t>）感染。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盐酸可洛派韦胶囊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(60mg/</w:t>
            </w:r>
            <w:r>
              <w:rPr>
                <w:rFonts w:hint="eastAsia" w:hAnsi="宋体" w:eastAsia="宋体" w:cs="宋体"/>
                <w:color w:val="000000"/>
                <w:kern w:val="0"/>
                <w:sz w:val="20"/>
                <w:szCs w:val="20"/>
              </w:rPr>
              <w:t>粒</w:t>
            </w:r>
            <w:r>
              <w:rPr>
                <w:rFonts w:hAnsi="宋体" w:eastAsia="宋体" w:cs="宋体"/>
                <w:color w:val="000000"/>
                <w:kern w:val="0"/>
                <w:sz w:val="20"/>
                <w:szCs w:val="20"/>
              </w:rPr>
              <w:t>(</w:t>
            </w:r>
            <w:r>
              <w:rPr>
                <w:rFonts w:hint="eastAsia" w:hAnsi="宋体" w:eastAsia="宋体" w:cs="宋体"/>
                <w:color w:val="000000"/>
                <w:kern w:val="0"/>
                <w:sz w:val="20"/>
                <w:szCs w:val="20"/>
              </w:rPr>
              <w:t>协议有效期内，谈判企业负责向购买盐酸可洛派韦胶囊的患者免费提供同疗程的索磷布韦片</w:t>
            </w:r>
            <w:r>
              <w:rPr>
                <w:rFonts w:hAnsi="宋体" w:eastAsia="宋体" w:cs="宋体"/>
                <w:color w:val="000000"/>
                <w:kern w:val="0"/>
                <w:sz w:val="20"/>
                <w:szCs w:val="20"/>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限基因</w:t>
            </w:r>
            <w:r>
              <w:rPr>
                <w:rFonts w:hAnsi="宋体" w:eastAsia="宋体" w:cs="宋体"/>
                <w:color w:val="000000"/>
                <w:kern w:val="0"/>
                <w:sz w:val="20"/>
                <w:szCs w:val="20"/>
              </w:rPr>
              <w:t xml:space="preserve"> 1</w:t>
            </w:r>
            <w:r>
              <w:rPr>
                <w:rFonts w:hint="eastAsia" w:hAnsi="宋体" w:eastAsia="宋体" w:cs="宋体"/>
                <w:color w:val="000000"/>
                <w:kern w:val="0"/>
                <w:sz w:val="20"/>
                <w:szCs w:val="20"/>
              </w:rPr>
              <w:t>、</w:t>
            </w:r>
            <w:r>
              <w:rPr>
                <w:rFonts w:hAnsi="宋体" w:eastAsia="宋体" w:cs="宋体"/>
                <w:color w:val="000000"/>
                <w:kern w:val="0"/>
                <w:sz w:val="20"/>
                <w:szCs w:val="20"/>
              </w:rPr>
              <w:t>2</w:t>
            </w:r>
            <w:r>
              <w:rPr>
                <w:rFonts w:hint="eastAsia" w:hAnsi="宋体" w:eastAsia="宋体" w:cs="宋体"/>
                <w:color w:val="000000"/>
                <w:kern w:val="0"/>
                <w:sz w:val="20"/>
                <w:szCs w:val="20"/>
              </w:rPr>
              <w:t>、</w:t>
            </w:r>
            <w:r>
              <w:rPr>
                <w:rFonts w:hAnsi="宋体" w:eastAsia="宋体" w:cs="宋体"/>
                <w:color w:val="000000"/>
                <w:kern w:val="0"/>
                <w:sz w:val="20"/>
                <w:szCs w:val="20"/>
              </w:rPr>
              <w:t>3</w:t>
            </w:r>
            <w:r>
              <w:rPr>
                <w:rFonts w:hint="eastAsia" w:hAnsi="宋体" w:eastAsia="宋体" w:cs="宋体"/>
                <w:color w:val="000000"/>
                <w:kern w:val="0"/>
                <w:sz w:val="20"/>
                <w:szCs w:val="20"/>
              </w:rPr>
              <w:t>、</w:t>
            </w:r>
            <w:r>
              <w:rPr>
                <w:rFonts w:hAnsi="宋体" w:eastAsia="宋体" w:cs="宋体"/>
                <w:color w:val="000000"/>
                <w:kern w:val="0"/>
                <w:sz w:val="20"/>
                <w:szCs w:val="20"/>
              </w:rPr>
              <w:t xml:space="preserve">6 </w:t>
            </w:r>
            <w:r>
              <w:rPr>
                <w:rFonts w:hint="eastAsia" w:hAnsi="宋体" w:eastAsia="宋体" w:cs="宋体"/>
                <w:color w:val="000000"/>
                <w:kern w:val="0"/>
                <w:sz w:val="20"/>
                <w:szCs w:val="20"/>
              </w:rPr>
              <w:t>型成人慢性丙型肝炎。</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8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索磷维伏片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0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本品适用于治疗既往接受过含直接抗病毒药物（</w:t>
            </w:r>
            <w:r>
              <w:rPr>
                <w:rFonts w:hAnsi="宋体" w:eastAsia="宋体" w:cs="宋体"/>
                <w:color w:val="000000"/>
                <w:kern w:val="0"/>
                <w:sz w:val="20"/>
                <w:szCs w:val="20"/>
              </w:rPr>
              <w:t>DAA</w:t>
            </w:r>
            <w:r>
              <w:rPr>
                <w:rFonts w:hint="eastAsia" w:hAnsi="宋体" w:eastAsia="宋体" w:cs="宋体"/>
                <w:color w:val="000000"/>
                <w:kern w:val="0"/>
                <w:sz w:val="20"/>
                <w:szCs w:val="20"/>
              </w:rPr>
              <w:t>）方案、无肝硬化或伴代偿性肝硬化（</w:t>
            </w:r>
            <w:r>
              <w:rPr>
                <w:rFonts w:hAnsi="宋体" w:eastAsia="宋体" w:cs="宋体"/>
                <w:color w:val="000000"/>
                <w:kern w:val="0"/>
                <w:sz w:val="20"/>
                <w:szCs w:val="20"/>
              </w:rPr>
              <w:t>Child-Pugh A</w:t>
            </w:r>
            <w:r>
              <w:rPr>
                <w:rFonts w:hint="eastAsia" w:hAnsi="宋体" w:eastAsia="宋体" w:cs="宋体"/>
                <w:color w:val="000000"/>
                <w:kern w:val="0"/>
                <w:sz w:val="20"/>
                <w:szCs w:val="20"/>
              </w:rPr>
              <w:t>）的成人慢性丙型肝炎病毒（</w:t>
            </w:r>
            <w:r>
              <w:rPr>
                <w:rFonts w:hAnsi="宋体" w:eastAsia="宋体" w:cs="宋体"/>
                <w:color w:val="000000"/>
                <w:kern w:val="0"/>
                <w:sz w:val="20"/>
                <w:szCs w:val="20"/>
              </w:rPr>
              <w:t>HCV</w:t>
            </w:r>
            <w:r>
              <w:rPr>
                <w:rFonts w:hint="eastAsia" w:hAnsi="宋体" w:eastAsia="宋体" w:cs="宋体"/>
                <w:color w:val="000000"/>
                <w:kern w:val="0"/>
                <w:sz w:val="20"/>
                <w:szCs w:val="20"/>
              </w:rPr>
              <w:t>）感染。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达诺瑞韦钠片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100mg/</w:t>
            </w:r>
            <w:r>
              <w:rPr>
                <w:rFonts w:hint="eastAsia" w:hAnsi="宋体" w:eastAsia="宋体" w:cs="宋体"/>
                <w:color w:val="000000"/>
                <w:kern w:val="0"/>
                <w:sz w:val="20"/>
                <w:szCs w:val="20"/>
              </w:rPr>
              <w:t>片</w:t>
            </w:r>
            <w:r>
              <w:rPr>
                <w:rFonts w:hAnsi="宋体" w:eastAsia="宋体" w:cs="宋体"/>
                <w:color w:val="000000"/>
                <w:kern w:val="0"/>
                <w:sz w:val="20"/>
                <w:szCs w:val="20"/>
              </w:rPr>
              <w:t>(</w:t>
            </w:r>
            <w:r>
              <w:rPr>
                <w:rFonts w:hint="eastAsia" w:hAnsi="宋体" w:eastAsia="宋体" w:cs="宋体"/>
                <w:color w:val="000000"/>
                <w:kern w:val="0"/>
                <w:sz w:val="20"/>
                <w:szCs w:val="20"/>
              </w:rPr>
              <w:t>协议有效期内，谈判企业负责向购买达诺瑞韦钠片的患者免费提供同疗程和相应剂量的利托那韦和利巴韦林，详见说明书</w:t>
            </w:r>
            <w:r>
              <w:rPr>
                <w:rFonts w:hAnsi="宋体" w:eastAsia="宋体" w:cs="宋体"/>
                <w:color w:val="000000"/>
                <w:kern w:val="0"/>
                <w:sz w:val="20"/>
                <w:szCs w:val="20"/>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与盐酸拉维达韦片等联合用于治疗初治的非肝硬化的基因</w:t>
            </w:r>
            <w:r>
              <w:rPr>
                <w:rFonts w:hAnsi="宋体" w:eastAsia="宋体" w:cs="宋体"/>
                <w:color w:val="000000"/>
                <w:kern w:val="0"/>
                <w:sz w:val="20"/>
                <w:szCs w:val="20"/>
              </w:rPr>
              <w:t>1b</w:t>
            </w:r>
            <w:r>
              <w:rPr>
                <w:rFonts w:hint="eastAsia" w:hAnsi="宋体" w:eastAsia="宋体" w:cs="宋体"/>
                <w:color w:val="000000"/>
                <w:kern w:val="0"/>
                <w:sz w:val="20"/>
                <w:szCs w:val="20"/>
              </w:rPr>
              <w:t>型慢性丙型肝炎成人患者（用法用量详见盐酸拉维达韦片说明书）。</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盐酸拉维达韦片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0.2g/</w:t>
            </w:r>
            <w:r>
              <w:rPr>
                <w:rFonts w:hint="eastAsia" w:hAnsi="宋体" w:eastAsia="宋体" w:cs="宋体"/>
                <w:color w:val="000000"/>
                <w:kern w:val="0"/>
                <w:sz w:val="20"/>
                <w:szCs w:val="20"/>
              </w:rPr>
              <w:t>片</w:t>
            </w:r>
            <w:r>
              <w:rPr>
                <w:rFonts w:hAnsi="宋体" w:eastAsia="宋体" w:cs="宋体"/>
                <w:color w:val="000000"/>
                <w:kern w:val="0"/>
                <w:sz w:val="20"/>
                <w:szCs w:val="20"/>
              </w:rPr>
              <w:t>(</w:t>
            </w:r>
            <w:r>
              <w:rPr>
                <w:rFonts w:hint="eastAsia" w:hAnsi="宋体" w:eastAsia="宋体" w:cs="宋体"/>
                <w:color w:val="000000"/>
                <w:kern w:val="0"/>
                <w:sz w:val="20"/>
                <w:szCs w:val="20"/>
              </w:rPr>
              <w:t>协议有效期内，谈判企业负责向购买盐酸拉维达韦片的患者免费提供同疗程和相应剂量的利托那韦和利巴韦林，详见说明书</w:t>
            </w:r>
            <w:r>
              <w:rPr>
                <w:rFonts w:hAnsi="宋体" w:eastAsia="宋体" w:cs="宋体"/>
                <w:color w:val="000000"/>
                <w:kern w:val="0"/>
                <w:sz w:val="20"/>
                <w:szCs w:val="20"/>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盐酸拉维达韦片联合利托那韦强化的达诺瑞韦钠片和利巴韦林，用于治疗初治的基因</w:t>
            </w:r>
            <w:r>
              <w:rPr>
                <w:rFonts w:hAnsi="宋体" w:eastAsia="宋体" w:cs="宋体"/>
                <w:color w:val="000000"/>
                <w:kern w:val="0"/>
                <w:sz w:val="20"/>
                <w:szCs w:val="20"/>
              </w:rPr>
              <w:t>lb</w:t>
            </w:r>
            <w:r>
              <w:rPr>
                <w:rFonts w:hint="eastAsia" w:hAnsi="宋体" w:eastAsia="宋体" w:cs="宋体"/>
                <w:color w:val="000000"/>
                <w:kern w:val="0"/>
                <w:sz w:val="20"/>
                <w:szCs w:val="20"/>
              </w:rPr>
              <w:t>型慢性丙型肝炎病毒感染的非肝硬化成人患者。盐酸拉维达韦片不得作为单药治疗。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25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磷酸依米他韦胶囊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磷酸依米他韦胶囊需与索磷布韦片联合，用于治疗成人基因</w:t>
            </w:r>
            <w:r>
              <w:rPr>
                <w:rFonts w:hAnsi="宋体" w:eastAsia="宋体" w:cs="宋体"/>
                <w:color w:val="000000"/>
                <w:kern w:val="0"/>
                <w:sz w:val="20"/>
                <w:szCs w:val="20"/>
              </w:rPr>
              <w:t>1</w:t>
            </w:r>
            <w:r>
              <w:rPr>
                <w:rFonts w:hint="eastAsia" w:hAnsi="宋体" w:eastAsia="宋体" w:cs="宋体"/>
                <w:color w:val="000000"/>
                <w:kern w:val="0"/>
                <w:sz w:val="20"/>
                <w:szCs w:val="20"/>
              </w:rPr>
              <w:t>型非肝硬化慢性丙型肝炎。磷酸依米他韦胶囊不得作为单药治疗。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25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艾考恩丙替片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适用于治疗人类免疫缺陷病毒</w:t>
            </w:r>
            <w:r>
              <w:rPr>
                <w:rFonts w:hAnsi="宋体" w:eastAsia="宋体" w:cs="宋体"/>
                <w:color w:val="000000"/>
                <w:kern w:val="0"/>
                <w:sz w:val="20"/>
                <w:szCs w:val="20"/>
              </w:rPr>
              <w:t>-1</w:t>
            </w:r>
            <w:r>
              <w:rPr>
                <w:rFonts w:hint="eastAsia" w:hAnsi="宋体" w:eastAsia="宋体" w:cs="宋体"/>
                <w:color w:val="000000"/>
                <w:kern w:val="0"/>
                <w:sz w:val="20"/>
                <w:szCs w:val="20"/>
              </w:rPr>
              <w:t>（</w:t>
            </w:r>
            <w:r>
              <w:rPr>
                <w:rFonts w:hAnsi="宋体" w:eastAsia="宋体" w:cs="宋体"/>
                <w:color w:val="000000"/>
                <w:kern w:val="0"/>
                <w:sz w:val="20"/>
                <w:szCs w:val="20"/>
              </w:rPr>
              <w:t>HIV-1</w:t>
            </w:r>
            <w:r>
              <w:rPr>
                <w:rFonts w:hint="eastAsia" w:hAnsi="宋体" w:eastAsia="宋体" w:cs="宋体"/>
                <w:color w:val="000000"/>
                <w:kern w:val="0"/>
                <w:sz w:val="20"/>
                <w:szCs w:val="20"/>
              </w:rPr>
              <w:t>）感染的且无任何与整合酶抑制剂类药物、恩曲他滨或替诺福韦耐药性相关的已知突变的成人和青少年（年龄</w:t>
            </w:r>
            <w:r>
              <w:rPr>
                <w:rFonts w:hAnsi="宋体" w:eastAsia="宋体" w:cs="宋体"/>
                <w:color w:val="000000"/>
                <w:kern w:val="0"/>
                <w:sz w:val="20"/>
                <w:szCs w:val="20"/>
              </w:rPr>
              <w:t>12</w:t>
            </w:r>
            <w:r>
              <w:rPr>
                <w:rFonts w:hint="eastAsia" w:hAnsi="宋体" w:eastAsia="宋体" w:cs="宋体"/>
                <w:color w:val="000000"/>
                <w:kern w:val="0"/>
                <w:sz w:val="20"/>
                <w:szCs w:val="20"/>
              </w:rPr>
              <w:t>岁及以上且体重至少为</w:t>
            </w:r>
            <w:r>
              <w:rPr>
                <w:rFonts w:hAnsi="宋体" w:eastAsia="宋体" w:cs="宋体"/>
                <w:color w:val="000000"/>
                <w:kern w:val="0"/>
                <w:sz w:val="20"/>
                <w:szCs w:val="20"/>
              </w:rPr>
              <w:t>35kg</w:t>
            </w:r>
            <w:r>
              <w:rPr>
                <w:rFonts w:hint="eastAsia" w:hAnsi="宋体" w:eastAsia="宋体" w:cs="宋体"/>
                <w:color w:val="000000"/>
                <w:kern w:val="0"/>
                <w:sz w:val="20"/>
                <w:szCs w:val="20"/>
              </w:rPr>
              <w:t>）。</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比克恩丙诺片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本品适用于作为完整方案治疗人类免疫缺陷病毒</w:t>
            </w:r>
            <w:r>
              <w:rPr>
                <w:rFonts w:hAnsi="宋体" w:eastAsia="宋体" w:cs="宋体"/>
                <w:color w:val="000000"/>
                <w:kern w:val="0"/>
                <w:sz w:val="20"/>
                <w:szCs w:val="20"/>
              </w:rPr>
              <w:t>1</w:t>
            </w:r>
            <w:r>
              <w:rPr>
                <w:rFonts w:hint="eastAsia" w:hAnsi="宋体" w:eastAsia="宋体" w:cs="宋体"/>
                <w:color w:val="000000"/>
                <w:kern w:val="0"/>
                <w:sz w:val="20"/>
                <w:szCs w:val="20"/>
              </w:rPr>
              <w:t>型（</w:t>
            </w:r>
            <w:r>
              <w:rPr>
                <w:rFonts w:hAnsi="宋体" w:eastAsia="宋体" w:cs="宋体"/>
                <w:color w:val="000000"/>
                <w:kern w:val="0"/>
                <w:sz w:val="20"/>
                <w:szCs w:val="20"/>
              </w:rPr>
              <w:t>HIV-1</w:t>
            </w:r>
            <w:r>
              <w:rPr>
                <w:rFonts w:hint="eastAsia" w:hAnsi="宋体" w:eastAsia="宋体" w:cs="宋体"/>
                <w:color w:val="000000"/>
                <w:kern w:val="0"/>
                <w:sz w:val="20"/>
                <w:szCs w:val="20"/>
              </w:rPr>
              <w:t>）感染的成人，且患者目前和既往无对整合酶抑制剂类药物、恩曲他滨或替诺福韦产生病毒耐药性的证据。</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艾诺韦林片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75mg/</w:t>
            </w:r>
            <w:r>
              <w:rPr>
                <w:rFonts w:hint="eastAsia" w:hAnsi="宋体" w:eastAsia="宋体" w:cs="宋体"/>
                <w:color w:val="000000"/>
                <w:kern w:val="0"/>
                <w:sz w:val="20"/>
                <w:szCs w:val="20"/>
              </w:rPr>
              <w:t>片</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本品适用于与核苷类抗逆转录病毒药物联合使用，治疗成人</w:t>
            </w:r>
            <w:r>
              <w:rPr>
                <w:rFonts w:hAnsi="宋体" w:eastAsia="宋体" w:cs="宋体"/>
                <w:color w:val="000000"/>
                <w:kern w:val="0"/>
                <w:sz w:val="20"/>
                <w:szCs w:val="20"/>
              </w:rPr>
              <w:t>HIV-1</w:t>
            </w:r>
            <w:r>
              <w:rPr>
                <w:rFonts w:hint="eastAsia" w:hAnsi="宋体" w:eastAsia="宋体" w:cs="宋体"/>
                <w:color w:val="000000"/>
                <w:kern w:val="0"/>
                <w:sz w:val="20"/>
                <w:szCs w:val="20"/>
              </w:rPr>
              <w:t>感染初治患者。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873"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39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拉米夫定多替拉韦片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2023年3月1日至2023年12月31日</w:t>
            </w:r>
          </w:p>
        </w:tc>
      </w:tr>
      <w:tr>
        <w:tblPrEx>
          <w:tblCellMar>
            <w:top w:w="0" w:type="dxa"/>
            <w:left w:w="0" w:type="dxa"/>
            <w:bottom w:w="0" w:type="dxa"/>
            <w:right w:w="0" w:type="dxa"/>
          </w:tblCellMar>
        </w:tblPrEx>
        <w:trPr>
          <w:trHeight w:val="56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奈韦拉平齐多拉米双夫定片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每片含奈韦拉平</w:t>
            </w:r>
            <w:r>
              <w:rPr>
                <w:rFonts w:hAnsi="宋体" w:eastAsia="宋体" w:cs="宋体"/>
                <w:color w:val="000000"/>
                <w:kern w:val="0"/>
                <w:sz w:val="20"/>
                <w:szCs w:val="20"/>
              </w:rPr>
              <w:t xml:space="preserve">0.2g, </w:t>
            </w:r>
            <w:r>
              <w:rPr>
                <w:rFonts w:hint="eastAsia" w:hAnsi="宋体" w:eastAsia="宋体" w:cs="宋体"/>
                <w:color w:val="000000"/>
                <w:kern w:val="0"/>
                <w:sz w:val="20"/>
                <w:szCs w:val="20"/>
              </w:rPr>
              <w:t>齐多夫定</w:t>
            </w:r>
            <w:r>
              <w:rPr>
                <w:rFonts w:hAnsi="宋体" w:eastAsia="宋体" w:cs="宋体"/>
                <w:color w:val="000000"/>
                <w:kern w:val="0"/>
                <w:sz w:val="20"/>
                <w:szCs w:val="20"/>
              </w:rPr>
              <w:t>0.3g</w:t>
            </w:r>
            <w:r>
              <w:rPr>
                <w:rFonts w:hint="eastAsia" w:hAnsi="宋体" w:eastAsia="宋体" w:cs="宋体"/>
                <w:color w:val="000000"/>
                <w:kern w:val="0"/>
                <w:sz w:val="20"/>
                <w:szCs w:val="20"/>
              </w:rPr>
              <w:t>和拉米夫定</w:t>
            </w:r>
            <w:r>
              <w:rPr>
                <w:rFonts w:hAnsi="宋体" w:eastAsia="宋体" w:cs="宋体"/>
                <w:color w:val="000000"/>
                <w:kern w:val="0"/>
                <w:sz w:val="20"/>
                <w:szCs w:val="20"/>
              </w:rPr>
              <w:t>0.15g</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限艾滋病病毒感染。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56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注射用艾博韦泰</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160mg/</w:t>
            </w:r>
            <w:r>
              <w:rPr>
                <w:rFonts w:hint="eastAsia" w:hAnsi="宋体" w:eastAsia="宋体" w:cs="宋体"/>
                <w:color w:val="000000"/>
                <w:kern w:val="0"/>
                <w:sz w:val="20"/>
                <w:szCs w:val="20"/>
              </w:rPr>
              <w:t>支</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限艾滋病病毒感染。</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56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依维莫司片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 xml:space="preserve">1. </w:t>
            </w:r>
            <w:r>
              <w:rPr>
                <w:rFonts w:hint="eastAsia" w:hAnsi="宋体" w:eastAsia="宋体" w:cs="宋体"/>
                <w:color w:val="000000"/>
                <w:kern w:val="0"/>
                <w:sz w:val="20"/>
                <w:szCs w:val="20"/>
              </w:rPr>
              <w:t>既往接受舒尼替尼或索拉非尼治疗失败的晚期肾细胞癌成人患者；</w:t>
            </w:r>
            <w:r>
              <w:rPr>
                <w:rFonts w:hAnsi="宋体" w:eastAsia="宋体" w:cs="宋体"/>
                <w:color w:val="000000"/>
                <w:kern w:val="0"/>
                <w:sz w:val="20"/>
                <w:szCs w:val="20"/>
              </w:rPr>
              <w:t>2.</w:t>
            </w:r>
            <w:r>
              <w:rPr>
                <w:rFonts w:hint="eastAsia" w:hAnsi="宋体" w:eastAsia="宋体" w:cs="宋体"/>
                <w:color w:val="000000"/>
                <w:kern w:val="0"/>
                <w:sz w:val="20"/>
                <w:szCs w:val="20"/>
              </w:rPr>
              <w:t>不可切除的、局部晚期或转移性的、分化良好的</w:t>
            </w:r>
            <w:r>
              <w:rPr>
                <w:rFonts w:hAnsi="宋体" w:eastAsia="宋体" w:cs="宋体"/>
                <w:color w:val="000000"/>
                <w:kern w:val="0"/>
                <w:sz w:val="20"/>
                <w:szCs w:val="20"/>
              </w:rPr>
              <w:t>(</w:t>
            </w:r>
            <w:r>
              <w:rPr>
                <w:rFonts w:hint="eastAsia" w:hAnsi="宋体" w:eastAsia="宋体" w:cs="宋体"/>
                <w:color w:val="000000"/>
                <w:kern w:val="0"/>
                <w:sz w:val="20"/>
                <w:szCs w:val="20"/>
              </w:rPr>
              <w:t>中度分化或高度分化</w:t>
            </w:r>
            <w:r>
              <w:rPr>
                <w:rFonts w:hAnsi="宋体" w:eastAsia="宋体" w:cs="宋体"/>
                <w:color w:val="000000"/>
                <w:kern w:val="0"/>
                <w:sz w:val="20"/>
                <w:szCs w:val="20"/>
              </w:rPr>
              <w:t>)</w:t>
            </w:r>
            <w:r>
              <w:rPr>
                <w:rFonts w:hint="eastAsia" w:hAnsi="宋体" w:eastAsia="宋体" w:cs="宋体"/>
                <w:color w:val="000000"/>
                <w:kern w:val="0"/>
                <w:sz w:val="20"/>
                <w:szCs w:val="20"/>
              </w:rPr>
              <w:t>进展期胰腺神经内分泌瘤成人患者；</w:t>
            </w:r>
            <w:r>
              <w:rPr>
                <w:rFonts w:hAnsi="宋体" w:eastAsia="宋体" w:cs="宋体"/>
                <w:color w:val="000000"/>
                <w:kern w:val="0"/>
                <w:sz w:val="20"/>
                <w:szCs w:val="20"/>
              </w:rPr>
              <w:t xml:space="preserve">3. </w:t>
            </w:r>
            <w:r>
              <w:rPr>
                <w:rFonts w:hint="eastAsia" w:hAnsi="宋体" w:eastAsia="宋体" w:cs="宋体"/>
                <w:color w:val="000000"/>
                <w:kern w:val="0"/>
                <w:sz w:val="20"/>
                <w:szCs w:val="20"/>
              </w:rPr>
              <w:t>无法手术切除的、局部晚期或转移性的、分化良好的、进展期非功能性胃肠道或肺源神经内分泌肿瘤</w:t>
            </w:r>
            <w:r>
              <w:rPr>
                <w:rFonts w:hAnsi="宋体" w:eastAsia="宋体" w:cs="宋体"/>
                <w:color w:val="000000"/>
                <w:kern w:val="0"/>
                <w:sz w:val="20"/>
                <w:szCs w:val="20"/>
              </w:rPr>
              <w:t>(NET)</w:t>
            </w:r>
            <w:r>
              <w:rPr>
                <w:rFonts w:hint="eastAsia" w:hAnsi="宋体" w:eastAsia="宋体" w:cs="宋体"/>
                <w:color w:val="000000"/>
                <w:kern w:val="0"/>
                <w:sz w:val="20"/>
                <w:szCs w:val="20"/>
              </w:rPr>
              <w:t>成人患者；</w:t>
            </w:r>
            <w:r>
              <w:rPr>
                <w:rFonts w:hAnsi="宋体" w:eastAsia="宋体" w:cs="宋体"/>
                <w:color w:val="000000"/>
                <w:kern w:val="0"/>
                <w:sz w:val="20"/>
                <w:szCs w:val="20"/>
              </w:rPr>
              <w:t xml:space="preserve">4. </w:t>
            </w:r>
            <w:r>
              <w:rPr>
                <w:rFonts w:hint="eastAsia" w:hAnsi="宋体" w:eastAsia="宋体" w:cs="宋体"/>
                <w:color w:val="000000"/>
                <w:kern w:val="0"/>
                <w:sz w:val="20"/>
                <w:szCs w:val="20"/>
              </w:rPr>
              <w:t>需要治疗干预但不适于手术切除的结节性硬化症</w:t>
            </w:r>
            <w:r>
              <w:rPr>
                <w:rFonts w:hAnsi="宋体" w:eastAsia="宋体" w:cs="宋体"/>
                <w:color w:val="000000"/>
                <w:kern w:val="0"/>
                <w:sz w:val="20"/>
                <w:szCs w:val="20"/>
              </w:rPr>
              <w:t>(TSC)</w:t>
            </w:r>
            <w:r>
              <w:rPr>
                <w:rFonts w:hint="eastAsia" w:hAnsi="宋体" w:eastAsia="宋体" w:cs="宋体"/>
                <w:color w:val="000000"/>
                <w:kern w:val="0"/>
                <w:sz w:val="20"/>
                <w:szCs w:val="20"/>
              </w:rPr>
              <w:t>相关的室管膜下巨细胞星形细胞瘤</w:t>
            </w:r>
            <w:r>
              <w:rPr>
                <w:rFonts w:hAnsi="宋体" w:eastAsia="宋体" w:cs="宋体"/>
                <w:color w:val="000000"/>
                <w:kern w:val="0"/>
                <w:sz w:val="20"/>
                <w:szCs w:val="20"/>
              </w:rPr>
              <w:t>(SEGA)</w:t>
            </w:r>
            <w:r>
              <w:rPr>
                <w:rFonts w:hint="eastAsia" w:hAnsi="宋体" w:eastAsia="宋体" w:cs="宋体"/>
                <w:color w:val="000000"/>
                <w:kern w:val="0"/>
                <w:sz w:val="20"/>
                <w:szCs w:val="20"/>
              </w:rPr>
              <w:t>成人和儿童患者；</w:t>
            </w:r>
            <w:r>
              <w:rPr>
                <w:rFonts w:hAnsi="宋体" w:eastAsia="宋体" w:cs="宋体"/>
                <w:color w:val="000000"/>
                <w:kern w:val="0"/>
                <w:sz w:val="20"/>
                <w:szCs w:val="20"/>
              </w:rPr>
              <w:t xml:space="preserve">5. </w:t>
            </w:r>
            <w:r>
              <w:rPr>
                <w:rFonts w:hint="eastAsia" w:hAnsi="宋体" w:eastAsia="宋体" w:cs="宋体"/>
                <w:color w:val="000000"/>
                <w:kern w:val="0"/>
                <w:sz w:val="20"/>
                <w:szCs w:val="20"/>
              </w:rPr>
              <w:t>用于治疗不需立即手术治疗的结节性硬化症相关的肾血管平滑肌脂肪瘤</w:t>
            </w:r>
            <w:r>
              <w:rPr>
                <w:rFonts w:hAnsi="宋体" w:eastAsia="宋体" w:cs="宋体"/>
                <w:color w:val="000000"/>
                <w:kern w:val="0"/>
                <w:sz w:val="20"/>
                <w:szCs w:val="20"/>
              </w:rPr>
              <w:t>(TSC-AML)</w:t>
            </w:r>
            <w:r>
              <w:rPr>
                <w:rFonts w:hint="eastAsia" w:hAnsi="宋体" w:eastAsia="宋体" w:cs="宋体"/>
                <w:color w:val="000000"/>
                <w:kern w:val="0"/>
                <w:sz w:val="20"/>
                <w:szCs w:val="20"/>
              </w:rPr>
              <w:t>成人患者；</w:t>
            </w:r>
            <w:r>
              <w:rPr>
                <w:rFonts w:hAnsi="宋体" w:eastAsia="宋体" w:cs="宋体"/>
                <w:color w:val="000000"/>
                <w:kern w:val="0"/>
                <w:sz w:val="20"/>
                <w:szCs w:val="20"/>
              </w:rPr>
              <w:t xml:space="preserve">6. </w:t>
            </w:r>
            <w:r>
              <w:rPr>
                <w:rFonts w:hint="eastAsia" w:hAnsi="宋体" w:eastAsia="宋体" w:cs="宋体"/>
                <w:color w:val="000000"/>
                <w:kern w:val="0"/>
                <w:sz w:val="20"/>
                <w:szCs w:val="20"/>
              </w:rPr>
              <w:t>来曲唑或阿那曲唑治疗失败后的激素受体阳性、表皮生长因子受体</w:t>
            </w:r>
            <w:r>
              <w:rPr>
                <w:rFonts w:hAnsi="宋体" w:eastAsia="宋体" w:cs="宋体"/>
                <w:color w:val="000000"/>
                <w:kern w:val="0"/>
                <w:sz w:val="20"/>
                <w:szCs w:val="20"/>
              </w:rPr>
              <w:t>-2</w:t>
            </w:r>
            <w:r>
              <w:rPr>
                <w:rFonts w:hint="eastAsia" w:hAnsi="宋体" w:eastAsia="宋体" w:cs="宋体"/>
                <w:color w:val="000000"/>
                <w:kern w:val="0"/>
                <w:sz w:val="20"/>
                <w:szCs w:val="20"/>
              </w:rPr>
              <w:t>阴性、绝经后晚期女性乳腺癌患者。</w:t>
            </w:r>
          </w:p>
          <w:p>
            <w:pPr>
              <w:widowControl/>
              <w:snapToGrid w:val="0"/>
              <w:spacing w:line="300" w:lineRule="exact"/>
              <w:jc w:val="left"/>
              <w:textAlignment w:val="center"/>
              <w:rPr>
                <w:rFonts w:hAnsi="宋体" w:eastAsia="宋体" w:cs="宋体"/>
                <w:color w:val="000000"/>
                <w:kern w:val="0"/>
                <w:sz w:val="20"/>
                <w:szCs w:val="20"/>
              </w:rPr>
            </w:pP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2023年3月1日至2023年12月31日</w:t>
            </w:r>
          </w:p>
        </w:tc>
      </w:tr>
      <w:tr>
        <w:tblPrEx>
          <w:tblCellMar>
            <w:top w:w="0" w:type="dxa"/>
            <w:left w:w="0" w:type="dxa"/>
            <w:bottom w:w="0" w:type="dxa"/>
            <w:right w:w="0" w:type="dxa"/>
          </w:tblCellMar>
        </w:tblPrEx>
        <w:trPr>
          <w:trHeight w:val="13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巴瑞替尼片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限诊断明确的类风湿关节炎经传统</w:t>
            </w:r>
            <w:r>
              <w:rPr>
                <w:rFonts w:hAnsi="宋体" w:eastAsia="宋体" w:cs="宋体"/>
                <w:color w:val="000000"/>
                <w:kern w:val="0"/>
                <w:sz w:val="20"/>
                <w:szCs w:val="20"/>
              </w:rPr>
              <w:t>DMARDs</w:t>
            </w:r>
            <w:r>
              <w:rPr>
                <w:rFonts w:hint="eastAsia" w:hAnsi="宋体" w:eastAsia="宋体" w:cs="宋体"/>
                <w:color w:val="000000"/>
                <w:kern w:val="0"/>
                <w:sz w:val="20"/>
                <w:szCs w:val="20"/>
              </w:rPr>
              <w:t>治疗</w:t>
            </w:r>
            <w:r>
              <w:rPr>
                <w:rFonts w:hAnsi="宋体" w:eastAsia="宋体" w:cs="宋体"/>
                <w:color w:val="000000"/>
                <w:kern w:val="0"/>
                <w:sz w:val="20"/>
                <w:szCs w:val="20"/>
              </w:rPr>
              <w:t>3-6</w:t>
            </w:r>
            <w:r>
              <w:rPr>
                <w:rFonts w:hint="eastAsia" w:hAnsi="宋体" w:eastAsia="宋体" w:cs="宋体"/>
                <w:color w:val="000000"/>
                <w:kern w:val="0"/>
                <w:sz w:val="20"/>
                <w:szCs w:val="20"/>
              </w:rPr>
              <w:t>个月疾病活动度下降低于</w:t>
            </w:r>
            <w:r>
              <w:rPr>
                <w:rFonts w:hAnsi="宋体" w:eastAsia="宋体" w:cs="宋体"/>
                <w:color w:val="000000"/>
                <w:kern w:val="0"/>
                <w:sz w:val="20"/>
                <w:szCs w:val="20"/>
              </w:rPr>
              <w:t>50%</w:t>
            </w:r>
            <w:r>
              <w:rPr>
                <w:rFonts w:hint="eastAsia" w:hAnsi="宋体" w:eastAsia="宋体" w:cs="宋体"/>
                <w:color w:val="000000"/>
                <w:kern w:val="0"/>
                <w:sz w:val="20"/>
                <w:szCs w:val="20"/>
              </w:rPr>
              <w:t>者，并需风湿病专科医师处方。</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注射用贝利尤单抗</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本品与常规治疗联合，适用于在常规治疗基础上仍具有高疾病活动</w:t>
            </w:r>
            <w:r>
              <w:rPr>
                <w:rFonts w:hAnsi="宋体" w:eastAsia="宋体" w:cs="宋体"/>
                <w:color w:val="000000"/>
                <w:kern w:val="0"/>
                <w:sz w:val="20"/>
                <w:szCs w:val="20"/>
              </w:rPr>
              <w:t>(</w:t>
            </w:r>
            <w:r>
              <w:rPr>
                <w:rFonts w:hint="eastAsia" w:hAnsi="宋体" w:eastAsia="宋体" w:cs="宋体"/>
                <w:color w:val="000000"/>
                <w:kern w:val="0"/>
                <w:sz w:val="20"/>
                <w:szCs w:val="20"/>
              </w:rPr>
              <w:t>例如：抗</w:t>
            </w:r>
            <w:r>
              <w:rPr>
                <w:rFonts w:hAnsi="宋体" w:eastAsia="宋体" w:cs="宋体"/>
                <w:color w:val="000000"/>
                <w:kern w:val="0"/>
                <w:sz w:val="20"/>
                <w:szCs w:val="20"/>
              </w:rPr>
              <w:t>dsDNA</w:t>
            </w:r>
            <w:r>
              <w:rPr>
                <w:rFonts w:hint="eastAsia" w:hAnsi="宋体" w:eastAsia="宋体" w:cs="宋体"/>
                <w:color w:val="000000"/>
                <w:kern w:val="0"/>
                <w:sz w:val="20"/>
                <w:szCs w:val="20"/>
              </w:rPr>
              <w:t>抗体阳性及低补体、</w:t>
            </w:r>
            <w:r>
              <w:rPr>
                <w:rFonts w:hAnsi="宋体" w:eastAsia="宋体" w:cs="宋体"/>
                <w:color w:val="000000"/>
                <w:kern w:val="0"/>
                <w:sz w:val="20"/>
                <w:szCs w:val="20"/>
              </w:rPr>
              <w:t>SELENA-SLEDAI</w:t>
            </w:r>
            <w:r>
              <w:rPr>
                <w:rFonts w:hint="eastAsia" w:hAnsi="宋体" w:eastAsia="宋体" w:cs="宋体"/>
                <w:color w:val="000000"/>
                <w:kern w:val="0"/>
                <w:sz w:val="20"/>
                <w:szCs w:val="20"/>
              </w:rPr>
              <w:t>评分≥</w:t>
            </w:r>
            <w:r>
              <w:rPr>
                <w:rFonts w:hAnsi="宋体" w:eastAsia="宋体" w:cs="宋体"/>
                <w:color w:val="000000"/>
                <w:kern w:val="0"/>
                <w:sz w:val="20"/>
                <w:szCs w:val="20"/>
              </w:rPr>
              <w:t>8)</w:t>
            </w:r>
            <w:r>
              <w:rPr>
                <w:rFonts w:hint="eastAsia" w:hAnsi="宋体" w:eastAsia="宋体" w:cs="宋体"/>
                <w:color w:val="000000"/>
                <w:kern w:val="0"/>
                <w:sz w:val="20"/>
                <w:szCs w:val="20"/>
              </w:rPr>
              <w:t>的活动性、自身抗体阳性的系统性红斑狼疮</w:t>
            </w:r>
            <w:r>
              <w:rPr>
                <w:rFonts w:hAnsi="宋体" w:eastAsia="宋体" w:cs="宋体"/>
                <w:color w:val="000000"/>
                <w:kern w:val="0"/>
                <w:sz w:val="20"/>
                <w:szCs w:val="20"/>
              </w:rPr>
              <w:t>(SLE)5</w:t>
            </w:r>
            <w:r>
              <w:rPr>
                <w:rFonts w:hint="eastAsia" w:hAnsi="宋体" w:eastAsia="宋体" w:cs="宋体"/>
                <w:color w:val="000000"/>
                <w:kern w:val="0"/>
                <w:sz w:val="20"/>
                <w:szCs w:val="20"/>
              </w:rPr>
              <w:t>岁及以上患者。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7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依那西普注射液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限诊断明确的类风湿关节炎经传统</w:t>
            </w:r>
            <w:r>
              <w:rPr>
                <w:rFonts w:hAnsi="宋体" w:eastAsia="宋体" w:cs="宋体"/>
                <w:color w:val="000000"/>
                <w:kern w:val="0"/>
                <w:sz w:val="20"/>
                <w:szCs w:val="20"/>
              </w:rPr>
              <w:t>DMARDs</w:t>
            </w:r>
            <w:r>
              <w:rPr>
                <w:rFonts w:hint="eastAsia" w:hAnsi="宋体" w:eastAsia="宋体" w:cs="宋体"/>
                <w:color w:val="000000"/>
                <w:kern w:val="0"/>
                <w:sz w:val="20"/>
                <w:szCs w:val="20"/>
              </w:rPr>
              <w:t>治疗</w:t>
            </w:r>
            <w:r>
              <w:rPr>
                <w:rFonts w:hAnsi="宋体" w:eastAsia="宋体" w:cs="宋体"/>
                <w:color w:val="000000"/>
                <w:kern w:val="0"/>
                <w:sz w:val="20"/>
                <w:szCs w:val="20"/>
              </w:rPr>
              <w:t>3-6</w:t>
            </w:r>
            <w:r>
              <w:rPr>
                <w:rFonts w:hint="eastAsia" w:hAnsi="宋体" w:eastAsia="宋体" w:cs="宋体"/>
                <w:color w:val="000000"/>
                <w:kern w:val="0"/>
                <w:sz w:val="20"/>
                <w:szCs w:val="20"/>
              </w:rPr>
              <w:t>个月疾病活动度下降低于</w:t>
            </w:r>
            <w:r>
              <w:rPr>
                <w:rFonts w:hAnsi="宋体" w:eastAsia="宋体" w:cs="宋体"/>
                <w:color w:val="000000"/>
                <w:kern w:val="0"/>
                <w:sz w:val="20"/>
                <w:szCs w:val="20"/>
              </w:rPr>
              <w:t>50%</w:t>
            </w:r>
            <w:r>
              <w:rPr>
                <w:rFonts w:hint="eastAsia" w:hAnsi="宋体" w:eastAsia="宋体" w:cs="宋体"/>
                <w:color w:val="000000"/>
                <w:kern w:val="0"/>
                <w:sz w:val="20"/>
                <w:szCs w:val="20"/>
              </w:rPr>
              <w:t>者；诊断明确的强直性脊柱炎</w:t>
            </w:r>
            <w:r>
              <w:rPr>
                <w:rFonts w:hAnsi="宋体" w:eastAsia="宋体" w:cs="宋体"/>
                <w:color w:val="000000"/>
                <w:kern w:val="0"/>
                <w:sz w:val="20"/>
                <w:szCs w:val="20"/>
              </w:rPr>
              <w:t>(</w:t>
            </w:r>
            <w:r>
              <w:rPr>
                <w:rFonts w:hint="eastAsia" w:hAnsi="宋体" w:eastAsia="宋体" w:cs="宋体"/>
                <w:color w:val="000000"/>
                <w:kern w:val="0"/>
                <w:sz w:val="20"/>
                <w:szCs w:val="20"/>
              </w:rPr>
              <w:t>不含放射学前期中轴性脊柱关节炎</w:t>
            </w:r>
            <w:r>
              <w:rPr>
                <w:rFonts w:hAnsi="宋体" w:eastAsia="宋体" w:cs="宋体"/>
                <w:color w:val="000000"/>
                <w:kern w:val="0"/>
                <w:sz w:val="20"/>
                <w:szCs w:val="20"/>
              </w:rPr>
              <w:t>)NSAIDs</w:t>
            </w:r>
            <w:r>
              <w:rPr>
                <w:rFonts w:hint="eastAsia" w:hAnsi="宋体" w:eastAsia="宋体" w:cs="宋体"/>
                <w:color w:val="000000"/>
                <w:kern w:val="0"/>
                <w:sz w:val="20"/>
                <w:szCs w:val="20"/>
              </w:rPr>
              <w:t>充分治疗</w:t>
            </w:r>
            <w:r>
              <w:rPr>
                <w:rFonts w:hAnsi="宋体" w:eastAsia="宋体" w:cs="宋体"/>
                <w:color w:val="000000"/>
                <w:kern w:val="0"/>
                <w:sz w:val="20"/>
                <w:szCs w:val="20"/>
              </w:rPr>
              <w:t>3</w:t>
            </w:r>
            <w:r>
              <w:rPr>
                <w:rFonts w:hint="eastAsia" w:hAnsi="宋体" w:eastAsia="宋体" w:cs="宋体"/>
                <w:color w:val="000000"/>
                <w:kern w:val="0"/>
                <w:sz w:val="20"/>
                <w:szCs w:val="20"/>
              </w:rPr>
              <w:t>个月疾病活动度下降低于</w:t>
            </w:r>
            <w:r>
              <w:rPr>
                <w:rFonts w:hAnsi="宋体" w:eastAsia="宋体" w:cs="宋体"/>
                <w:color w:val="000000"/>
                <w:kern w:val="0"/>
                <w:sz w:val="20"/>
                <w:szCs w:val="20"/>
              </w:rPr>
              <w:t>50%</w:t>
            </w:r>
            <w:r>
              <w:rPr>
                <w:rFonts w:hint="eastAsia" w:hAnsi="宋体" w:eastAsia="宋体" w:cs="宋体"/>
                <w:color w:val="000000"/>
                <w:kern w:val="0"/>
                <w:sz w:val="20"/>
                <w:szCs w:val="20"/>
              </w:rPr>
              <w:t>者；并需风湿病专科医师处方。</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2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司库奇尤单抗注射液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 xml:space="preserve">1. </w:t>
            </w:r>
            <w:r>
              <w:rPr>
                <w:rFonts w:hint="eastAsia" w:hAnsi="宋体" w:eastAsia="宋体" w:cs="宋体"/>
                <w:color w:val="000000"/>
                <w:kern w:val="0"/>
                <w:sz w:val="20"/>
                <w:szCs w:val="20"/>
              </w:rPr>
              <w:t>银屑病：用于治疗符合系统治疗或光疗指征的中度至重度斑块状银屑病的成年及体重≥</w:t>
            </w:r>
            <w:r>
              <w:rPr>
                <w:rFonts w:hAnsi="宋体" w:eastAsia="宋体" w:cs="宋体"/>
                <w:color w:val="000000"/>
                <w:kern w:val="0"/>
                <w:sz w:val="20"/>
                <w:szCs w:val="20"/>
              </w:rPr>
              <w:t>50kg</w:t>
            </w:r>
            <w:r>
              <w:rPr>
                <w:rFonts w:hint="eastAsia" w:hAnsi="宋体" w:eastAsia="宋体" w:cs="宋体"/>
                <w:color w:val="000000"/>
                <w:kern w:val="0"/>
                <w:sz w:val="20"/>
                <w:szCs w:val="20"/>
              </w:rPr>
              <w:t>的</w:t>
            </w:r>
            <w:r>
              <w:rPr>
                <w:rFonts w:hAnsi="宋体" w:eastAsia="宋体" w:cs="宋体"/>
                <w:color w:val="000000"/>
                <w:kern w:val="0"/>
                <w:sz w:val="20"/>
                <w:szCs w:val="20"/>
              </w:rPr>
              <w:t>6</w:t>
            </w:r>
            <w:r>
              <w:rPr>
                <w:rFonts w:hint="eastAsia" w:hAnsi="宋体" w:eastAsia="宋体" w:cs="宋体"/>
                <w:color w:val="000000"/>
                <w:kern w:val="0"/>
                <w:sz w:val="20"/>
                <w:szCs w:val="20"/>
              </w:rPr>
              <w:t>岁及以上儿童患者；</w:t>
            </w:r>
            <w:r>
              <w:rPr>
                <w:rFonts w:hAnsi="宋体" w:eastAsia="宋体" w:cs="宋体"/>
                <w:color w:val="000000"/>
                <w:kern w:val="0"/>
                <w:sz w:val="20"/>
                <w:szCs w:val="20"/>
              </w:rPr>
              <w:t xml:space="preserve">2. </w:t>
            </w:r>
            <w:r>
              <w:rPr>
                <w:rFonts w:hint="eastAsia" w:hAnsi="宋体" w:eastAsia="宋体" w:cs="宋体"/>
                <w:color w:val="000000"/>
                <w:kern w:val="0"/>
                <w:sz w:val="20"/>
                <w:szCs w:val="20"/>
              </w:rPr>
              <w:t>强直性脊柱炎：用于常规治疗疗效欠佳的强直性脊柱炎的成年患者。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0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乌司奴单抗注射液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kern w:val="0"/>
                <w:sz w:val="21"/>
                <w:szCs w:val="24"/>
              </w:rPr>
            </w:pPr>
            <w:r>
              <w:rPr>
                <w:rFonts w:hAnsi="宋体" w:eastAsia="宋体"/>
                <w:kern w:val="0"/>
                <w:sz w:val="21"/>
                <w:szCs w:val="24"/>
              </w:rPr>
              <w:t>1</w:t>
            </w:r>
          </w:p>
          <w:p>
            <w:pPr>
              <w:jc w:val="left"/>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1.</w:t>
            </w:r>
            <w:r>
              <w:rPr>
                <w:rFonts w:hint="eastAsia" w:hAnsi="宋体" w:eastAsia="宋体" w:cs="宋体"/>
                <w:color w:val="000000"/>
                <w:kern w:val="0"/>
                <w:sz w:val="20"/>
                <w:szCs w:val="20"/>
              </w:rPr>
              <w:t>斑块状银屑病：本品适用于对环孢素、甲氨蝶呤</w:t>
            </w:r>
            <w:r>
              <w:rPr>
                <w:rFonts w:hAnsi="宋体" w:eastAsia="宋体" w:cs="宋体"/>
                <w:color w:val="000000"/>
                <w:kern w:val="0"/>
                <w:sz w:val="20"/>
                <w:szCs w:val="20"/>
              </w:rPr>
              <w:t>(MTX)</w:t>
            </w:r>
            <w:r>
              <w:rPr>
                <w:rFonts w:hint="eastAsia" w:hAnsi="宋体" w:eastAsia="宋体" w:cs="宋体"/>
                <w:color w:val="000000"/>
                <w:kern w:val="0"/>
                <w:sz w:val="20"/>
                <w:szCs w:val="20"/>
              </w:rPr>
              <w:t>或</w:t>
            </w:r>
            <w:r>
              <w:rPr>
                <w:rFonts w:hAnsi="宋体" w:eastAsia="宋体" w:cs="宋体"/>
                <w:color w:val="000000"/>
                <w:kern w:val="0"/>
                <w:sz w:val="20"/>
                <w:szCs w:val="20"/>
              </w:rPr>
              <w:t>PUVA(</w:t>
            </w:r>
            <w:r>
              <w:rPr>
                <w:rFonts w:hint="eastAsia" w:hAnsi="宋体" w:eastAsia="宋体" w:cs="宋体"/>
                <w:color w:val="000000"/>
                <w:kern w:val="0"/>
                <w:sz w:val="20"/>
                <w:szCs w:val="20"/>
              </w:rPr>
              <w:t>补骨脂素和紫外线</w:t>
            </w:r>
            <w:r>
              <w:rPr>
                <w:rFonts w:hAnsi="宋体" w:eastAsia="宋体" w:cs="宋体"/>
                <w:color w:val="000000"/>
                <w:kern w:val="0"/>
                <w:sz w:val="20"/>
                <w:szCs w:val="20"/>
              </w:rPr>
              <w:t>A)</w:t>
            </w:r>
            <w:r>
              <w:rPr>
                <w:rFonts w:hint="eastAsia" w:hAnsi="宋体" w:eastAsia="宋体" w:cs="宋体"/>
                <w:color w:val="000000"/>
                <w:kern w:val="0"/>
                <w:sz w:val="20"/>
                <w:szCs w:val="20"/>
              </w:rPr>
              <w:t>等其他系统性治疗不应答、有禁忌或无法耐受的成年中重度斑块状银屑病患者；</w:t>
            </w:r>
            <w:r>
              <w:rPr>
                <w:rFonts w:hAnsi="宋体" w:eastAsia="宋体" w:cs="宋体"/>
                <w:color w:val="000000"/>
                <w:kern w:val="0"/>
                <w:sz w:val="20"/>
                <w:szCs w:val="20"/>
              </w:rPr>
              <w:t>2.</w:t>
            </w:r>
            <w:r>
              <w:rPr>
                <w:rFonts w:hint="eastAsia" w:hAnsi="宋体" w:eastAsia="宋体" w:cs="宋体"/>
                <w:color w:val="000000"/>
                <w:kern w:val="0"/>
                <w:sz w:val="20"/>
                <w:szCs w:val="20"/>
              </w:rPr>
              <w:t>克罗恩病：本品适用于对传统治疗或肿瘤坏死因子α</w:t>
            </w:r>
            <w:r>
              <w:rPr>
                <w:rFonts w:hAnsi="宋体" w:eastAsia="宋体" w:cs="宋体"/>
                <w:color w:val="000000"/>
                <w:kern w:val="0"/>
                <w:sz w:val="20"/>
                <w:szCs w:val="20"/>
              </w:rPr>
              <w:t>(TNF-</w:t>
            </w:r>
            <w:r>
              <w:rPr>
                <w:rFonts w:hint="eastAsia" w:hAnsi="宋体" w:eastAsia="宋体" w:cs="宋体"/>
                <w:color w:val="000000"/>
                <w:kern w:val="0"/>
                <w:sz w:val="20"/>
                <w:szCs w:val="20"/>
              </w:rPr>
              <w:t>α</w:t>
            </w:r>
            <w:r>
              <w:rPr>
                <w:rFonts w:hAnsi="宋体" w:eastAsia="宋体" w:cs="宋体"/>
                <w:color w:val="000000"/>
                <w:kern w:val="0"/>
                <w:sz w:val="20"/>
                <w:szCs w:val="20"/>
              </w:rPr>
              <w:t>)</w:t>
            </w:r>
            <w:r>
              <w:rPr>
                <w:rFonts w:hint="eastAsia" w:hAnsi="宋体" w:eastAsia="宋体" w:cs="宋体"/>
                <w:color w:val="000000"/>
                <w:kern w:val="0"/>
                <w:sz w:val="20"/>
                <w:szCs w:val="20"/>
              </w:rPr>
              <w:t>拮抗剂应答不足、失应答或无法耐受的成年中重度活动性克罗恩病患者。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0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乌司奴单抗注射液</w:t>
            </w:r>
            <w:r>
              <w:rPr>
                <w:rFonts w:hAnsi="宋体" w:eastAsia="宋体" w:cs="宋体"/>
                <w:color w:val="000000"/>
                <w:kern w:val="0"/>
                <w:sz w:val="20"/>
                <w:szCs w:val="20"/>
              </w:rPr>
              <w:t>(</w:t>
            </w:r>
            <w:r>
              <w:rPr>
                <w:rFonts w:hint="eastAsia" w:hAnsi="宋体" w:eastAsia="宋体" w:cs="宋体"/>
                <w:color w:val="000000"/>
                <w:kern w:val="0"/>
                <w:sz w:val="20"/>
                <w:szCs w:val="20"/>
              </w:rPr>
              <w:t>静脉输注</w:t>
            </w:r>
            <w:r>
              <w:rPr>
                <w:rFonts w:hAnsi="宋体" w:eastAsia="宋体" w:cs="宋体"/>
                <w:color w:val="000000"/>
                <w:kern w:val="0"/>
                <w:sz w:val="20"/>
                <w:szCs w:val="20"/>
              </w:rPr>
              <w:t>)</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本品适用于对传统治疗或肿瘤坏死因子α</w:t>
            </w:r>
            <w:r>
              <w:rPr>
                <w:rFonts w:hAnsi="宋体" w:eastAsia="宋体" w:cs="宋体"/>
                <w:color w:val="000000"/>
                <w:kern w:val="0"/>
                <w:sz w:val="20"/>
                <w:szCs w:val="20"/>
              </w:rPr>
              <w:t>(TNF-</w:t>
            </w:r>
            <w:r>
              <w:rPr>
                <w:rFonts w:hint="eastAsia" w:hAnsi="宋体" w:eastAsia="宋体" w:cs="宋体"/>
                <w:color w:val="000000"/>
                <w:kern w:val="0"/>
                <w:sz w:val="20"/>
                <w:szCs w:val="20"/>
              </w:rPr>
              <w:t>α</w:t>
            </w:r>
            <w:r>
              <w:rPr>
                <w:rFonts w:hAnsi="宋体" w:eastAsia="宋体" w:cs="宋体"/>
                <w:color w:val="000000"/>
                <w:kern w:val="0"/>
                <w:sz w:val="20"/>
                <w:szCs w:val="20"/>
              </w:rPr>
              <w:t>)</w:t>
            </w:r>
            <w:r>
              <w:rPr>
                <w:rFonts w:hint="eastAsia" w:hAnsi="宋体" w:eastAsia="宋体" w:cs="宋体"/>
                <w:color w:val="000000"/>
                <w:kern w:val="0"/>
                <w:sz w:val="20"/>
                <w:szCs w:val="20"/>
              </w:rPr>
              <w:t>拮抗剂应答不足、失应答或无法耐受的成年中重度活动性克罗恩病患者。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0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49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依奇珠单抗注射液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本品用于治疗适合系统治疗或光疗的中度至重度斑块型银屑病成人患者。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地舒单抗注射液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限绝经后妇女的重度骨质疏松</w:t>
            </w:r>
            <w:r>
              <w:rPr>
                <w:rFonts w:hAnsi="宋体" w:eastAsia="宋体" w:cs="宋体"/>
                <w:color w:val="000000"/>
                <w:kern w:val="0"/>
                <w:sz w:val="20"/>
                <w:szCs w:val="20"/>
              </w:rPr>
              <w:t>(60mg(1.0ml)/</w:t>
            </w:r>
            <w:r>
              <w:rPr>
                <w:rFonts w:hint="eastAsia" w:hAnsi="宋体" w:eastAsia="宋体" w:cs="宋体"/>
                <w:color w:val="000000"/>
                <w:kern w:val="0"/>
                <w:sz w:val="20"/>
                <w:szCs w:val="20"/>
              </w:rPr>
              <w:t>支</w:t>
            </w:r>
            <w:r>
              <w:rPr>
                <w:rFonts w:hAnsi="宋体" w:eastAsia="宋体" w:cs="宋体"/>
                <w:color w:val="000000"/>
                <w:kern w:val="0"/>
                <w:sz w:val="20"/>
                <w:szCs w:val="20"/>
              </w:rPr>
              <w:t>(</w:t>
            </w:r>
            <w:r>
              <w:rPr>
                <w:rFonts w:hint="eastAsia" w:hAnsi="宋体" w:eastAsia="宋体" w:cs="宋体"/>
                <w:color w:val="000000"/>
                <w:kern w:val="0"/>
                <w:sz w:val="20"/>
                <w:szCs w:val="20"/>
              </w:rPr>
              <w:t>预充式注射器</w:t>
            </w:r>
            <w:r>
              <w:rPr>
                <w:rFonts w:hAnsi="宋体" w:eastAsia="宋体" w:cs="宋体"/>
                <w:color w:val="000000"/>
                <w:kern w:val="0"/>
                <w:sz w:val="20"/>
                <w:szCs w:val="20"/>
              </w:rPr>
              <w:t>))</w:t>
            </w:r>
            <w:r>
              <w:rPr>
                <w:rFonts w:hint="eastAsia" w:hAnsi="宋体" w:eastAsia="宋体" w:cs="宋体"/>
                <w:color w:val="000000"/>
                <w:kern w:val="0"/>
                <w:sz w:val="20"/>
                <w:szCs w:val="20"/>
              </w:rPr>
              <w:t>限不可手术切除或者手术切除可能导致严重功能障碍的骨巨细胞瘤</w:t>
            </w:r>
            <w:r>
              <w:rPr>
                <w:rFonts w:hAnsi="宋体" w:eastAsia="宋体" w:cs="宋体"/>
                <w:color w:val="000000"/>
                <w:kern w:val="0"/>
                <w:sz w:val="20"/>
                <w:szCs w:val="20"/>
              </w:rPr>
              <w:t>(120mg/1.7mL/</w:t>
            </w:r>
            <w:r>
              <w:rPr>
                <w:rFonts w:hint="eastAsia" w:hAnsi="宋体" w:eastAsia="宋体" w:cs="宋体"/>
                <w:color w:val="000000"/>
                <w:kern w:val="0"/>
                <w:sz w:val="20"/>
                <w:szCs w:val="20"/>
              </w:rPr>
              <w:t>支</w:t>
            </w:r>
            <w:r>
              <w:rPr>
                <w:rFonts w:hAnsi="宋体" w:eastAsia="宋体" w:cs="宋体"/>
                <w:color w:val="000000"/>
                <w:kern w:val="0"/>
                <w:sz w:val="20"/>
                <w:szCs w:val="20"/>
              </w:rPr>
              <w:t>)</w:t>
            </w:r>
            <w:r>
              <w:rPr>
                <w:rFonts w:hint="eastAsia" w:hAnsi="宋体" w:eastAsia="宋体" w:cs="宋体"/>
                <w:color w:val="000000"/>
                <w:kern w:val="0"/>
                <w:sz w:val="20"/>
                <w:szCs w:val="20"/>
              </w:rPr>
              <w:t>。</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7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吡仑帕奈片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snapToGrid w:val="0"/>
              <w:spacing w:line="320" w:lineRule="exact"/>
              <w:jc w:val="left"/>
              <w:rPr>
                <w:rFonts w:hAnsi="宋体" w:eastAsia="宋体" w:cs="宋体"/>
                <w:color w:val="000000"/>
                <w:kern w:val="0"/>
                <w:sz w:val="20"/>
                <w:szCs w:val="20"/>
              </w:rPr>
            </w:pP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氘丁苯那嗪片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限治疗成人：与亨廷顿病有关的舞蹈病；迟发性运动障碍。</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棕榈帕利哌酮酯注射液（</w:t>
            </w:r>
            <w:r>
              <w:rPr>
                <w:rFonts w:hAnsi="宋体" w:eastAsia="宋体" w:cs="宋体"/>
                <w:color w:val="000000"/>
                <w:kern w:val="0"/>
                <w:sz w:val="20"/>
                <w:szCs w:val="20"/>
              </w:rPr>
              <w:t>3M</w:t>
            </w:r>
            <w:r>
              <w:rPr>
                <w:rFonts w:hint="eastAsia" w:hAnsi="宋体" w:eastAsia="宋体" w:cs="宋体"/>
                <w:color w:val="000000"/>
                <w:kern w:val="0"/>
                <w:sz w:val="20"/>
                <w:szCs w:val="20"/>
              </w:rPr>
              <w:t>）</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限接受过棕榈酸帕利哌酮注射液</w:t>
            </w:r>
            <w:r>
              <w:rPr>
                <w:rFonts w:hAnsi="宋体" w:eastAsia="宋体" w:cs="宋体"/>
                <w:color w:val="000000"/>
                <w:kern w:val="0"/>
                <w:sz w:val="20"/>
                <w:szCs w:val="20"/>
              </w:rPr>
              <w:t>(1</w:t>
            </w:r>
            <w:r>
              <w:rPr>
                <w:rFonts w:hint="eastAsia" w:hAnsi="宋体" w:eastAsia="宋体" w:cs="宋体"/>
                <w:color w:val="000000"/>
                <w:kern w:val="0"/>
                <w:sz w:val="20"/>
                <w:szCs w:val="20"/>
              </w:rPr>
              <w:t>个月剂型</w:t>
            </w:r>
            <w:r>
              <w:rPr>
                <w:rFonts w:hAnsi="宋体" w:eastAsia="宋体" w:cs="宋体"/>
                <w:color w:val="000000"/>
                <w:kern w:val="0"/>
                <w:sz w:val="20"/>
                <w:szCs w:val="20"/>
              </w:rPr>
              <w:t>)</w:t>
            </w:r>
            <w:r>
              <w:rPr>
                <w:rFonts w:hint="eastAsia" w:hAnsi="宋体" w:eastAsia="宋体" w:cs="宋体"/>
                <w:color w:val="000000"/>
                <w:kern w:val="0"/>
                <w:sz w:val="20"/>
                <w:szCs w:val="20"/>
              </w:rPr>
              <w:t>至少</w:t>
            </w:r>
            <w:r>
              <w:rPr>
                <w:rFonts w:hAnsi="宋体" w:eastAsia="宋体" w:cs="宋体"/>
                <w:color w:val="000000"/>
                <w:kern w:val="0"/>
                <w:sz w:val="20"/>
                <w:szCs w:val="20"/>
              </w:rPr>
              <w:t>4</w:t>
            </w:r>
            <w:r>
              <w:rPr>
                <w:rFonts w:hint="eastAsia" w:hAnsi="宋体" w:eastAsia="宋体" w:cs="宋体"/>
                <w:color w:val="000000"/>
                <w:kern w:val="0"/>
                <w:sz w:val="20"/>
                <w:szCs w:val="20"/>
              </w:rPr>
              <w:t>个月充分治疗的精神分裂症患者。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47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注射用奥马珠单抗</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int="eastAsia" w:hAnsi="宋体" w:eastAsia="宋体" w:cs="宋体"/>
                <w:color w:val="000000"/>
                <w:kern w:val="0"/>
                <w:sz w:val="20"/>
                <w:szCs w:val="20"/>
                <w:lang w:eastAsia="zh-CN"/>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1.</w:t>
            </w:r>
            <w:r>
              <w:rPr>
                <w:rFonts w:hint="eastAsia" w:hAnsi="宋体" w:eastAsia="宋体" w:cs="宋体"/>
                <w:color w:val="000000"/>
                <w:kern w:val="0"/>
                <w:sz w:val="20"/>
                <w:szCs w:val="20"/>
              </w:rPr>
              <w:t>限经吸入型糖皮质激素和长效吸入型β</w:t>
            </w:r>
            <w:r>
              <w:rPr>
                <w:rFonts w:hAnsi="宋体" w:eastAsia="宋体" w:cs="宋体"/>
                <w:color w:val="000000"/>
                <w:kern w:val="0"/>
                <w:sz w:val="20"/>
                <w:szCs w:val="20"/>
              </w:rPr>
              <w:t>2-</w:t>
            </w:r>
            <w:r>
              <w:rPr>
                <w:rFonts w:hint="eastAsia" w:hAnsi="宋体" w:eastAsia="宋体" w:cs="宋体"/>
                <w:color w:val="000000"/>
                <w:kern w:val="0"/>
                <w:sz w:val="20"/>
                <w:szCs w:val="20"/>
              </w:rPr>
              <w:t>肾上腺素受体激动剂治疗后，仍不能有效控制症状的中至重度持续性过敏性哮喘患者，并需</w:t>
            </w:r>
            <w:r>
              <w:rPr>
                <w:rFonts w:hAnsi="宋体" w:eastAsia="宋体" w:cs="宋体"/>
                <w:color w:val="000000"/>
                <w:kern w:val="0"/>
                <w:sz w:val="20"/>
                <w:szCs w:val="20"/>
              </w:rPr>
              <w:t>IgE(</w:t>
            </w:r>
            <w:r>
              <w:rPr>
                <w:rFonts w:hint="eastAsia" w:hAnsi="宋体" w:eastAsia="宋体" w:cs="宋体"/>
                <w:color w:val="000000"/>
                <w:kern w:val="0"/>
                <w:sz w:val="20"/>
                <w:szCs w:val="20"/>
              </w:rPr>
              <w:t>免疫球蛋白</w:t>
            </w:r>
            <w:r>
              <w:rPr>
                <w:rFonts w:hAnsi="宋体" w:eastAsia="宋体" w:cs="宋体"/>
                <w:color w:val="000000"/>
                <w:kern w:val="0"/>
                <w:sz w:val="20"/>
                <w:szCs w:val="20"/>
              </w:rPr>
              <w:t>E)</w:t>
            </w:r>
            <w:r>
              <w:rPr>
                <w:rFonts w:hint="eastAsia" w:hAnsi="宋体" w:eastAsia="宋体" w:cs="宋体"/>
                <w:color w:val="000000"/>
                <w:kern w:val="0"/>
                <w:sz w:val="20"/>
                <w:szCs w:val="20"/>
              </w:rPr>
              <w:t>介导确诊证据；</w:t>
            </w:r>
            <w:r>
              <w:rPr>
                <w:rFonts w:hAnsi="宋体" w:eastAsia="宋体" w:cs="宋体"/>
                <w:color w:val="000000"/>
                <w:kern w:val="0"/>
                <w:sz w:val="20"/>
                <w:szCs w:val="20"/>
              </w:rPr>
              <w:t>2.H1</w:t>
            </w:r>
            <w:r>
              <w:rPr>
                <w:rFonts w:hint="eastAsia" w:hAnsi="宋体" w:eastAsia="宋体" w:cs="宋体"/>
                <w:color w:val="000000"/>
                <w:kern w:val="0"/>
                <w:sz w:val="20"/>
                <w:szCs w:val="20"/>
              </w:rPr>
              <w:t>抗组胺药治疗后仍有症状的成人和青少年</w:t>
            </w:r>
            <w:r>
              <w:rPr>
                <w:rFonts w:hAnsi="宋体" w:eastAsia="宋体" w:cs="宋体"/>
                <w:color w:val="000000"/>
                <w:kern w:val="0"/>
                <w:sz w:val="20"/>
                <w:szCs w:val="20"/>
              </w:rPr>
              <w:t>(12</w:t>
            </w:r>
            <w:r>
              <w:rPr>
                <w:rFonts w:hint="eastAsia" w:hAnsi="宋体" w:eastAsia="宋体" w:cs="宋体"/>
                <w:color w:val="000000"/>
                <w:kern w:val="0"/>
                <w:sz w:val="20"/>
                <w:szCs w:val="20"/>
              </w:rPr>
              <w:t>岁及以上</w:t>
            </w:r>
            <w:r>
              <w:rPr>
                <w:rFonts w:hAnsi="宋体" w:eastAsia="宋体" w:cs="宋体"/>
                <w:color w:val="000000"/>
                <w:kern w:val="0"/>
                <w:sz w:val="20"/>
                <w:szCs w:val="20"/>
              </w:rPr>
              <w:t>)</w:t>
            </w:r>
            <w:r>
              <w:rPr>
                <w:rFonts w:hint="eastAsia" w:hAnsi="宋体" w:eastAsia="宋体" w:cs="宋体"/>
                <w:color w:val="000000"/>
                <w:kern w:val="0"/>
                <w:sz w:val="20"/>
                <w:szCs w:val="20"/>
              </w:rPr>
              <w:t>慢性自发性荨麻疹患者。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2023年3月1日至2023年12月31日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布林佐胺噻吗洛尔滴眼液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限二线用药。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布林佐胺溴莫尼定滴眼液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2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限二线用药。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2024</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788"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地塞米松玻璃体内植入剂</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限视网膜静脉阻塞</w:t>
            </w:r>
            <w:r>
              <w:rPr>
                <w:rFonts w:hAnsi="宋体" w:eastAsia="宋体" w:cs="宋体"/>
                <w:color w:val="000000"/>
                <w:kern w:val="0"/>
                <w:sz w:val="20"/>
                <w:szCs w:val="20"/>
              </w:rPr>
              <w:t>(RVO)</w:t>
            </w:r>
            <w:r>
              <w:rPr>
                <w:rFonts w:hint="eastAsia" w:hAnsi="宋体" w:eastAsia="宋体" w:cs="宋体"/>
                <w:color w:val="000000"/>
                <w:kern w:val="0"/>
                <w:sz w:val="20"/>
                <w:szCs w:val="20"/>
              </w:rPr>
              <w:t>的黄斑水肿和糖尿病性黄斑水肿</w:t>
            </w:r>
            <w:r>
              <w:rPr>
                <w:rFonts w:hAnsi="宋体" w:eastAsia="宋体" w:cs="宋体"/>
                <w:color w:val="000000"/>
                <w:kern w:val="0"/>
                <w:sz w:val="20"/>
                <w:szCs w:val="20"/>
              </w:rPr>
              <w:t>(DME)</w:t>
            </w:r>
            <w:r>
              <w:rPr>
                <w:rFonts w:hint="eastAsia" w:hAnsi="宋体" w:eastAsia="宋体" w:cs="宋体"/>
                <w:color w:val="000000"/>
                <w:kern w:val="0"/>
                <w:sz w:val="20"/>
                <w:szCs w:val="20"/>
              </w:rPr>
              <w:t>患者，并应同时符合以下条件：</w:t>
            </w:r>
            <w:r>
              <w:rPr>
                <w:rFonts w:hAnsi="宋体" w:eastAsia="宋体" w:cs="宋体"/>
                <w:color w:val="000000"/>
                <w:kern w:val="0"/>
                <w:sz w:val="20"/>
                <w:szCs w:val="20"/>
              </w:rPr>
              <w:br w:type="textWrapping"/>
            </w:r>
            <w:r>
              <w:rPr>
                <w:rFonts w:hAnsi="宋体" w:eastAsia="宋体" w:cs="宋体"/>
                <w:color w:val="000000"/>
                <w:kern w:val="0"/>
                <w:sz w:val="20"/>
                <w:szCs w:val="20"/>
              </w:rPr>
              <w:t>1.</w:t>
            </w:r>
            <w:r>
              <w:rPr>
                <w:rFonts w:hint="eastAsia" w:hAnsi="宋体" w:eastAsia="宋体" w:cs="宋体"/>
                <w:color w:val="000000"/>
                <w:kern w:val="0"/>
                <w:sz w:val="20"/>
                <w:szCs w:val="20"/>
              </w:rPr>
              <w:t>需三级综合医院眼科或二级及以上眼科专科医院医师处方；</w:t>
            </w:r>
            <w:r>
              <w:rPr>
                <w:rFonts w:hAnsi="宋体" w:eastAsia="宋体" w:cs="宋体"/>
                <w:color w:val="000000"/>
                <w:kern w:val="0"/>
                <w:sz w:val="20"/>
                <w:szCs w:val="20"/>
              </w:rPr>
              <w:br w:type="textWrapping"/>
            </w:r>
            <w:r>
              <w:rPr>
                <w:rFonts w:hAnsi="宋体" w:eastAsia="宋体" w:cs="宋体"/>
                <w:color w:val="000000"/>
                <w:kern w:val="0"/>
                <w:sz w:val="20"/>
                <w:szCs w:val="20"/>
              </w:rPr>
              <w:t>2.</w:t>
            </w:r>
            <w:r>
              <w:rPr>
                <w:rFonts w:hint="eastAsia" w:hAnsi="宋体" w:eastAsia="宋体" w:cs="宋体"/>
                <w:color w:val="000000"/>
                <w:kern w:val="0"/>
                <w:sz w:val="20"/>
                <w:szCs w:val="20"/>
              </w:rPr>
              <w:t>首次处方时病眼基线矫正视力</w:t>
            </w:r>
            <w:r>
              <w:rPr>
                <w:rFonts w:hAnsi="宋体" w:eastAsia="宋体" w:cs="宋体"/>
                <w:color w:val="000000"/>
                <w:kern w:val="0"/>
                <w:sz w:val="20"/>
                <w:szCs w:val="20"/>
              </w:rPr>
              <w:t>0.05-0.5</w:t>
            </w:r>
            <w:r>
              <w:rPr>
                <w:rFonts w:hint="eastAsia" w:hAnsi="宋体" w:eastAsia="宋体" w:cs="宋体"/>
                <w:color w:val="000000"/>
                <w:kern w:val="0"/>
                <w:sz w:val="20"/>
                <w:szCs w:val="20"/>
              </w:rPr>
              <w:t>；</w:t>
            </w:r>
            <w:r>
              <w:rPr>
                <w:rFonts w:hAnsi="宋体" w:eastAsia="宋体" w:cs="宋体"/>
                <w:color w:val="000000"/>
                <w:kern w:val="0"/>
                <w:sz w:val="20"/>
                <w:szCs w:val="20"/>
              </w:rPr>
              <w:br w:type="textWrapping"/>
            </w:r>
            <w:r>
              <w:rPr>
                <w:rFonts w:hAnsi="宋体" w:eastAsia="宋体" w:cs="宋体"/>
                <w:color w:val="000000"/>
                <w:kern w:val="0"/>
                <w:sz w:val="20"/>
                <w:szCs w:val="20"/>
              </w:rPr>
              <w:t>3.</w:t>
            </w:r>
            <w:r>
              <w:rPr>
                <w:rFonts w:hint="eastAsia" w:hAnsi="宋体" w:eastAsia="宋体" w:cs="宋体"/>
                <w:color w:val="000000"/>
                <w:kern w:val="0"/>
                <w:sz w:val="20"/>
                <w:szCs w:val="20"/>
              </w:rPr>
              <w:t>事前审查后方可用，初次申请需有血管造影或</w:t>
            </w:r>
            <w:r>
              <w:rPr>
                <w:rFonts w:hAnsi="宋体" w:eastAsia="宋体" w:cs="宋体"/>
                <w:color w:val="000000"/>
                <w:kern w:val="0"/>
                <w:sz w:val="20"/>
                <w:szCs w:val="20"/>
              </w:rPr>
              <w:t>OCT(</w:t>
            </w:r>
            <w:r>
              <w:rPr>
                <w:rFonts w:hint="eastAsia" w:hAnsi="宋体" w:eastAsia="宋体" w:cs="宋体"/>
                <w:color w:val="000000"/>
                <w:kern w:val="0"/>
                <w:sz w:val="20"/>
                <w:szCs w:val="20"/>
              </w:rPr>
              <w:t>全身情况不允许的患者可以提供</w:t>
            </w:r>
            <w:r>
              <w:rPr>
                <w:rFonts w:hAnsi="宋体" w:eastAsia="宋体" w:cs="宋体"/>
                <w:color w:val="000000"/>
                <w:kern w:val="0"/>
                <w:sz w:val="20"/>
                <w:szCs w:val="20"/>
              </w:rPr>
              <w:t>OCT</w:t>
            </w:r>
            <w:r>
              <w:rPr>
                <w:rFonts w:hint="eastAsia" w:hAnsi="宋体" w:eastAsia="宋体" w:cs="宋体"/>
                <w:color w:val="000000"/>
                <w:kern w:val="0"/>
                <w:sz w:val="20"/>
                <w:szCs w:val="20"/>
              </w:rPr>
              <w:t>血管成像</w:t>
            </w:r>
            <w:r>
              <w:rPr>
                <w:rFonts w:hAnsi="宋体" w:eastAsia="宋体" w:cs="宋体"/>
                <w:color w:val="000000"/>
                <w:kern w:val="0"/>
                <w:sz w:val="20"/>
                <w:szCs w:val="20"/>
              </w:rPr>
              <w:t>)</w:t>
            </w:r>
            <w:r>
              <w:rPr>
                <w:rFonts w:hint="eastAsia" w:hAnsi="宋体" w:eastAsia="宋体" w:cs="宋体"/>
                <w:color w:val="000000"/>
                <w:kern w:val="0"/>
                <w:sz w:val="20"/>
                <w:szCs w:val="20"/>
              </w:rPr>
              <w:t>证据；</w:t>
            </w:r>
            <w:r>
              <w:rPr>
                <w:rFonts w:hAnsi="宋体" w:eastAsia="宋体" w:cs="宋体"/>
                <w:color w:val="000000"/>
                <w:kern w:val="0"/>
                <w:sz w:val="20"/>
                <w:szCs w:val="20"/>
              </w:rPr>
              <w:br w:type="textWrapping"/>
            </w:r>
            <w:r>
              <w:rPr>
                <w:rFonts w:hAnsi="宋体" w:eastAsia="宋体" w:cs="宋体"/>
                <w:color w:val="000000"/>
                <w:kern w:val="0"/>
                <w:sz w:val="20"/>
                <w:szCs w:val="20"/>
              </w:rPr>
              <w:t>4.</w:t>
            </w:r>
            <w:r>
              <w:rPr>
                <w:rFonts w:hint="eastAsia" w:hAnsi="宋体" w:eastAsia="宋体" w:cs="宋体"/>
                <w:color w:val="000000"/>
                <w:kern w:val="0"/>
                <w:sz w:val="20"/>
                <w:szCs w:val="20"/>
              </w:rPr>
              <w:t>每眼累计最多支付</w:t>
            </w:r>
            <w:r>
              <w:rPr>
                <w:rFonts w:hAnsi="宋体" w:eastAsia="宋体" w:cs="宋体"/>
                <w:color w:val="000000"/>
                <w:kern w:val="0"/>
                <w:sz w:val="20"/>
                <w:szCs w:val="20"/>
              </w:rPr>
              <w:t>5</w:t>
            </w:r>
            <w:r>
              <w:rPr>
                <w:rFonts w:hint="eastAsia" w:hAnsi="宋体" w:eastAsia="宋体" w:cs="宋体"/>
                <w:color w:val="000000"/>
                <w:kern w:val="0"/>
                <w:sz w:val="20"/>
                <w:szCs w:val="20"/>
              </w:rPr>
              <w:t>支，每个年度最多支付</w:t>
            </w:r>
            <w:r>
              <w:rPr>
                <w:rFonts w:hAnsi="宋体" w:eastAsia="宋体" w:cs="宋体"/>
                <w:color w:val="000000"/>
                <w:kern w:val="0"/>
                <w:sz w:val="20"/>
                <w:szCs w:val="20"/>
              </w:rPr>
              <w:t>2</w:t>
            </w:r>
            <w:r>
              <w:rPr>
                <w:rFonts w:hint="eastAsia" w:hAnsi="宋体" w:eastAsia="宋体" w:cs="宋体"/>
                <w:color w:val="000000"/>
                <w:kern w:val="0"/>
                <w:sz w:val="20"/>
                <w:szCs w:val="20"/>
              </w:rPr>
              <w:t>支。</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24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康柏西普眼用注射液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0.2ml/</w:t>
            </w:r>
            <w:r>
              <w:rPr>
                <w:rFonts w:hint="eastAsia" w:hAnsi="宋体" w:eastAsia="宋体" w:cs="宋体"/>
                <w:color w:val="000000"/>
                <w:kern w:val="0"/>
                <w:sz w:val="20"/>
                <w:szCs w:val="20"/>
              </w:rPr>
              <w:t>支，</w:t>
            </w:r>
            <w:r>
              <w:rPr>
                <w:rFonts w:hAnsi="宋体" w:eastAsia="宋体" w:cs="宋体"/>
                <w:color w:val="000000"/>
                <w:kern w:val="0"/>
                <w:sz w:val="20"/>
                <w:szCs w:val="20"/>
              </w:rPr>
              <w:t>0.05 mL/</w:t>
            </w:r>
            <w:r>
              <w:rPr>
                <w:rFonts w:hint="eastAsia" w:hAnsi="宋体" w:eastAsia="宋体" w:cs="宋体"/>
                <w:color w:val="000000"/>
                <w:kern w:val="0"/>
                <w:sz w:val="20"/>
                <w:szCs w:val="20"/>
              </w:rPr>
              <w:t>支</w:t>
            </w:r>
            <w:r>
              <w:rPr>
                <w:rFonts w:hAnsi="宋体" w:eastAsia="宋体" w:cs="宋体"/>
                <w:color w:val="000000"/>
                <w:kern w:val="0"/>
                <w:sz w:val="20"/>
                <w:szCs w:val="20"/>
              </w:rPr>
              <w:t>(</w:t>
            </w:r>
            <w:r>
              <w:rPr>
                <w:rFonts w:hint="eastAsia" w:hAnsi="宋体" w:eastAsia="宋体" w:cs="宋体"/>
                <w:color w:val="000000"/>
                <w:kern w:val="0"/>
                <w:sz w:val="20"/>
                <w:szCs w:val="20"/>
              </w:rPr>
              <w:t>预充式</w:t>
            </w:r>
            <w:r>
              <w:rPr>
                <w:rFonts w:hAnsi="宋体" w:eastAsia="宋体" w:cs="宋体"/>
                <w:color w:val="000000"/>
                <w:kern w:val="0"/>
                <w:sz w:val="20"/>
                <w:szCs w:val="20"/>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:1.50</w:t>
            </w:r>
            <w:r>
              <w:rPr>
                <w:rFonts w:hint="eastAsia" w:hAnsi="宋体" w:eastAsia="宋体" w:cs="宋体"/>
                <w:color w:val="000000"/>
                <w:kern w:val="0"/>
                <w:sz w:val="20"/>
                <w:szCs w:val="20"/>
              </w:rPr>
              <w:t>岁以上的湿性年龄相关性黄斑变性</w:t>
            </w:r>
            <w:r>
              <w:rPr>
                <w:rFonts w:hAnsi="宋体" w:eastAsia="宋体" w:cs="宋体"/>
                <w:color w:val="000000"/>
                <w:kern w:val="0"/>
                <w:sz w:val="20"/>
                <w:szCs w:val="20"/>
              </w:rPr>
              <w:t>(AMD)</w:t>
            </w:r>
            <w:r>
              <w:rPr>
                <w:rFonts w:hint="eastAsia" w:hAnsi="宋体" w:eastAsia="宋体" w:cs="宋体"/>
                <w:color w:val="000000"/>
                <w:kern w:val="0"/>
                <w:sz w:val="20"/>
                <w:szCs w:val="20"/>
              </w:rPr>
              <w:t>；</w:t>
            </w:r>
            <w:r>
              <w:rPr>
                <w:rFonts w:hAnsi="宋体" w:eastAsia="宋体" w:cs="宋体"/>
                <w:color w:val="000000"/>
                <w:kern w:val="0"/>
                <w:sz w:val="20"/>
                <w:szCs w:val="20"/>
              </w:rPr>
              <w:t>2.</w:t>
            </w:r>
            <w:r>
              <w:rPr>
                <w:rFonts w:hint="eastAsia" w:hAnsi="宋体" w:eastAsia="宋体" w:cs="宋体"/>
                <w:color w:val="000000"/>
                <w:kern w:val="0"/>
                <w:sz w:val="20"/>
                <w:szCs w:val="20"/>
              </w:rPr>
              <w:t>糖尿病性黄斑水肿</w:t>
            </w:r>
            <w:r>
              <w:rPr>
                <w:rFonts w:hAnsi="宋体" w:eastAsia="宋体" w:cs="宋体"/>
                <w:color w:val="000000"/>
                <w:kern w:val="0"/>
                <w:sz w:val="20"/>
                <w:szCs w:val="20"/>
              </w:rPr>
              <w:t>(DME)</w:t>
            </w:r>
            <w:r>
              <w:rPr>
                <w:rFonts w:hint="eastAsia" w:hAnsi="宋体" w:eastAsia="宋体" w:cs="宋体"/>
                <w:color w:val="000000"/>
                <w:kern w:val="0"/>
                <w:sz w:val="20"/>
                <w:szCs w:val="20"/>
              </w:rPr>
              <w:t>引起的视力损害；</w:t>
            </w:r>
            <w:r>
              <w:rPr>
                <w:rFonts w:hAnsi="宋体" w:eastAsia="宋体" w:cs="宋体"/>
                <w:color w:val="000000"/>
                <w:kern w:val="0"/>
                <w:sz w:val="20"/>
                <w:szCs w:val="20"/>
              </w:rPr>
              <w:t>3.</w:t>
            </w:r>
            <w:r>
              <w:rPr>
                <w:rFonts w:hint="eastAsia" w:hAnsi="宋体" w:eastAsia="宋体" w:cs="宋体"/>
                <w:color w:val="000000"/>
                <w:kern w:val="0"/>
                <w:sz w:val="20"/>
                <w:szCs w:val="20"/>
              </w:rPr>
              <w:t>脉络膜新生血管</w:t>
            </w:r>
            <w:r>
              <w:rPr>
                <w:rFonts w:hAnsi="宋体" w:eastAsia="宋体" w:cs="宋体"/>
                <w:color w:val="000000"/>
                <w:kern w:val="0"/>
                <w:sz w:val="20"/>
                <w:szCs w:val="20"/>
              </w:rPr>
              <w:t>(CNV)</w:t>
            </w:r>
            <w:r>
              <w:rPr>
                <w:rFonts w:hint="eastAsia" w:hAnsi="宋体" w:eastAsia="宋体" w:cs="宋体"/>
                <w:color w:val="000000"/>
                <w:kern w:val="0"/>
                <w:sz w:val="20"/>
                <w:szCs w:val="20"/>
              </w:rPr>
              <w:t>导致的视力损害；</w:t>
            </w:r>
            <w:r>
              <w:rPr>
                <w:rFonts w:hAnsi="宋体" w:eastAsia="宋体" w:cs="宋体"/>
                <w:color w:val="000000"/>
                <w:kern w:val="0"/>
                <w:sz w:val="20"/>
                <w:szCs w:val="20"/>
              </w:rPr>
              <w:t>4.</w:t>
            </w:r>
            <w:r>
              <w:rPr>
                <w:rFonts w:hint="eastAsia" w:hAnsi="宋体" w:eastAsia="宋体" w:cs="宋体"/>
                <w:color w:val="000000"/>
                <w:kern w:val="0"/>
                <w:sz w:val="20"/>
                <w:szCs w:val="20"/>
              </w:rPr>
              <w:t>继发于视网膜静脉阻塞</w:t>
            </w:r>
            <w:r>
              <w:rPr>
                <w:rFonts w:hAnsi="宋体" w:eastAsia="宋体" w:cs="宋体"/>
                <w:color w:val="000000"/>
                <w:kern w:val="0"/>
                <w:sz w:val="20"/>
                <w:szCs w:val="20"/>
              </w:rPr>
              <w:t>(RVO)(</w:t>
            </w:r>
            <w:r>
              <w:rPr>
                <w:rFonts w:hint="eastAsia" w:hAnsi="宋体" w:eastAsia="宋体" w:cs="宋体"/>
                <w:color w:val="000000"/>
                <w:kern w:val="0"/>
                <w:sz w:val="20"/>
                <w:szCs w:val="20"/>
              </w:rPr>
              <w:t>视网膜分支静脉阻塞</w:t>
            </w:r>
            <w:r>
              <w:rPr>
                <w:rFonts w:hAnsi="宋体" w:eastAsia="宋体" w:cs="宋体"/>
                <w:color w:val="000000"/>
                <w:kern w:val="0"/>
                <w:sz w:val="20"/>
                <w:szCs w:val="20"/>
              </w:rPr>
              <w:t>(BRVO)</w:t>
            </w:r>
            <w:r>
              <w:rPr>
                <w:rFonts w:hint="eastAsia" w:hAnsi="宋体" w:eastAsia="宋体" w:cs="宋体"/>
                <w:color w:val="000000"/>
                <w:kern w:val="0"/>
                <w:sz w:val="20"/>
                <w:szCs w:val="20"/>
              </w:rPr>
              <w:t>或视网膜中央静脉阻塞</w:t>
            </w:r>
            <w:r>
              <w:rPr>
                <w:rFonts w:hAnsi="宋体" w:eastAsia="宋体" w:cs="宋体"/>
                <w:color w:val="000000"/>
                <w:kern w:val="0"/>
                <w:sz w:val="20"/>
                <w:szCs w:val="20"/>
              </w:rPr>
              <w:t>(CRVO)</w:t>
            </w:r>
            <w:r>
              <w:rPr>
                <w:rFonts w:hint="eastAsia" w:hAnsi="宋体" w:eastAsia="宋体" w:cs="宋体"/>
                <w:color w:val="000000"/>
                <w:kern w:val="0"/>
                <w:sz w:val="20"/>
                <w:szCs w:val="20"/>
              </w:rPr>
              <w:t>的黄斑水肿引起的视力损伤。应同时符合以下条件：</w:t>
            </w:r>
            <w:r>
              <w:rPr>
                <w:rFonts w:hAnsi="宋体" w:eastAsia="宋体" w:cs="宋体"/>
                <w:color w:val="000000"/>
                <w:kern w:val="0"/>
                <w:sz w:val="20"/>
                <w:szCs w:val="20"/>
              </w:rPr>
              <w:t>1.</w:t>
            </w:r>
            <w:r>
              <w:rPr>
                <w:rFonts w:hint="eastAsia" w:hAnsi="宋体" w:eastAsia="宋体" w:cs="宋体"/>
                <w:color w:val="000000"/>
                <w:kern w:val="0"/>
                <w:sz w:val="20"/>
                <w:szCs w:val="20"/>
              </w:rPr>
              <w:t>需三级综合医院眼科或二级及以上眼科专科医院医师处方；</w:t>
            </w:r>
            <w:r>
              <w:rPr>
                <w:rFonts w:hAnsi="宋体" w:eastAsia="宋体" w:cs="宋体"/>
                <w:color w:val="000000"/>
                <w:kern w:val="0"/>
                <w:sz w:val="20"/>
                <w:szCs w:val="20"/>
              </w:rPr>
              <w:t>2.</w:t>
            </w:r>
            <w:r>
              <w:rPr>
                <w:rFonts w:hint="eastAsia" w:hAnsi="宋体" w:eastAsia="宋体" w:cs="宋体"/>
                <w:color w:val="000000"/>
                <w:kern w:val="0"/>
                <w:sz w:val="20"/>
                <w:szCs w:val="20"/>
              </w:rPr>
              <w:t>首次处方时病眼基线矫正视力</w:t>
            </w:r>
            <w:r>
              <w:rPr>
                <w:rFonts w:hAnsi="宋体" w:eastAsia="宋体" w:cs="宋体"/>
                <w:color w:val="000000"/>
                <w:kern w:val="0"/>
                <w:sz w:val="20"/>
                <w:szCs w:val="20"/>
              </w:rPr>
              <w:t>0.05-0.5</w:t>
            </w:r>
            <w:r>
              <w:rPr>
                <w:rFonts w:hint="eastAsia" w:hAnsi="宋体" w:eastAsia="宋体" w:cs="宋体"/>
                <w:color w:val="000000"/>
                <w:kern w:val="0"/>
                <w:sz w:val="20"/>
                <w:szCs w:val="20"/>
              </w:rPr>
              <w:t>；</w:t>
            </w:r>
            <w:r>
              <w:rPr>
                <w:rFonts w:hAnsi="宋体" w:eastAsia="宋体" w:cs="宋体"/>
                <w:color w:val="000000"/>
                <w:kern w:val="0"/>
                <w:sz w:val="20"/>
                <w:szCs w:val="20"/>
              </w:rPr>
              <w:t>3.</w:t>
            </w:r>
            <w:r>
              <w:rPr>
                <w:rFonts w:hint="eastAsia" w:hAnsi="宋体" w:eastAsia="宋体" w:cs="宋体"/>
                <w:color w:val="000000"/>
                <w:kern w:val="0"/>
                <w:sz w:val="20"/>
                <w:szCs w:val="20"/>
              </w:rPr>
              <w:t>事前审查后方可用，初次申请需有血管造影或</w:t>
            </w:r>
            <w:r>
              <w:rPr>
                <w:rFonts w:hAnsi="宋体" w:eastAsia="宋体" w:cs="宋体"/>
                <w:color w:val="000000"/>
                <w:kern w:val="0"/>
                <w:sz w:val="20"/>
                <w:szCs w:val="20"/>
              </w:rPr>
              <w:t>OCT(</w:t>
            </w:r>
            <w:r>
              <w:rPr>
                <w:rFonts w:hint="eastAsia" w:hAnsi="宋体" w:eastAsia="宋体" w:cs="宋体"/>
                <w:color w:val="000000"/>
                <w:kern w:val="0"/>
                <w:sz w:val="20"/>
                <w:szCs w:val="20"/>
              </w:rPr>
              <w:t>全身情况不允许的患者可以提供</w:t>
            </w:r>
            <w:r>
              <w:rPr>
                <w:rFonts w:hAnsi="宋体" w:eastAsia="宋体" w:cs="宋体"/>
                <w:color w:val="000000"/>
                <w:kern w:val="0"/>
                <w:sz w:val="20"/>
                <w:szCs w:val="20"/>
              </w:rPr>
              <w:t>OCT</w:t>
            </w:r>
            <w:r>
              <w:rPr>
                <w:rFonts w:hint="eastAsia" w:hAnsi="宋体" w:eastAsia="宋体" w:cs="宋体"/>
                <w:color w:val="000000"/>
                <w:kern w:val="0"/>
                <w:sz w:val="20"/>
                <w:szCs w:val="20"/>
              </w:rPr>
              <w:t>血管成像</w:t>
            </w:r>
            <w:r>
              <w:rPr>
                <w:rFonts w:hAnsi="宋体" w:eastAsia="宋体" w:cs="宋体"/>
                <w:color w:val="000000"/>
                <w:kern w:val="0"/>
                <w:sz w:val="20"/>
                <w:szCs w:val="20"/>
              </w:rPr>
              <w:t>)</w:t>
            </w:r>
            <w:r>
              <w:rPr>
                <w:rFonts w:hint="eastAsia" w:hAnsi="宋体" w:eastAsia="宋体" w:cs="宋体"/>
                <w:color w:val="000000"/>
                <w:kern w:val="0"/>
                <w:sz w:val="20"/>
                <w:szCs w:val="20"/>
              </w:rPr>
              <w:t>证据；</w:t>
            </w:r>
            <w:r>
              <w:rPr>
                <w:rFonts w:hAnsi="宋体" w:eastAsia="宋体" w:cs="宋体"/>
                <w:color w:val="000000"/>
                <w:kern w:val="0"/>
                <w:sz w:val="20"/>
                <w:szCs w:val="20"/>
              </w:rPr>
              <w:t>4.</w:t>
            </w:r>
            <w:r>
              <w:rPr>
                <w:rFonts w:hint="eastAsia" w:hAnsi="宋体" w:eastAsia="宋体" w:cs="宋体"/>
                <w:color w:val="000000"/>
                <w:kern w:val="0"/>
                <w:sz w:val="20"/>
                <w:szCs w:val="20"/>
              </w:rPr>
              <w:t>每眼累计最多支付</w:t>
            </w:r>
            <w:r>
              <w:rPr>
                <w:rFonts w:hAnsi="宋体" w:eastAsia="宋体" w:cs="宋体"/>
                <w:color w:val="000000"/>
                <w:kern w:val="0"/>
                <w:sz w:val="20"/>
                <w:szCs w:val="20"/>
              </w:rPr>
              <w:t>9</w:t>
            </w:r>
            <w:r>
              <w:rPr>
                <w:rFonts w:hint="eastAsia" w:hAnsi="宋体" w:eastAsia="宋体" w:cs="宋体"/>
                <w:color w:val="000000"/>
                <w:kern w:val="0"/>
                <w:sz w:val="20"/>
                <w:szCs w:val="20"/>
              </w:rPr>
              <w:t>支，第</w:t>
            </w:r>
            <w:r>
              <w:rPr>
                <w:rFonts w:hAnsi="宋体" w:eastAsia="宋体" w:cs="宋体"/>
                <w:color w:val="000000"/>
                <w:kern w:val="0"/>
                <w:sz w:val="20"/>
                <w:szCs w:val="20"/>
              </w:rPr>
              <w:t>1</w:t>
            </w:r>
            <w:r>
              <w:rPr>
                <w:rFonts w:hint="eastAsia" w:hAnsi="宋体" w:eastAsia="宋体" w:cs="宋体"/>
                <w:color w:val="000000"/>
                <w:kern w:val="0"/>
                <w:sz w:val="20"/>
                <w:szCs w:val="20"/>
              </w:rPr>
              <w:t>年度最多支付</w:t>
            </w:r>
            <w:r>
              <w:rPr>
                <w:rFonts w:hAnsi="宋体" w:eastAsia="宋体" w:cs="宋体"/>
                <w:color w:val="000000"/>
                <w:kern w:val="0"/>
                <w:sz w:val="20"/>
                <w:szCs w:val="20"/>
              </w:rPr>
              <w:t>5</w:t>
            </w:r>
            <w:r>
              <w:rPr>
                <w:rFonts w:hint="eastAsia" w:hAnsi="宋体" w:eastAsia="宋体" w:cs="宋体"/>
                <w:color w:val="000000"/>
                <w:kern w:val="0"/>
                <w:sz w:val="20"/>
                <w:szCs w:val="20"/>
              </w:rPr>
              <w:t>支。阿柏西普、雷珠单抗和康柏西普的药品支数合并计算。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3</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59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阿柏西普眼内注射溶液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限以下疾病：</w:t>
            </w:r>
            <w:r>
              <w:rPr>
                <w:rFonts w:hAnsi="宋体" w:eastAsia="宋体" w:cs="宋体"/>
                <w:color w:val="000000"/>
                <w:kern w:val="0"/>
                <w:sz w:val="20"/>
                <w:szCs w:val="20"/>
              </w:rPr>
              <w:t>1.50</w:t>
            </w:r>
            <w:r>
              <w:rPr>
                <w:rFonts w:hint="eastAsia" w:hAnsi="宋体" w:eastAsia="宋体" w:cs="宋体"/>
                <w:color w:val="000000"/>
                <w:kern w:val="0"/>
                <w:sz w:val="20"/>
                <w:szCs w:val="20"/>
              </w:rPr>
              <w:t>岁以上的湿性年龄相关性黄斑变性</w:t>
            </w:r>
            <w:r>
              <w:rPr>
                <w:rFonts w:hAnsi="宋体" w:eastAsia="宋体" w:cs="宋体"/>
                <w:color w:val="000000"/>
                <w:kern w:val="0"/>
                <w:sz w:val="20"/>
                <w:szCs w:val="20"/>
              </w:rPr>
              <w:t>(AMD)</w:t>
            </w:r>
            <w:r>
              <w:rPr>
                <w:rFonts w:hint="eastAsia" w:hAnsi="宋体" w:eastAsia="宋体" w:cs="宋体"/>
                <w:color w:val="000000"/>
                <w:kern w:val="0"/>
                <w:sz w:val="20"/>
                <w:szCs w:val="20"/>
              </w:rPr>
              <w:t>；</w:t>
            </w:r>
            <w:r>
              <w:rPr>
                <w:rFonts w:hAnsi="宋体" w:eastAsia="宋体" w:cs="宋体"/>
                <w:color w:val="000000"/>
                <w:kern w:val="0"/>
                <w:sz w:val="20"/>
                <w:szCs w:val="20"/>
              </w:rPr>
              <w:t>2.</w:t>
            </w:r>
            <w:r>
              <w:rPr>
                <w:rFonts w:hint="eastAsia" w:hAnsi="宋体" w:eastAsia="宋体" w:cs="宋体"/>
                <w:color w:val="000000"/>
                <w:kern w:val="0"/>
                <w:sz w:val="20"/>
                <w:szCs w:val="20"/>
              </w:rPr>
              <w:t>糖尿病性黄斑水肿</w:t>
            </w:r>
            <w:r>
              <w:rPr>
                <w:rFonts w:hAnsi="宋体" w:eastAsia="宋体" w:cs="宋体"/>
                <w:color w:val="000000"/>
                <w:kern w:val="0"/>
                <w:sz w:val="20"/>
                <w:szCs w:val="20"/>
              </w:rPr>
              <w:t>(DME)</w:t>
            </w:r>
            <w:r>
              <w:rPr>
                <w:rFonts w:hint="eastAsia" w:hAnsi="宋体" w:eastAsia="宋体" w:cs="宋体"/>
                <w:color w:val="000000"/>
                <w:kern w:val="0"/>
                <w:sz w:val="20"/>
                <w:szCs w:val="20"/>
              </w:rPr>
              <w:t>引起的视力损害。应同时符合以下条件：</w:t>
            </w:r>
            <w:r>
              <w:rPr>
                <w:rFonts w:hAnsi="宋体" w:eastAsia="宋体" w:cs="宋体"/>
                <w:color w:val="000000"/>
                <w:kern w:val="0"/>
                <w:sz w:val="20"/>
                <w:szCs w:val="20"/>
              </w:rPr>
              <w:t>1.</w:t>
            </w:r>
            <w:r>
              <w:rPr>
                <w:rFonts w:hint="eastAsia" w:hAnsi="宋体" w:eastAsia="宋体" w:cs="宋体"/>
                <w:color w:val="000000"/>
                <w:kern w:val="0"/>
                <w:sz w:val="20"/>
                <w:szCs w:val="20"/>
              </w:rPr>
              <w:t>需三级综合医院眼科或二级及以上眼科专科医院医师处方；</w:t>
            </w:r>
            <w:r>
              <w:rPr>
                <w:rFonts w:hAnsi="宋体" w:eastAsia="宋体" w:cs="宋体"/>
                <w:color w:val="000000"/>
                <w:kern w:val="0"/>
                <w:sz w:val="20"/>
                <w:szCs w:val="20"/>
              </w:rPr>
              <w:t>2.</w:t>
            </w:r>
            <w:r>
              <w:rPr>
                <w:rFonts w:hint="eastAsia" w:hAnsi="宋体" w:eastAsia="宋体" w:cs="宋体"/>
                <w:color w:val="000000"/>
                <w:kern w:val="0"/>
                <w:sz w:val="20"/>
                <w:szCs w:val="20"/>
              </w:rPr>
              <w:t>首次处方时病眼基线矫正视力</w:t>
            </w:r>
            <w:r>
              <w:rPr>
                <w:rFonts w:hAnsi="宋体" w:eastAsia="宋体" w:cs="宋体"/>
                <w:color w:val="000000"/>
                <w:kern w:val="0"/>
                <w:sz w:val="20"/>
                <w:szCs w:val="20"/>
              </w:rPr>
              <w:t>0.05-0.5</w:t>
            </w:r>
            <w:r>
              <w:rPr>
                <w:rFonts w:hint="eastAsia" w:hAnsi="宋体" w:eastAsia="宋体" w:cs="宋体"/>
                <w:color w:val="000000"/>
                <w:kern w:val="0"/>
                <w:sz w:val="20"/>
                <w:szCs w:val="20"/>
              </w:rPr>
              <w:t>；</w:t>
            </w:r>
            <w:r>
              <w:rPr>
                <w:rFonts w:hAnsi="宋体" w:eastAsia="宋体" w:cs="宋体"/>
                <w:color w:val="000000"/>
                <w:kern w:val="0"/>
                <w:sz w:val="20"/>
                <w:szCs w:val="20"/>
              </w:rPr>
              <w:t>3.</w:t>
            </w:r>
            <w:r>
              <w:rPr>
                <w:rFonts w:hint="eastAsia" w:hAnsi="宋体" w:eastAsia="宋体" w:cs="宋体"/>
                <w:color w:val="000000"/>
                <w:kern w:val="0"/>
                <w:sz w:val="20"/>
                <w:szCs w:val="20"/>
              </w:rPr>
              <w:t>事前审查后方可用，初次申请需有血管造影或</w:t>
            </w:r>
            <w:r>
              <w:rPr>
                <w:rFonts w:hAnsi="宋体" w:eastAsia="宋体" w:cs="宋体"/>
                <w:color w:val="000000"/>
                <w:kern w:val="0"/>
                <w:sz w:val="20"/>
                <w:szCs w:val="20"/>
              </w:rPr>
              <w:t>OCT(</w:t>
            </w:r>
            <w:r>
              <w:rPr>
                <w:rFonts w:hint="eastAsia" w:hAnsi="宋体" w:eastAsia="宋体" w:cs="宋体"/>
                <w:color w:val="000000"/>
                <w:kern w:val="0"/>
                <w:sz w:val="20"/>
                <w:szCs w:val="20"/>
              </w:rPr>
              <w:t>全身情况不允许的患者可以提供</w:t>
            </w:r>
            <w:r>
              <w:rPr>
                <w:rFonts w:hAnsi="宋体" w:eastAsia="宋体" w:cs="宋体"/>
                <w:color w:val="000000"/>
                <w:kern w:val="0"/>
                <w:sz w:val="20"/>
                <w:szCs w:val="20"/>
              </w:rPr>
              <w:t>OCT</w:t>
            </w:r>
            <w:r>
              <w:rPr>
                <w:rFonts w:hint="eastAsia" w:hAnsi="宋体" w:eastAsia="宋体" w:cs="宋体"/>
                <w:color w:val="000000"/>
                <w:kern w:val="0"/>
                <w:sz w:val="20"/>
                <w:szCs w:val="20"/>
              </w:rPr>
              <w:t>血管成像</w:t>
            </w:r>
            <w:r>
              <w:rPr>
                <w:rFonts w:hAnsi="宋体" w:eastAsia="宋体" w:cs="宋体"/>
                <w:color w:val="000000"/>
                <w:kern w:val="0"/>
                <w:sz w:val="20"/>
                <w:szCs w:val="20"/>
              </w:rPr>
              <w:t>)</w:t>
            </w:r>
            <w:r>
              <w:rPr>
                <w:rFonts w:hint="eastAsia" w:hAnsi="宋体" w:eastAsia="宋体" w:cs="宋体"/>
                <w:color w:val="000000"/>
                <w:kern w:val="0"/>
                <w:sz w:val="20"/>
                <w:szCs w:val="20"/>
              </w:rPr>
              <w:t>证据；</w:t>
            </w:r>
            <w:r>
              <w:rPr>
                <w:rFonts w:hAnsi="宋体" w:eastAsia="宋体" w:cs="宋体"/>
                <w:color w:val="000000"/>
                <w:kern w:val="0"/>
                <w:sz w:val="20"/>
                <w:szCs w:val="20"/>
              </w:rPr>
              <w:t>4.</w:t>
            </w:r>
            <w:r>
              <w:rPr>
                <w:rFonts w:hint="eastAsia" w:hAnsi="宋体" w:eastAsia="宋体" w:cs="宋体"/>
                <w:color w:val="000000"/>
                <w:kern w:val="0"/>
                <w:sz w:val="20"/>
                <w:szCs w:val="20"/>
              </w:rPr>
              <w:t>每眼累计最多支付</w:t>
            </w:r>
            <w:r>
              <w:rPr>
                <w:rFonts w:hAnsi="宋体" w:eastAsia="宋体" w:cs="宋体"/>
                <w:color w:val="000000"/>
                <w:kern w:val="0"/>
                <w:sz w:val="20"/>
                <w:szCs w:val="20"/>
              </w:rPr>
              <w:t>9</w:t>
            </w:r>
            <w:r>
              <w:rPr>
                <w:rFonts w:hint="eastAsia" w:hAnsi="宋体" w:eastAsia="宋体" w:cs="宋体"/>
                <w:color w:val="000000"/>
                <w:kern w:val="0"/>
                <w:sz w:val="20"/>
                <w:szCs w:val="20"/>
              </w:rPr>
              <w:t>支，第</w:t>
            </w:r>
            <w:r>
              <w:rPr>
                <w:rFonts w:hAnsi="宋体" w:eastAsia="宋体" w:cs="宋体"/>
                <w:color w:val="000000"/>
                <w:kern w:val="0"/>
                <w:sz w:val="20"/>
                <w:szCs w:val="20"/>
              </w:rPr>
              <w:t>1</w:t>
            </w:r>
            <w:r>
              <w:rPr>
                <w:rFonts w:hint="eastAsia" w:hAnsi="宋体" w:eastAsia="宋体" w:cs="宋体"/>
                <w:color w:val="000000"/>
                <w:kern w:val="0"/>
                <w:sz w:val="20"/>
                <w:szCs w:val="20"/>
              </w:rPr>
              <w:t>年度最多支付</w:t>
            </w:r>
            <w:r>
              <w:rPr>
                <w:rFonts w:hAnsi="宋体" w:eastAsia="宋体" w:cs="宋体"/>
                <w:color w:val="000000"/>
                <w:kern w:val="0"/>
                <w:sz w:val="20"/>
                <w:szCs w:val="20"/>
              </w:rPr>
              <w:t>5</w:t>
            </w:r>
            <w:r>
              <w:rPr>
                <w:rFonts w:hint="eastAsia" w:hAnsi="宋体" w:eastAsia="宋体" w:cs="宋体"/>
                <w:color w:val="000000"/>
                <w:kern w:val="0"/>
                <w:sz w:val="20"/>
                <w:szCs w:val="20"/>
              </w:rPr>
              <w:t>支。阿柏西普、雷珠单抗和康柏西普的药品支数合并计算。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26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雷珠单抗注射液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限以下疾病：</w:t>
            </w:r>
            <w:r>
              <w:rPr>
                <w:rFonts w:hAnsi="宋体" w:eastAsia="宋体" w:cs="宋体"/>
                <w:color w:val="000000"/>
                <w:kern w:val="0"/>
                <w:sz w:val="20"/>
                <w:szCs w:val="20"/>
              </w:rPr>
              <w:t>1.50</w:t>
            </w:r>
            <w:r>
              <w:rPr>
                <w:rFonts w:hint="eastAsia" w:hAnsi="宋体" w:eastAsia="宋体" w:cs="宋体"/>
                <w:color w:val="000000"/>
                <w:kern w:val="0"/>
                <w:sz w:val="20"/>
                <w:szCs w:val="20"/>
              </w:rPr>
              <w:t>岁以上的湿性年龄相关性黄斑变性</w:t>
            </w:r>
            <w:r>
              <w:rPr>
                <w:rFonts w:hAnsi="宋体" w:eastAsia="宋体" w:cs="宋体"/>
                <w:color w:val="000000"/>
                <w:kern w:val="0"/>
                <w:sz w:val="20"/>
                <w:szCs w:val="20"/>
              </w:rPr>
              <w:t>(AMD)</w:t>
            </w:r>
            <w:r>
              <w:rPr>
                <w:rFonts w:hint="eastAsia" w:hAnsi="宋体" w:eastAsia="宋体" w:cs="宋体"/>
                <w:color w:val="000000"/>
                <w:kern w:val="0"/>
                <w:sz w:val="20"/>
                <w:szCs w:val="20"/>
              </w:rPr>
              <w:t>；</w:t>
            </w:r>
            <w:r>
              <w:rPr>
                <w:rFonts w:hAnsi="宋体" w:eastAsia="宋体" w:cs="宋体"/>
                <w:color w:val="000000"/>
                <w:kern w:val="0"/>
                <w:sz w:val="20"/>
                <w:szCs w:val="20"/>
              </w:rPr>
              <w:t>2.</w:t>
            </w:r>
            <w:r>
              <w:rPr>
                <w:rFonts w:hint="eastAsia" w:hAnsi="宋体" w:eastAsia="宋体" w:cs="宋体"/>
                <w:color w:val="000000"/>
                <w:kern w:val="0"/>
                <w:sz w:val="20"/>
                <w:szCs w:val="20"/>
              </w:rPr>
              <w:t>糖尿病性黄斑水肿</w:t>
            </w:r>
            <w:r>
              <w:rPr>
                <w:rFonts w:hAnsi="宋体" w:eastAsia="宋体" w:cs="宋体"/>
                <w:color w:val="000000"/>
                <w:kern w:val="0"/>
                <w:sz w:val="20"/>
                <w:szCs w:val="20"/>
              </w:rPr>
              <w:t>(DME)</w:t>
            </w:r>
            <w:r>
              <w:rPr>
                <w:rFonts w:hint="eastAsia" w:hAnsi="宋体" w:eastAsia="宋体" w:cs="宋体"/>
                <w:color w:val="000000"/>
                <w:kern w:val="0"/>
                <w:sz w:val="20"/>
                <w:szCs w:val="20"/>
              </w:rPr>
              <w:t>引起的视力损害；</w:t>
            </w:r>
            <w:r>
              <w:rPr>
                <w:rFonts w:hAnsi="宋体" w:eastAsia="宋体" w:cs="宋体"/>
                <w:color w:val="000000"/>
                <w:kern w:val="0"/>
                <w:sz w:val="20"/>
                <w:szCs w:val="20"/>
              </w:rPr>
              <w:t>3.</w:t>
            </w:r>
            <w:r>
              <w:rPr>
                <w:rFonts w:hint="eastAsia" w:hAnsi="宋体" w:eastAsia="宋体" w:cs="宋体"/>
                <w:color w:val="000000"/>
                <w:kern w:val="0"/>
                <w:sz w:val="20"/>
                <w:szCs w:val="20"/>
              </w:rPr>
              <w:t>脉络膜新生血管</w:t>
            </w:r>
            <w:r>
              <w:rPr>
                <w:rFonts w:hAnsi="宋体" w:eastAsia="宋体" w:cs="宋体"/>
                <w:color w:val="000000"/>
                <w:kern w:val="0"/>
                <w:sz w:val="20"/>
                <w:szCs w:val="20"/>
              </w:rPr>
              <w:t>(CNV)</w:t>
            </w:r>
            <w:r>
              <w:rPr>
                <w:rFonts w:hint="eastAsia" w:hAnsi="宋体" w:eastAsia="宋体" w:cs="宋体"/>
                <w:color w:val="000000"/>
                <w:kern w:val="0"/>
                <w:sz w:val="20"/>
                <w:szCs w:val="20"/>
              </w:rPr>
              <w:t>导致的视力损害；</w:t>
            </w:r>
            <w:r>
              <w:rPr>
                <w:rFonts w:hAnsi="宋体" w:eastAsia="宋体" w:cs="宋体"/>
                <w:color w:val="000000"/>
                <w:kern w:val="0"/>
                <w:sz w:val="20"/>
                <w:szCs w:val="20"/>
              </w:rPr>
              <w:t>4.</w:t>
            </w:r>
            <w:r>
              <w:rPr>
                <w:rFonts w:hint="eastAsia" w:hAnsi="宋体" w:eastAsia="宋体" w:cs="宋体"/>
                <w:color w:val="000000"/>
                <w:kern w:val="0"/>
                <w:sz w:val="20"/>
                <w:szCs w:val="20"/>
              </w:rPr>
              <w:t>继发于视网膜静脉阻塞</w:t>
            </w:r>
            <w:r>
              <w:rPr>
                <w:rFonts w:hAnsi="宋体" w:eastAsia="宋体" w:cs="宋体"/>
                <w:color w:val="000000"/>
                <w:kern w:val="0"/>
                <w:sz w:val="20"/>
                <w:szCs w:val="20"/>
              </w:rPr>
              <w:t>(RVO)</w:t>
            </w:r>
            <w:r>
              <w:rPr>
                <w:rFonts w:hint="eastAsia" w:hAnsi="宋体" w:eastAsia="宋体" w:cs="宋体"/>
                <w:color w:val="000000"/>
                <w:kern w:val="0"/>
                <w:sz w:val="20"/>
                <w:szCs w:val="20"/>
              </w:rPr>
              <w:t>的黄斑水肿引起的视力损害。应同时符合以下条件：</w:t>
            </w:r>
            <w:r>
              <w:rPr>
                <w:rFonts w:hAnsi="宋体" w:eastAsia="宋体" w:cs="宋体"/>
                <w:color w:val="000000"/>
                <w:kern w:val="0"/>
                <w:sz w:val="20"/>
                <w:szCs w:val="20"/>
              </w:rPr>
              <w:t>1.</w:t>
            </w:r>
            <w:r>
              <w:rPr>
                <w:rFonts w:hint="eastAsia" w:hAnsi="宋体" w:eastAsia="宋体" w:cs="宋体"/>
                <w:color w:val="000000"/>
                <w:kern w:val="0"/>
                <w:sz w:val="20"/>
                <w:szCs w:val="20"/>
              </w:rPr>
              <w:t>需三级综合医院眼科或二级及以上眼科专科医院医师处方；</w:t>
            </w:r>
            <w:r>
              <w:rPr>
                <w:rFonts w:hAnsi="宋体" w:eastAsia="宋体" w:cs="宋体"/>
                <w:color w:val="000000"/>
                <w:kern w:val="0"/>
                <w:sz w:val="20"/>
                <w:szCs w:val="20"/>
              </w:rPr>
              <w:t>2.</w:t>
            </w:r>
            <w:r>
              <w:rPr>
                <w:rFonts w:hint="eastAsia" w:hAnsi="宋体" w:eastAsia="宋体" w:cs="宋体"/>
                <w:color w:val="000000"/>
                <w:kern w:val="0"/>
                <w:sz w:val="20"/>
                <w:szCs w:val="20"/>
              </w:rPr>
              <w:t>首次处方时病眼基线矫正视力</w:t>
            </w:r>
            <w:r>
              <w:rPr>
                <w:rFonts w:hAnsi="宋体" w:eastAsia="宋体" w:cs="宋体"/>
                <w:color w:val="000000"/>
                <w:kern w:val="0"/>
                <w:sz w:val="20"/>
                <w:szCs w:val="20"/>
              </w:rPr>
              <w:t>0.05-0.5</w:t>
            </w:r>
            <w:r>
              <w:rPr>
                <w:rFonts w:hint="eastAsia" w:hAnsi="宋体" w:eastAsia="宋体" w:cs="宋体"/>
                <w:color w:val="000000"/>
                <w:kern w:val="0"/>
                <w:sz w:val="20"/>
                <w:szCs w:val="20"/>
              </w:rPr>
              <w:t>；</w:t>
            </w:r>
            <w:r>
              <w:rPr>
                <w:rFonts w:hAnsi="宋体" w:eastAsia="宋体" w:cs="宋体"/>
                <w:color w:val="000000"/>
                <w:kern w:val="0"/>
                <w:sz w:val="20"/>
                <w:szCs w:val="20"/>
              </w:rPr>
              <w:t>3.</w:t>
            </w:r>
            <w:r>
              <w:rPr>
                <w:rFonts w:hint="eastAsia" w:hAnsi="宋体" w:eastAsia="宋体" w:cs="宋体"/>
                <w:color w:val="000000"/>
                <w:kern w:val="0"/>
                <w:sz w:val="20"/>
                <w:szCs w:val="20"/>
              </w:rPr>
              <w:t>事前审查后方可用，初次申请需有血管造影或</w:t>
            </w:r>
            <w:r>
              <w:rPr>
                <w:rFonts w:hAnsi="宋体" w:eastAsia="宋体" w:cs="宋体"/>
                <w:color w:val="000000"/>
                <w:kern w:val="0"/>
                <w:sz w:val="20"/>
                <w:szCs w:val="20"/>
              </w:rPr>
              <w:t>OCT(</w:t>
            </w:r>
            <w:r>
              <w:rPr>
                <w:rFonts w:hint="eastAsia" w:hAnsi="宋体" w:eastAsia="宋体" w:cs="宋体"/>
                <w:color w:val="000000"/>
                <w:kern w:val="0"/>
                <w:sz w:val="20"/>
                <w:szCs w:val="20"/>
              </w:rPr>
              <w:t>全身情况不允许的患者可以提供</w:t>
            </w:r>
            <w:r>
              <w:rPr>
                <w:rFonts w:hAnsi="宋体" w:eastAsia="宋体" w:cs="宋体"/>
                <w:color w:val="000000"/>
                <w:kern w:val="0"/>
                <w:sz w:val="20"/>
                <w:szCs w:val="20"/>
              </w:rPr>
              <w:t>OCT</w:t>
            </w:r>
            <w:r>
              <w:rPr>
                <w:rFonts w:hint="eastAsia" w:hAnsi="宋体" w:eastAsia="宋体" w:cs="宋体"/>
                <w:color w:val="000000"/>
                <w:kern w:val="0"/>
                <w:sz w:val="20"/>
                <w:szCs w:val="20"/>
              </w:rPr>
              <w:t>血管成像</w:t>
            </w:r>
            <w:r>
              <w:rPr>
                <w:rFonts w:hAnsi="宋体" w:eastAsia="宋体" w:cs="宋体"/>
                <w:color w:val="000000"/>
                <w:kern w:val="0"/>
                <w:sz w:val="20"/>
                <w:szCs w:val="20"/>
              </w:rPr>
              <w:t>)</w:t>
            </w:r>
            <w:r>
              <w:rPr>
                <w:rFonts w:hint="eastAsia" w:hAnsi="宋体" w:eastAsia="宋体" w:cs="宋体"/>
                <w:color w:val="000000"/>
                <w:kern w:val="0"/>
                <w:sz w:val="20"/>
                <w:szCs w:val="20"/>
              </w:rPr>
              <w:t>证据；</w:t>
            </w:r>
            <w:r>
              <w:rPr>
                <w:rFonts w:hAnsi="宋体" w:eastAsia="宋体" w:cs="宋体"/>
                <w:color w:val="000000"/>
                <w:kern w:val="0"/>
                <w:sz w:val="20"/>
                <w:szCs w:val="20"/>
              </w:rPr>
              <w:t>4.</w:t>
            </w:r>
            <w:r>
              <w:rPr>
                <w:rFonts w:hint="eastAsia" w:hAnsi="宋体" w:eastAsia="宋体" w:cs="宋体"/>
                <w:color w:val="000000"/>
                <w:kern w:val="0"/>
                <w:sz w:val="20"/>
                <w:szCs w:val="20"/>
              </w:rPr>
              <w:t>每眼累计最多支付</w:t>
            </w:r>
            <w:r>
              <w:rPr>
                <w:rFonts w:hAnsi="宋体" w:eastAsia="宋体" w:cs="宋体"/>
                <w:color w:val="000000"/>
                <w:kern w:val="0"/>
                <w:sz w:val="20"/>
                <w:szCs w:val="20"/>
              </w:rPr>
              <w:t>9</w:t>
            </w:r>
            <w:r>
              <w:rPr>
                <w:rFonts w:hint="eastAsia" w:hAnsi="宋体" w:eastAsia="宋体" w:cs="宋体"/>
                <w:color w:val="000000"/>
                <w:kern w:val="0"/>
                <w:sz w:val="20"/>
                <w:szCs w:val="20"/>
              </w:rPr>
              <w:t>支，第</w:t>
            </w:r>
            <w:r>
              <w:rPr>
                <w:rFonts w:hAnsi="宋体" w:eastAsia="宋体" w:cs="宋体"/>
                <w:color w:val="000000"/>
                <w:kern w:val="0"/>
                <w:sz w:val="20"/>
                <w:szCs w:val="20"/>
              </w:rPr>
              <w:t>1</w:t>
            </w:r>
            <w:r>
              <w:rPr>
                <w:rFonts w:hint="eastAsia" w:hAnsi="宋体" w:eastAsia="宋体" w:cs="宋体"/>
                <w:color w:val="000000"/>
                <w:kern w:val="0"/>
                <w:sz w:val="20"/>
                <w:szCs w:val="20"/>
              </w:rPr>
              <w:t>年度最多支付</w:t>
            </w:r>
            <w:r>
              <w:rPr>
                <w:rFonts w:hAnsi="宋体" w:eastAsia="宋体" w:cs="宋体"/>
                <w:color w:val="000000"/>
                <w:kern w:val="0"/>
                <w:sz w:val="20"/>
                <w:szCs w:val="20"/>
              </w:rPr>
              <w:t>5</w:t>
            </w:r>
            <w:r>
              <w:rPr>
                <w:rFonts w:hint="eastAsia" w:hAnsi="宋体" w:eastAsia="宋体" w:cs="宋体"/>
                <w:color w:val="000000"/>
                <w:kern w:val="0"/>
                <w:sz w:val="20"/>
                <w:szCs w:val="20"/>
              </w:rPr>
              <w:t>支。阿柏西普、雷珠单抗和康柏西普的药品支数合并计算。</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73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阿加糖酶α注射用浓溶液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本品用于确诊为法布雷病</w:t>
            </w:r>
            <w:r>
              <w:rPr>
                <w:rFonts w:hAnsi="宋体" w:eastAsia="宋体" w:cs="宋体"/>
                <w:color w:val="000000"/>
                <w:kern w:val="0"/>
                <w:sz w:val="20"/>
                <w:szCs w:val="20"/>
              </w:rPr>
              <w:t>(</w:t>
            </w:r>
            <w:r>
              <w:rPr>
                <w:rFonts w:hint="eastAsia" w:hAnsi="宋体" w:eastAsia="宋体" w:cs="宋体"/>
                <w:color w:val="000000"/>
                <w:kern w:val="0"/>
                <w:sz w:val="20"/>
                <w:szCs w:val="20"/>
              </w:rPr>
              <w:t>α</w:t>
            </w:r>
            <w:r>
              <w:rPr>
                <w:rFonts w:hAnsi="宋体" w:eastAsia="宋体" w:cs="宋体"/>
                <w:color w:val="000000"/>
                <w:kern w:val="0"/>
                <w:sz w:val="20"/>
                <w:szCs w:val="20"/>
              </w:rPr>
              <w:t>-</w:t>
            </w:r>
            <w:r>
              <w:rPr>
                <w:rFonts w:hint="eastAsia" w:hAnsi="宋体" w:eastAsia="宋体" w:cs="宋体"/>
                <w:color w:val="000000"/>
                <w:kern w:val="0"/>
                <w:sz w:val="20"/>
                <w:szCs w:val="20"/>
              </w:rPr>
              <w:t>半乳糖苷酶</w:t>
            </w:r>
            <w:r>
              <w:rPr>
                <w:rFonts w:hAnsi="宋体" w:eastAsia="宋体" w:cs="宋体"/>
                <w:color w:val="000000"/>
                <w:kern w:val="0"/>
                <w:sz w:val="20"/>
                <w:szCs w:val="20"/>
              </w:rPr>
              <w:t>A</w:t>
            </w:r>
            <w:r>
              <w:rPr>
                <w:rFonts w:hint="eastAsia" w:hAnsi="宋体" w:eastAsia="宋体" w:cs="宋体"/>
                <w:color w:val="000000"/>
                <w:kern w:val="0"/>
                <w:sz w:val="20"/>
                <w:szCs w:val="20"/>
              </w:rPr>
              <w:t>缺乏症</w:t>
            </w:r>
            <w:r>
              <w:rPr>
                <w:rFonts w:hAnsi="宋体" w:eastAsia="宋体" w:cs="宋体"/>
                <w:color w:val="000000"/>
                <w:kern w:val="0"/>
                <w:sz w:val="20"/>
                <w:szCs w:val="20"/>
              </w:rPr>
              <w:t>)</w:t>
            </w:r>
            <w:r>
              <w:rPr>
                <w:rFonts w:hint="eastAsia" w:hAnsi="宋体" w:eastAsia="宋体" w:cs="宋体"/>
                <w:color w:val="000000"/>
                <w:kern w:val="0"/>
                <w:sz w:val="20"/>
                <w:szCs w:val="20"/>
              </w:rPr>
              <w:t>患者的长期酶替代治疗。本品适用于成人、儿童和青少年。尚未确定本品在</w:t>
            </w:r>
            <w:r>
              <w:rPr>
                <w:rFonts w:hAnsi="宋体" w:eastAsia="宋体" w:cs="宋体"/>
                <w:color w:val="000000"/>
                <w:kern w:val="0"/>
                <w:sz w:val="20"/>
                <w:szCs w:val="20"/>
              </w:rPr>
              <w:t>0-6</w:t>
            </w:r>
            <w:r>
              <w:rPr>
                <w:rFonts w:hint="eastAsia" w:hAnsi="宋体" w:eastAsia="宋体" w:cs="宋体"/>
                <w:color w:val="000000"/>
                <w:kern w:val="0"/>
                <w:sz w:val="20"/>
                <w:szCs w:val="20"/>
              </w:rPr>
              <w:t>岁儿童中的安全性和有效性。</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3641"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注射用泰它西普</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本品与常规治疗联合，适用于在常规治疗基础上仍具有高疾病活动</w:t>
            </w:r>
            <w:r>
              <w:rPr>
                <w:rFonts w:hAnsi="宋体" w:eastAsia="宋体" w:cs="宋体"/>
                <w:color w:val="000000"/>
                <w:kern w:val="0"/>
                <w:sz w:val="20"/>
                <w:szCs w:val="20"/>
              </w:rPr>
              <w:t>(</w:t>
            </w:r>
            <w:r>
              <w:rPr>
                <w:rFonts w:hint="eastAsia" w:hAnsi="宋体" w:eastAsia="宋体" w:cs="宋体"/>
                <w:color w:val="000000"/>
                <w:kern w:val="0"/>
                <w:sz w:val="20"/>
                <w:szCs w:val="20"/>
              </w:rPr>
              <w:t>例如：抗</w:t>
            </w:r>
            <w:r>
              <w:rPr>
                <w:rFonts w:hAnsi="宋体" w:eastAsia="宋体" w:cs="宋体"/>
                <w:color w:val="000000"/>
                <w:kern w:val="0"/>
                <w:sz w:val="20"/>
                <w:szCs w:val="20"/>
              </w:rPr>
              <w:t>ds-DNA</w:t>
            </w:r>
            <w:r>
              <w:rPr>
                <w:rFonts w:hint="eastAsia" w:hAnsi="宋体" w:eastAsia="宋体" w:cs="宋体"/>
                <w:color w:val="000000"/>
                <w:kern w:val="0"/>
                <w:sz w:val="20"/>
                <w:szCs w:val="20"/>
              </w:rPr>
              <w:t>抗体阳性及低补体、</w:t>
            </w:r>
            <w:r>
              <w:rPr>
                <w:rFonts w:hAnsi="宋体" w:eastAsia="宋体" w:cs="宋体"/>
                <w:color w:val="000000"/>
                <w:kern w:val="0"/>
                <w:sz w:val="20"/>
                <w:szCs w:val="20"/>
              </w:rPr>
              <w:t>SELENA-SLEDAI</w:t>
            </w:r>
            <w:r>
              <w:rPr>
                <w:rFonts w:hint="eastAsia" w:hAnsi="宋体" w:eastAsia="宋体" w:cs="宋体"/>
                <w:color w:val="000000"/>
                <w:kern w:val="0"/>
                <w:sz w:val="20"/>
                <w:szCs w:val="20"/>
              </w:rPr>
              <w:t>评分≥</w:t>
            </w:r>
            <w:r>
              <w:rPr>
                <w:rFonts w:hAnsi="宋体" w:eastAsia="宋体" w:cs="宋体"/>
                <w:color w:val="000000"/>
                <w:kern w:val="0"/>
                <w:sz w:val="20"/>
                <w:szCs w:val="20"/>
              </w:rPr>
              <w:t>8)</w:t>
            </w:r>
            <w:r>
              <w:rPr>
                <w:rFonts w:hint="eastAsia" w:hAnsi="宋体" w:eastAsia="宋体" w:cs="宋体"/>
                <w:color w:val="000000"/>
                <w:kern w:val="0"/>
                <w:sz w:val="20"/>
                <w:szCs w:val="20"/>
              </w:rPr>
              <w:t>的活动性、自身抗体阳性的系统性红斑狼疮</w:t>
            </w:r>
            <w:r>
              <w:rPr>
                <w:rFonts w:hAnsi="宋体" w:eastAsia="宋体" w:cs="宋体"/>
                <w:color w:val="000000"/>
                <w:kern w:val="0"/>
                <w:sz w:val="20"/>
                <w:szCs w:val="20"/>
              </w:rPr>
              <w:t>(SLE)</w:t>
            </w:r>
            <w:r>
              <w:rPr>
                <w:rFonts w:hint="eastAsia" w:hAnsi="宋体" w:eastAsia="宋体" w:cs="宋体"/>
                <w:color w:val="000000"/>
                <w:kern w:val="0"/>
                <w:sz w:val="20"/>
                <w:szCs w:val="20"/>
              </w:rPr>
              <w:t>成年患者。该适应症是基于一项接受常规治疗仍具有高疾病活动的系统性红斑狼疮成年患者的</w:t>
            </w:r>
            <w:r>
              <w:rPr>
                <w:rFonts w:hAnsi="宋体" w:eastAsia="宋体" w:cs="宋体"/>
                <w:color w:val="000000"/>
                <w:kern w:val="0"/>
                <w:sz w:val="20"/>
                <w:szCs w:val="20"/>
              </w:rPr>
              <w:t>II</w:t>
            </w:r>
            <w:r>
              <w:rPr>
                <w:rFonts w:hint="eastAsia" w:hAnsi="宋体" w:eastAsia="宋体" w:cs="宋体"/>
                <w:color w:val="000000"/>
                <w:kern w:val="0"/>
                <w:sz w:val="20"/>
                <w:szCs w:val="20"/>
              </w:rPr>
              <w:t>期临床试验结果给予的附条件批准。本适应症的完全获批将取决于确证性随机对照临床试验能否证实本品在该患者人群的临床获益。</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96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泊马度胺胶囊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Ansi="宋体" w:eastAsia="宋体" w:cs="宋体"/>
                <w:color w:val="000000"/>
                <w:kern w:val="0"/>
                <w:sz w:val="20"/>
                <w:szCs w:val="20"/>
              </w:rPr>
            </w:pPr>
            <w:r>
              <w:rPr>
                <w:rFonts w:hint="eastAsia" w:hAnsi="宋体" w:eastAsia="宋体" w:cs="宋体"/>
                <w:color w:val="000000"/>
                <w:kern w:val="0"/>
                <w:sz w:val="20"/>
                <w:szCs w:val="20"/>
              </w:rPr>
              <w:t>本品与地塞米松联用，适用于既往接受过至少两种治疗</w:t>
            </w:r>
            <w:r>
              <w:rPr>
                <w:rFonts w:hAnsi="宋体" w:eastAsia="宋体" w:cs="宋体"/>
                <w:color w:val="000000"/>
                <w:kern w:val="0"/>
                <w:sz w:val="20"/>
                <w:szCs w:val="20"/>
              </w:rPr>
              <w:t>(</w:t>
            </w:r>
            <w:r>
              <w:rPr>
                <w:rFonts w:hint="eastAsia" w:hAnsi="宋体" w:eastAsia="宋体" w:cs="宋体"/>
                <w:color w:val="000000"/>
                <w:kern w:val="0"/>
                <w:sz w:val="20"/>
                <w:szCs w:val="20"/>
              </w:rPr>
              <w:t>包括来那度胺和一种蛋白酶体抑制剂</w:t>
            </w:r>
            <w:r>
              <w:rPr>
                <w:rFonts w:hAnsi="宋体" w:eastAsia="宋体" w:cs="宋体"/>
                <w:color w:val="000000"/>
                <w:kern w:val="0"/>
                <w:sz w:val="20"/>
                <w:szCs w:val="20"/>
              </w:rPr>
              <w:t>)</w:t>
            </w:r>
            <w:r>
              <w:rPr>
                <w:rFonts w:hint="eastAsia" w:hAnsi="宋体" w:eastAsia="宋体" w:cs="宋体"/>
                <w:color w:val="000000"/>
                <w:kern w:val="0"/>
                <w:sz w:val="20"/>
                <w:szCs w:val="20"/>
              </w:rPr>
              <w:t>，且在最后一次治疗期间或治疗结束后</w:t>
            </w:r>
            <w:r>
              <w:rPr>
                <w:rFonts w:hAnsi="宋体" w:eastAsia="宋体" w:cs="宋体"/>
                <w:color w:val="000000"/>
                <w:kern w:val="0"/>
                <w:sz w:val="20"/>
                <w:szCs w:val="20"/>
              </w:rPr>
              <w:t>60</w:t>
            </w:r>
            <w:r>
              <w:rPr>
                <w:rFonts w:hint="eastAsia" w:hAnsi="宋体" w:eastAsia="宋体" w:cs="宋体"/>
                <w:color w:val="000000"/>
                <w:kern w:val="0"/>
                <w:sz w:val="20"/>
                <w:szCs w:val="20"/>
              </w:rPr>
              <w:t>天内发生疾病进展的成年多发性骨髓瘤患者。</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诺西那生钠注射液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本品用于治疗</w:t>
            </w:r>
            <w:r>
              <w:rPr>
                <w:rFonts w:hAnsi="宋体" w:eastAsia="宋体" w:cs="宋体"/>
                <w:color w:val="000000"/>
                <w:kern w:val="0"/>
                <w:sz w:val="20"/>
                <w:szCs w:val="20"/>
              </w:rPr>
              <w:t>5q</w:t>
            </w:r>
            <w:r>
              <w:rPr>
                <w:rFonts w:hint="eastAsia" w:hAnsi="宋体" w:eastAsia="宋体" w:cs="宋体"/>
                <w:color w:val="000000"/>
                <w:kern w:val="0"/>
                <w:sz w:val="20"/>
                <w:szCs w:val="20"/>
              </w:rPr>
              <w:t>脊髓性肌萎缩症。</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74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氨吡啶缓释片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本品用于改善多发性硬化合并步行障碍（</w:t>
            </w:r>
            <w:r>
              <w:rPr>
                <w:rFonts w:hAnsi="宋体" w:eastAsia="宋体" w:cs="宋体"/>
                <w:color w:val="000000"/>
                <w:kern w:val="0"/>
                <w:sz w:val="20"/>
                <w:szCs w:val="20"/>
              </w:rPr>
              <w:t>EDSS</w:t>
            </w:r>
            <w:r>
              <w:rPr>
                <w:rFonts w:hint="eastAsia" w:hAnsi="宋体" w:eastAsia="宋体" w:cs="宋体"/>
                <w:color w:val="000000"/>
                <w:kern w:val="0"/>
                <w:sz w:val="20"/>
                <w:szCs w:val="20"/>
              </w:rPr>
              <w:t>评分</w:t>
            </w:r>
            <w:r>
              <w:rPr>
                <w:rFonts w:hAnsi="宋体" w:eastAsia="宋体" w:cs="宋体"/>
                <w:color w:val="000000"/>
                <w:kern w:val="0"/>
                <w:sz w:val="20"/>
                <w:szCs w:val="20"/>
              </w:rPr>
              <w:t>4-7</w:t>
            </w:r>
            <w:r>
              <w:rPr>
                <w:rFonts w:hint="eastAsia" w:hAnsi="宋体" w:eastAsia="宋体" w:cs="宋体"/>
                <w:color w:val="000000"/>
                <w:kern w:val="0"/>
                <w:sz w:val="20"/>
                <w:szCs w:val="20"/>
              </w:rPr>
              <w:t>分）的成年患者的步行能力。</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1573"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氯苯唑酸软胶囊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本品适用于治疗成人野生型或遗传型转甲状腺素蛋白淀粉样变性心肌病（</w:t>
            </w:r>
            <w:r>
              <w:rPr>
                <w:rFonts w:hAnsi="宋体" w:eastAsia="宋体" w:cs="宋体"/>
                <w:color w:val="000000"/>
                <w:kern w:val="0"/>
                <w:sz w:val="20"/>
                <w:szCs w:val="20"/>
              </w:rPr>
              <w:t>ATTR-CM</w:t>
            </w:r>
            <w:r>
              <w:rPr>
                <w:rFonts w:hint="eastAsia" w:hAnsi="宋体" w:eastAsia="宋体" w:cs="宋体"/>
                <w:color w:val="000000"/>
                <w:kern w:val="0"/>
                <w:sz w:val="20"/>
                <w:szCs w:val="20"/>
              </w:rPr>
              <w:t>），以减少心血管死亡及心血管相关住院。</w:t>
            </w:r>
          </w:p>
        </w:tc>
        <w:tc>
          <w:tcPr>
            <w:tcW w:w="169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snapToGrid w:val="0"/>
              <w:spacing w:line="32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克立硼罗软膏</w:t>
            </w:r>
          </w:p>
        </w:tc>
        <w:tc>
          <w:tcPr>
            <w:tcW w:w="2940"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适用于</w:t>
            </w:r>
            <w:r>
              <w:rPr>
                <w:rFonts w:hAnsi="宋体" w:eastAsia="宋体" w:cs="宋体"/>
                <w:color w:val="000000"/>
                <w:kern w:val="0"/>
                <w:sz w:val="20"/>
                <w:szCs w:val="20"/>
              </w:rPr>
              <w:t>2</w:t>
            </w:r>
            <w:r>
              <w:rPr>
                <w:rFonts w:hint="eastAsia" w:hAnsi="宋体" w:eastAsia="宋体" w:cs="宋体"/>
                <w:color w:val="000000"/>
                <w:kern w:val="0"/>
                <w:sz w:val="20"/>
                <w:szCs w:val="20"/>
              </w:rPr>
              <w:t>岁及以上轻度至中度特应性皮炎患者的局部外用治疗。</w:t>
            </w:r>
          </w:p>
        </w:tc>
        <w:tc>
          <w:tcPr>
            <w:tcW w:w="169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val="0"/>
              <w:spacing w:line="340" w:lineRule="exact"/>
              <w:jc w:val="left"/>
              <w:textAlignment w:val="bottom"/>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西尼莫德片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限成人复发型多发性硬化的患者。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340" w:lineRule="exact"/>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69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盐酸芬戈莫德胶囊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w:t>
            </w:r>
            <w:r>
              <w:rPr>
                <w:rFonts w:hAnsi="宋体" w:eastAsia="宋体" w:cs="宋体"/>
                <w:color w:val="000000"/>
                <w:kern w:val="0"/>
                <w:sz w:val="20"/>
                <w:szCs w:val="20"/>
              </w:rPr>
              <w:t>10</w:t>
            </w:r>
            <w:r>
              <w:rPr>
                <w:rFonts w:hint="eastAsia" w:hAnsi="宋体" w:eastAsia="宋体" w:cs="宋体"/>
                <w:color w:val="000000"/>
                <w:kern w:val="0"/>
                <w:sz w:val="20"/>
                <w:szCs w:val="20"/>
              </w:rPr>
              <w:t>岁及以上患者复发型多发性硬化（</w:t>
            </w:r>
            <w:r>
              <w:rPr>
                <w:rFonts w:hAnsi="宋体" w:eastAsia="宋体" w:cs="宋体"/>
                <w:color w:val="000000"/>
                <w:kern w:val="0"/>
                <w:sz w:val="20"/>
                <w:szCs w:val="20"/>
              </w:rPr>
              <w:t>RMS</w:t>
            </w:r>
            <w:r>
              <w:rPr>
                <w:rFonts w:hint="eastAsia" w:hAnsi="宋体" w:eastAsia="宋体" w:cs="宋体"/>
                <w:color w:val="000000"/>
                <w:kern w:val="0"/>
                <w:sz w:val="20"/>
                <w:szCs w:val="20"/>
              </w:rPr>
              <w:t>）的患者。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340" w:lineRule="exact"/>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Ansi="宋体" w:eastAsia="宋体" w:cs="宋体"/>
                <w:color w:val="000000"/>
                <w:kern w:val="0"/>
                <w:sz w:val="20"/>
                <w:szCs w:val="20"/>
              </w:rPr>
            </w:pPr>
            <w:r>
              <w:rPr>
                <w:rFonts w:hAnsi="宋体" w:eastAsia="宋体" w:cs="宋体"/>
                <w:color w:val="000000"/>
                <w:kern w:val="0"/>
                <w:sz w:val="20"/>
                <w:szCs w:val="20"/>
              </w:rPr>
              <w:t>70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磷酸芦可替尼片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限中危或高危的原发性骨髓纤维化（</w:t>
            </w:r>
            <w:r>
              <w:rPr>
                <w:rFonts w:hAnsi="宋体" w:eastAsia="宋体" w:cs="宋体"/>
                <w:color w:val="000000"/>
                <w:kern w:val="0"/>
                <w:sz w:val="20"/>
                <w:szCs w:val="20"/>
              </w:rPr>
              <w:t>PMF</w:t>
            </w:r>
            <w:r>
              <w:rPr>
                <w:rFonts w:hint="eastAsia" w:hAnsi="宋体" w:eastAsia="宋体" w:cs="宋体"/>
                <w:color w:val="000000"/>
                <w:kern w:val="0"/>
                <w:sz w:val="20"/>
                <w:szCs w:val="20"/>
              </w:rPr>
              <w:t>）、真性红细胞增多症继发的骨髓纤维化（</w:t>
            </w:r>
            <w:r>
              <w:rPr>
                <w:rFonts w:hAnsi="宋体" w:eastAsia="宋体" w:cs="宋体"/>
                <w:color w:val="000000"/>
                <w:kern w:val="0"/>
                <w:sz w:val="20"/>
                <w:szCs w:val="20"/>
              </w:rPr>
              <w:t>PPV-MF</w:t>
            </w:r>
            <w:r>
              <w:rPr>
                <w:rFonts w:hint="eastAsia" w:hAnsi="宋体" w:eastAsia="宋体" w:cs="宋体"/>
                <w:color w:val="000000"/>
                <w:kern w:val="0"/>
                <w:sz w:val="20"/>
                <w:szCs w:val="20"/>
              </w:rPr>
              <w:t>）或原发性血小板增多症继发的骨髓纤维化（</w:t>
            </w:r>
            <w:r>
              <w:rPr>
                <w:rFonts w:hAnsi="宋体" w:eastAsia="宋体" w:cs="宋体"/>
                <w:color w:val="000000"/>
                <w:kern w:val="0"/>
                <w:sz w:val="20"/>
                <w:szCs w:val="20"/>
              </w:rPr>
              <w:t>PET-MF</w:t>
            </w:r>
            <w:r>
              <w:rPr>
                <w:rFonts w:hint="eastAsia" w:hAnsi="宋体" w:eastAsia="宋体" w:cs="宋体"/>
                <w:color w:val="000000"/>
                <w:kern w:val="0"/>
                <w:sz w:val="20"/>
                <w:szCs w:val="20"/>
              </w:rPr>
              <w:t>）的患者。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left"/>
              <w:textAlignment w:val="center"/>
              <w:rPr>
                <w:rFonts w:hAnsi="宋体" w:eastAsia="宋体" w:cs="宋体"/>
                <w:color w:val="000000"/>
                <w:kern w:val="0"/>
                <w:sz w:val="20"/>
                <w:szCs w:val="20"/>
              </w:rPr>
            </w:pPr>
            <w:r>
              <w:rPr>
                <w:rFonts w:hAnsi="宋体" w:eastAsia="宋体" w:cs="宋体"/>
                <w:color w:val="000000"/>
                <w:kern w:val="0"/>
                <w:sz w:val="20"/>
                <w:szCs w:val="20"/>
              </w:rPr>
              <w:t>2022</w:t>
            </w:r>
            <w:r>
              <w:rPr>
                <w:rFonts w:hint="eastAsia" w:hAnsi="宋体" w:eastAsia="宋体" w:cs="宋体"/>
                <w:color w:val="000000"/>
                <w:kern w:val="0"/>
                <w:sz w:val="20"/>
                <w:szCs w:val="20"/>
              </w:rPr>
              <w:t>年</w:t>
            </w:r>
            <w:r>
              <w:rPr>
                <w:rFonts w:hAnsi="宋体" w:eastAsia="宋体" w:cs="宋体"/>
                <w:color w:val="000000"/>
                <w:kern w:val="0"/>
                <w:sz w:val="20"/>
                <w:szCs w:val="20"/>
              </w:rPr>
              <w:t>1</w:t>
            </w:r>
            <w:r>
              <w:rPr>
                <w:rFonts w:hint="eastAsia" w:hAnsi="宋体" w:eastAsia="宋体" w:cs="宋体"/>
                <w:color w:val="000000"/>
                <w:kern w:val="0"/>
                <w:sz w:val="20"/>
                <w:szCs w:val="20"/>
              </w:rPr>
              <w:t>月</w:t>
            </w:r>
            <w:r>
              <w:rPr>
                <w:rFonts w:hAnsi="宋体" w:eastAsia="宋体" w:cs="宋体"/>
                <w:color w:val="000000"/>
                <w:kern w:val="0"/>
                <w:sz w:val="20"/>
                <w:szCs w:val="20"/>
              </w:rPr>
              <w:t>1</w:t>
            </w:r>
            <w:r>
              <w:rPr>
                <w:rFonts w:hint="eastAsia" w:hAnsi="宋体" w:eastAsia="宋体" w:cs="宋体"/>
                <w:color w:val="000000"/>
                <w:kern w:val="0"/>
                <w:sz w:val="20"/>
                <w:szCs w:val="20"/>
              </w:rPr>
              <w:t>日至</w:t>
            </w:r>
            <w:r>
              <w:rPr>
                <w:rFonts w:hAnsi="宋体" w:eastAsia="宋体" w:cs="宋体"/>
                <w:color w:val="000000"/>
                <w:kern w:val="0"/>
                <w:sz w:val="20"/>
                <w:szCs w:val="20"/>
              </w:rPr>
              <w:t>2023</w:t>
            </w:r>
            <w:r>
              <w:rPr>
                <w:rFonts w:hint="eastAsia" w:hAnsi="宋体" w:eastAsia="宋体" w:cs="宋体"/>
                <w:color w:val="000000"/>
                <w:kern w:val="0"/>
                <w:sz w:val="20"/>
                <w:szCs w:val="20"/>
              </w:rPr>
              <w:t>年</w:t>
            </w:r>
            <w:r>
              <w:rPr>
                <w:rFonts w:hAnsi="宋体" w:eastAsia="宋体" w:cs="宋体"/>
                <w:color w:val="000000"/>
                <w:kern w:val="0"/>
                <w:sz w:val="20"/>
                <w:szCs w:val="20"/>
              </w:rPr>
              <w:t>12</w:t>
            </w:r>
            <w:r>
              <w:rPr>
                <w:rFonts w:hint="eastAsia" w:hAnsi="宋体" w:eastAsia="宋体" w:cs="宋体"/>
                <w:color w:val="000000"/>
                <w:kern w:val="0"/>
                <w:sz w:val="20"/>
                <w:szCs w:val="20"/>
              </w:rPr>
              <w:t>月</w:t>
            </w:r>
            <w:r>
              <w:rPr>
                <w:rFonts w:hAnsi="宋体" w:eastAsia="宋体" w:cs="宋体"/>
                <w:color w:val="000000"/>
                <w:kern w:val="0"/>
                <w:sz w:val="20"/>
                <w:szCs w:val="20"/>
              </w:rPr>
              <w:t>31</w:t>
            </w:r>
            <w:r>
              <w:rPr>
                <w:rFonts w:hint="eastAsia" w:hAnsi="宋体" w:eastAsia="宋体" w:cs="宋体"/>
                <w:color w:val="000000"/>
                <w:kern w:val="0"/>
                <w:sz w:val="20"/>
                <w:szCs w:val="20"/>
              </w:rPr>
              <w:t>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71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rPr>
              <w:t>普瑞巴林缓释片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ascii="宋体" w:hAnsi="宋体" w:eastAsia="宋体" w:cs="宋体"/>
                <w:kern w:val="2"/>
                <w:sz w:val="20"/>
                <w:szCs w:val="20"/>
                <w:lang w:val="en-US" w:eastAsia="zh-CN" w:bidi="ar-SA"/>
              </w:rPr>
            </w:pPr>
            <w:r>
              <w:rPr>
                <w:rFonts w:hint="eastAsia" w:eastAsia="宋体"/>
                <w:sz w:val="20"/>
                <w:szCs w:val="20"/>
              </w:rPr>
              <w:t>82.5mg/片；</w:t>
            </w:r>
            <w:r>
              <w:rPr>
                <w:rFonts w:hint="eastAsia" w:eastAsia="宋体"/>
                <w:sz w:val="20"/>
                <w:szCs w:val="20"/>
              </w:rPr>
              <w:br w:type="textWrapping"/>
            </w:r>
            <w:r>
              <w:rPr>
                <w:rFonts w:hint="eastAsia" w:eastAsia="宋体"/>
                <w:sz w:val="20"/>
                <w:szCs w:val="20"/>
              </w:rPr>
              <w:t>165mg/片；</w:t>
            </w:r>
            <w:r>
              <w:rPr>
                <w:rFonts w:hint="eastAsia" w:eastAsia="宋体"/>
                <w:sz w:val="20"/>
                <w:szCs w:val="20"/>
              </w:rPr>
              <w:br w:type="textWrapping"/>
            </w:r>
            <w:r>
              <w:rPr>
                <w:rFonts w:hint="eastAsia" w:eastAsia="宋体"/>
                <w:sz w:val="20"/>
                <w:szCs w:val="20"/>
              </w:rPr>
              <w:t>330mg/片</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kern w:val="2"/>
                <w:sz w:val="20"/>
                <w:szCs w:val="20"/>
                <w:lang w:val="en-US" w:eastAsia="zh-CN" w:bidi="ar-SA"/>
              </w:rPr>
            </w:pPr>
            <w:r>
              <w:rPr>
                <w:rFonts w:hint="eastAsia" w:eastAsia="宋体"/>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w:t>
            </w:r>
            <w:r>
              <w:rPr>
                <w:rFonts w:hAnsi="宋体" w:eastAsia="宋体" w:cs="宋体"/>
                <w:color w:val="000000"/>
                <w:kern w:val="0"/>
                <w:sz w:val="20"/>
                <w:szCs w:val="20"/>
              </w:rPr>
              <w:t>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color w:val="000000"/>
                <w:kern w:val="2"/>
                <w:sz w:val="20"/>
                <w:szCs w:val="20"/>
                <w:lang w:val="en-US" w:eastAsia="zh-CN" w:bidi="ar-SA"/>
              </w:rPr>
            </w:pPr>
            <w:r>
              <w:rPr>
                <w:rFonts w:hint="eastAsia" w:eastAsia="宋体"/>
                <w:color w:val="000000"/>
                <w:sz w:val="20"/>
                <w:szCs w:val="20"/>
              </w:rPr>
              <w:t>利司扑兰口服溶液用散</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限2月龄及以上患者的脊髓性肌萎缩症(SMA)。</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int="eastAsia"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rPr>
              <w:t>盐酸曲唑酮缓释片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ascii="宋体" w:hAnsi="宋体" w:eastAsia="宋体" w:cs="宋体"/>
                <w:kern w:val="2"/>
                <w:sz w:val="20"/>
                <w:szCs w:val="20"/>
                <w:lang w:val="en-US" w:eastAsia="zh-CN" w:bidi="ar-SA"/>
              </w:rPr>
            </w:pPr>
            <w:r>
              <w:rPr>
                <w:rFonts w:hint="eastAsia" w:eastAsia="宋体"/>
                <w:sz w:val="20"/>
                <w:szCs w:val="20"/>
              </w:rPr>
              <w:t>75mg/片；</w:t>
            </w:r>
            <w:r>
              <w:rPr>
                <w:rFonts w:hint="eastAsia" w:eastAsia="宋体"/>
                <w:sz w:val="20"/>
                <w:szCs w:val="20"/>
              </w:rPr>
              <w:br w:type="textWrapping"/>
            </w:r>
            <w:r>
              <w:rPr>
                <w:rFonts w:hint="eastAsia" w:eastAsia="宋体"/>
                <w:sz w:val="20"/>
                <w:szCs w:val="20"/>
              </w:rPr>
              <w:t>150mg/片</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kern w:val="2"/>
                <w:sz w:val="20"/>
                <w:szCs w:val="20"/>
                <w:lang w:val="en-US" w:eastAsia="zh-CN" w:bidi="ar-SA"/>
              </w:rPr>
            </w:pPr>
            <w:r>
              <w:rPr>
                <w:rFonts w:hint="eastAsia" w:eastAsia="宋体"/>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rPr>
              <w:t>对氨基水杨酸肠溶颗粒</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ascii="宋体" w:hAnsi="宋体" w:eastAsia="宋体" w:cs="宋体"/>
                <w:kern w:val="2"/>
                <w:sz w:val="20"/>
                <w:szCs w:val="20"/>
                <w:lang w:val="en-US" w:eastAsia="zh-CN" w:bidi="ar-SA"/>
              </w:rPr>
            </w:pPr>
            <w:r>
              <w:rPr>
                <w:rFonts w:hint="eastAsia" w:eastAsia="宋体"/>
                <w:sz w:val="20"/>
                <w:szCs w:val="20"/>
              </w:rPr>
              <w:t>4g(按C7H7NO3计/袋)</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kern w:val="2"/>
                <w:sz w:val="20"/>
                <w:szCs w:val="20"/>
                <w:lang w:val="en-US" w:eastAsia="zh-CN" w:bidi="ar-SA"/>
              </w:rPr>
            </w:pPr>
            <w:r>
              <w:rPr>
                <w:rFonts w:hint="eastAsia" w:eastAsia="宋体"/>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rPr>
              <w:t>多拉米替片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kern w:val="2"/>
                <w:sz w:val="20"/>
                <w:szCs w:val="20"/>
                <w:lang w:val="en-US" w:eastAsia="zh-CN" w:bidi="ar-SA"/>
              </w:rPr>
            </w:pPr>
            <w:r>
              <w:rPr>
                <w:rFonts w:hint="eastAsia" w:eastAsia="宋体"/>
                <w:sz w:val="20"/>
                <w:szCs w:val="20"/>
              </w:rPr>
              <w:t>限艾滋病。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rPr>
              <w:t>阿兹夫定片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40" w:lineRule="exact"/>
              <w:rPr>
                <w:rFonts w:hint="eastAsia" w:eastAsia="宋体"/>
                <w:sz w:val="20"/>
                <w:szCs w:val="20"/>
                <w:lang w:eastAsia="zh-CN"/>
              </w:rPr>
            </w:pPr>
            <w:r>
              <w:rPr>
                <w:rFonts w:hint="eastAsia" w:eastAsia="宋体"/>
                <w:sz w:val="20"/>
                <w:szCs w:val="20"/>
              </w:rPr>
              <w:t>3mg/片</w:t>
            </w:r>
            <w:r>
              <w:rPr>
                <w:rFonts w:hint="eastAsia" w:eastAsia="宋体"/>
                <w:sz w:val="20"/>
                <w:szCs w:val="20"/>
                <w:lang w:eastAsia="zh-CN"/>
              </w:rPr>
              <w:t>；</w:t>
            </w:r>
          </w:p>
          <w:p>
            <w:pPr>
              <w:keepNext w:val="0"/>
              <w:keepLines w:val="0"/>
              <w:pageBreakBefore w:val="0"/>
              <w:widowControl/>
              <w:kinsoku/>
              <w:wordWrap/>
              <w:overflowPunct/>
              <w:topLinePunct w:val="0"/>
              <w:autoSpaceDE/>
              <w:autoSpaceDN/>
              <w:bidi w:val="0"/>
              <w:adjustRightInd/>
              <w:snapToGrid w:val="0"/>
              <w:spacing w:line="340" w:lineRule="exact"/>
              <w:rPr>
                <w:rFonts w:hint="eastAsia" w:ascii="宋体" w:hAnsi="宋体" w:eastAsia="宋体" w:cs="宋体"/>
                <w:kern w:val="2"/>
                <w:sz w:val="20"/>
                <w:szCs w:val="20"/>
                <w:lang w:val="en-US" w:eastAsia="zh-CN" w:bidi="ar-SA"/>
              </w:rPr>
            </w:pPr>
            <w:r>
              <w:rPr>
                <w:rFonts w:hint="eastAsia" w:eastAsia="宋体"/>
                <w:sz w:val="20"/>
                <w:szCs w:val="20"/>
                <w:lang w:val="en-US" w:eastAsia="zh-CN"/>
              </w:rPr>
              <w:t>1</w:t>
            </w:r>
            <w:r>
              <w:rPr>
                <w:rFonts w:hint="eastAsia" w:eastAsia="宋体"/>
                <w:sz w:val="20"/>
                <w:szCs w:val="20"/>
              </w:rPr>
              <w:t>mg/片</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rPr>
                <w:rFonts w:hint="eastAsia" w:ascii="宋体" w:hAnsi="宋体" w:eastAsia="宋体" w:cs="宋体"/>
                <w:color w:val="000000"/>
                <w:kern w:val="2"/>
                <w:sz w:val="20"/>
                <w:szCs w:val="20"/>
                <w:lang w:val="en-US" w:eastAsia="zh-CN" w:bidi="ar-SA"/>
              </w:rPr>
            </w:pPr>
            <w:r>
              <w:rPr>
                <w:rFonts w:hint="eastAsia" w:eastAsia="宋体"/>
                <w:color w:val="000000"/>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2023年4月1日至2024年12月31日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77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注射用硫酸艾沙康唑</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限侵袭性曲霉病或侵袭性毛霉病的成人患者。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环孢素滴眼液(Ⅲ)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限4岁及以上儿童和青少年的严重性春季角结膜炎。</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79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艾地骨化醇软胶囊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eastAsia="宋体"/>
                <w:sz w:val="20"/>
                <w:szCs w:val="20"/>
              </w:rPr>
              <w:t>0.75μg/粒</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限绝经后女性骨质疏松症。</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80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米诺膦酸片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eastAsia="宋体"/>
                <w:sz w:val="20"/>
                <w:szCs w:val="20"/>
              </w:rPr>
              <w:t>1mg(按C9H12N2O7P2·H2O计)</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81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注射用罗普司亭</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限对其他治疗(例如皮质类固醇、免疫球蛋白)治疗反应不佳的成人(≥18周岁)慢性原发免疫性血小板减少症(ITP)患者。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82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注射用罗特西普</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限β-地中海贫血成人患者。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83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来特莫韦片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84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来特莫韦注射液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　</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85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rPr>
                <w:rFonts w:hint="eastAsia" w:ascii="宋体" w:hAnsi="宋体" w:eastAsia="宋体" w:cs="宋体"/>
                <w:kern w:val="2"/>
                <w:sz w:val="20"/>
                <w:szCs w:val="20"/>
                <w:lang w:val="en-US" w:eastAsia="zh-CN" w:bidi="ar-SA"/>
              </w:rPr>
            </w:pPr>
            <w:r>
              <w:rPr>
                <w:rFonts w:hint="eastAsia" w:eastAsia="宋体"/>
                <w:sz w:val="20"/>
                <w:szCs w:val="20"/>
              </w:rPr>
              <w:t>阿普米司特片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限符合接受光疗或系统性治疗指征的中度至重度斑块状银屑病的成人患者。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976"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86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阿布昔替尼片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限其他系统治疗(如激素或生物制剂)应答不佳或不适宜上述治疗的难治性、中重度特应性皮炎成人患者。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1861"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87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乌帕替尼缓释片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限：1.12岁及以上患者难治性、中重度特应性皮炎的二线治疗；</w:t>
            </w:r>
            <w:r>
              <w:rPr>
                <w:rFonts w:hint="eastAsia" w:eastAsia="宋体"/>
                <w:color w:val="000000"/>
                <w:sz w:val="20"/>
                <w:szCs w:val="20"/>
              </w:rPr>
              <w:br w:type="textWrapping"/>
            </w:r>
            <w:r>
              <w:rPr>
                <w:rFonts w:hint="eastAsia" w:eastAsia="宋体"/>
                <w:color w:val="000000"/>
                <w:sz w:val="20"/>
                <w:szCs w:val="20"/>
              </w:rPr>
              <w:t>2.活动性银屑病关节炎成人患者的二线治疗；</w:t>
            </w:r>
            <w:r>
              <w:rPr>
                <w:rFonts w:hint="eastAsia" w:eastAsia="宋体"/>
                <w:color w:val="000000"/>
                <w:sz w:val="20"/>
                <w:szCs w:val="20"/>
              </w:rPr>
              <w:br w:type="textWrapping"/>
            </w:r>
            <w:r>
              <w:rPr>
                <w:rFonts w:hint="eastAsia" w:eastAsia="宋体"/>
                <w:color w:val="000000"/>
                <w:sz w:val="20"/>
                <w:szCs w:val="20"/>
              </w:rPr>
              <w:t>3.中重度活动性类风湿关节炎成人患者的二线治疗。</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88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古塞奇尤单抗注射液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限适合系统性治疗的成人中重度斑块状银屑病。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bidi="ar-SA"/>
              </w:rPr>
              <w:t>89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000000"/>
                <w:kern w:val="2"/>
                <w:sz w:val="20"/>
                <w:szCs w:val="20"/>
                <w:lang w:val="en-US" w:eastAsia="zh-CN" w:bidi="ar-SA"/>
              </w:rPr>
            </w:pPr>
            <w:r>
              <w:rPr>
                <w:rFonts w:hint="eastAsia" w:eastAsia="宋体"/>
                <w:color w:val="000000"/>
                <w:sz w:val="20"/>
                <w:szCs w:val="20"/>
              </w:rPr>
              <w:t>富马酸二甲酯肠溶胶囊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限成人复发型多发性硬化(RMS)。</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90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利鲁唑口服混悬液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eastAsia="宋体"/>
                <w:sz w:val="20"/>
                <w:szCs w:val="20"/>
              </w:rPr>
              <w:t>300ml:1.5g/瓶</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限肌萎缩侧索硬化(ALS)。</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91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奥法妥木单抗注射液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限成人复发型多发性硬化(RMS)。</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92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伊奈利珠单抗注射液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限抗水通道蛋白4(AQP4)抗体阳性的视神经脊髓炎谱系疾病(NMOSD)成人患者。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951"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snapToGrid w:val="0"/>
              <w:spacing w:line="32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93</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000000"/>
                <w:kern w:val="2"/>
                <w:sz w:val="20"/>
                <w:szCs w:val="20"/>
                <w:lang w:val="en-US" w:eastAsia="zh-CN" w:bidi="ar-SA"/>
              </w:rPr>
            </w:pPr>
            <w:r>
              <w:rPr>
                <w:rFonts w:hint="eastAsia" w:eastAsia="宋体"/>
                <w:color w:val="000000"/>
                <w:sz w:val="20"/>
                <w:szCs w:val="20"/>
              </w:rPr>
              <w:t>拉那利尤单抗注射液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eastAsia="宋体" w:cs="宋体"/>
                <w:kern w:val="2"/>
                <w:sz w:val="20"/>
                <w:szCs w:val="20"/>
                <w:lang w:val="en-US" w:eastAsia="zh-CN" w:bidi="ar-SA"/>
              </w:rPr>
            </w:pPr>
            <w:r>
              <w:rPr>
                <w:rFonts w:hint="eastAsia" w:hAnsi="宋体" w:eastAsia="宋体" w:cs="宋体"/>
                <w:color w:val="000000"/>
                <w:kern w:val="0"/>
                <w:sz w:val="20"/>
                <w:szCs w:val="20"/>
                <w:lang w:val="en-US" w:eastAsia="zh-CN"/>
              </w:rPr>
              <w:t>*</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rPr>
                <w:rFonts w:hint="eastAsia" w:ascii="宋体" w:hAnsi="宋体" w:eastAsia="宋体" w:cs="宋体"/>
                <w:color w:val="000000"/>
                <w:kern w:val="2"/>
                <w:sz w:val="20"/>
                <w:szCs w:val="20"/>
                <w:lang w:val="en-US" w:eastAsia="zh-CN" w:bidi="ar-SA"/>
              </w:rPr>
            </w:pPr>
            <w:r>
              <w:rPr>
                <w:rFonts w:hint="eastAsia" w:eastAsia="宋体"/>
                <w:color w:val="000000"/>
                <w:sz w:val="20"/>
                <w:szCs w:val="20"/>
              </w:rPr>
              <w:t>限12岁及以上患者预防遗传性血管性水肿(HAE)发作。</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center"/>
              <w:textAlignment w:val="center"/>
              <w:rPr>
                <w:rFonts w:hint="default" w:hAnsi="宋体" w:eastAsia="宋体" w:cs="宋体"/>
                <w:color w:val="000000"/>
                <w:kern w:val="0"/>
                <w:sz w:val="20"/>
                <w:szCs w:val="20"/>
                <w:lang w:val="en-US" w:eastAsia="zh-CN" w:bidi="ar-SA"/>
              </w:rPr>
            </w:pPr>
            <w:r>
              <w:rPr>
                <w:rFonts w:hint="eastAsia" w:hAnsi="宋体" w:eastAsia="宋体" w:cs="宋体"/>
                <w:color w:val="000000"/>
                <w:kern w:val="0"/>
                <w:sz w:val="20"/>
                <w:szCs w:val="20"/>
                <w:lang w:val="en-US" w:eastAsia="zh-CN"/>
              </w:rPr>
              <w:t>94</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kern w:val="2"/>
                <w:sz w:val="20"/>
                <w:szCs w:val="20"/>
                <w:lang w:val="en-US" w:eastAsia="zh-CN" w:bidi="ar-SA"/>
              </w:rPr>
            </w:pPr>
            <w:r>
              <w:rPr>
                <w:rFonts w:hint="eastAsia" w:eastAsia="宋体"/>
                <w:sz w:val="20"/>
                <w:szCs w:val="20"/>
              </w:rPr>
              <w:t>曲前列尼尔注射液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宋体" w:hAnsi="宋体" w:eastAsia="宋体" w:cs="宋体"/>
                <w:kern w:val="2"/>
                <w:sz w:val="20"/>
                <w:szCs w:val="20"/>
                <w:lang w:val="da-DK" w:eastAsia="zh-CN" w:bidi="ar-SA"/>
              </w:rPr>
            </w:pPr>
            <w:r>
              <w:rPr>
                <w:rFonts w:hint="eastAsia" w:eastAsia="宋体"/>
                <w:sz w:val="20"/>
                <w:szCs w:val="20"/>
                <w:lang w:val="da-DK"/>
              </w:rPr>
              <w:t>20ml:20mg；</w:t>
            </w:r>
            <w:r>
              <w:rPr>
                <w:rFonts w:hint="eastAsia" w:eastAsia="宋体"/>
                <w:sz w:val="20"/>
                <w:szCs w:val="20"/>
                <w:lang w:val="da-DK"/>
              </w:rPr>
              <w:br w:type="textWrapping"/>
            </w:r>
            <w:r>
              <w:rPr>
                <w:rFonts w:hint="eastAsia" w:eastAsia="宋体"/>
                <w:sz w:val="20"/>
                <w:szCs w:val="20"/>
                <w:lang w:val="da-DK"/>
              </w:rPr>
              <w:t>20ml:50mg</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ageBreakBefore w:val="0"/>
              <w:kinsoku/>
              <w:wordWrap/>
              <w:overflowPunct/>
              <w:topLinePunct w:val="0"/>
              <w:autoSpaceDE/>
              <w:autoSpaceDN/>
              <w:bidi w:val="0"/>
              <w:adjustRightInd/>
              <w:spacing w:line="440" w:lineRule="exact"/>
              <w:rPr>
                <w:rFonts w:hint="eastAsia" w:ascii="宋体" w:hAnsi="宋体" w:eastAsia="宋体" w:cs="宋体"/>
                <w:kern w:val="2"/>
                <w:sz w:val="20"/>
                <w:szCs w:val="20"/>
                <w:lang w:val="en-US" w:eastAsia="zh-CN" w:bidi="ar-SA"/>
              </w:rPr>
            </w:pPr>
            <w:r>
              <w:rPr>
                <w:rFonts w:hint="eastAsia" w:eastAsia="宋体"/>
                <w:sz w:val="20"/>
                <w:szCs w:val="20"/>
              </w:rPr>
              <w:t>限肺动脉高压(PAH，WHO分类1)。</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kinsoku/>
              <w:wordWrap/>
              <w:overflowPunct/>
              <w:topLinePunct w:val="0"/>
              <w:autoSpaceDE/>
              <w:autoSpaceDN/>
              <w:bidi w:val="0"/>
              <w:adjustRightInd/>
              <w:spacing w:line="440" w:lineRule="exact"/>
              <w:jc w:val="center"/>
              <w:rPr>
                <w:rFonts w:ascii="宋体" w:hAnsi="宋体" w:eastAsia="宋体" w:cs="宋体"/>
                <w:color w:val="000000"/>
                <w:kern w:val="2"/>
                <w:sz w:val="20"/>
                <w:szCs w:val="20"/>
                <w:lang w:val="en-US" w:eastAsia="zh-CN" w:bidi="ar-SA"/>
              </w:rPr>
            </w:pPr>
            <w:r>
              <w:rPr>
                <w:rFonts w:hint="eastAsia" w:eastAsia="宋体"/>
                <w:color w:val="000000"/>
                <w:sz w:val="20"/>
                <w:szCs w:val="20"/>
              </w:rPr>
              <w:t>2023年3月1日至2024年12月31日</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95</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他氟前列素滴眼液</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pageBreakBefore w:val="0"/>
              <w:kinsoku/>
              <w:wordWrap/>
              <w:overflowPunct/>
              <w:topLinePunct w:val="0"/>
              <w:autoSpaceDE/>
              <w:autoSpaceDN/>
              <w:bidi w:val="0"/>
              <w:adjustRightInd/>
              <w:snapToGrid w:val="0"/>
              <w:spacing w:line="440" w:lineRule="exact"/>
              <w:jc w:val="left"/>
              <w:rPr>
                <w:rFonts w:hAnsi="宋体" w:eastAsia="宋体" w:cs="宋体"/>
                <w:color w:val="000000"/>
                <w:kern w:val="0"/>
                <w:sz w:val="20"/>
                <w:szCs w:val="20"/>
              </w:rPr>
            </w:pP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96</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乙磺酸尼达尼布软胶囊</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限特发性肺纤维化（</w:t>
            </w:r>
            <w:r>
              <w:rPr>
                <w:rFonts w:hAnsi="宋体" w:eastAsia="宋体" w:cs="宋体"/>
                <w:color w:val="000000"/>
                <w:kern w:val="0"/>
                <w:sz w:val="20"/>
                <w:szCs w:val="20"/>
              </w:rPr>
              <w:t>IPF</w:t>
            </w:r>
            <w:r>
              <w:rPr>
                <w:rFonts w:hint="eastAsia" w:hAnsi="宋体" w:eastAsia="宋体" w:cs="宋体"/>
                <w:color w:val="000000"/>
                <w:kern w:val="0"/>
                <w:sz w:val="20"/>
                <w:szCs w:val="20"/>
              </w:rPr>
              <w:t>）或系统性硬化病相关间质性肺疾病（</w:t>
            </w:r>
            <w:r>
              <w:rPr>
                <w:rFonts w:hAnsi="宋体" w:eastAsia="宋体" w:cs="宋体"/>
                <w:color w:val="000000"/>
                <w:kern w:val="0"/>
                <w:sz w:val="20"/>
                <w:szCs w:val="20"/>
              </w:rPr>
              <w:t>SSc-ILD</w:t>
            </w:r>
            <w:r>
              <w:rPr>
                <w:rFonts w:hint="eastAsia" w:hAnsi="宋体" w:eastAsia="宋体" w:cs="宋体"/>
                <w:color w:val="000000"/>
                <w:kern w:val="0"/>
                <w:sz w:val="20"/>
                <w:szCs w:val="20"/>
              </w:rPr>
              <w:t>）患者。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97</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注射用英夫利西单抗</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360" w:lineRule="exact"/>
              <w:jc w:val="left"/>
              <w:rPr>
                <w:rFonts w:hAnsi="宋体" w:eastAsia="宋体" w:cs="宋体"/>
                <w:color w:val="000000"/>
                <w:kern w:val="0"/>
                <w:sz w:val="20"/>
                <w:szCs w:val="20"/>
              </w:rPr>
            </w:pPr>
            <w:r>
              <w:rPr>
                <w:rFonts w:hint="eastAsia" w:hAnsi="宋体" w:eastAsia="宋体" w:cs="宋体"/>
                <w:color w:val="000000"/>
                <w:kern w:val="0"/>
                <w:sz w:val="20"/>
                <w:szCs w:val="20"/>
              </w:rPr>
              <w:t>限以下情况方可支付：</w:t>
            </w:r>
            <w:r>
              <w:rPr>
                <w:rFonts w:hAnsi="宋体" w:eastAsia="宋体" w:cs="宋体"/>
                <w:color w:val="000000"/>
                <w:kern w:val="0"/>
                <w:sz w:val="20"/>
                <w:szCs w:val="20"/>
              </w:rPr>
              <w:t>1.</w:t>
            </w:r>
            <w:r>
              <w:rPr>
                <w:rFonts w:hint="eastAsia" w:hAnsi="宋体" w:eastAsia="宋体" w:cs="宋体"/>
                <w:color w:val="000000"/>
                <w:kern w:val="0"/>
                <w:sz w:val="20"/>
                <w:szCs w:val="20"/>
              </w:rPr>
              <w:t>诊断明确的类风湿关节炎经传统</w:t>
            </w:r>
            <w:r>
              <w:rPr>
                <w:rFonts w:hAnsi="宋体" w:eastAsia="宋体" w:cs="宋体"/>
                <w:color w:val="000000"/>
                <w:kern w:val="0"/>
                <w:sz w:val="20"/>
                <w:szCs w:val="20"/>
              </w:rPr>
              <w:t>DMARDs</w:t>
            </w:r>
            <w:r>
              <w:rPr>
                <w:rFonts w:hint="eastAsia" w:hAnsi="宋体" w:eastAsia="宋体" w:cs="宋体"/>
                <w:color w:val="000000"/>
                <w:kern w:val="0"/>
                <w:sz w:val="20"/>
                <w:szCs w:val="20"/>
              </w:rPr>
              <w:t>治疗</w:t>
            </w:r>
            <w:r>
              <w:rPr>
                <w:rFonts w:hAnsi="宋体" w:eastAsia="宋体" w:cs="宋体"/>
                <w:color w:val="000000"/>
                <w:kern w:val="0"/>
                <w:sz w:val="20"/>
                <w:szCs w:val="20"/>
              </w:rPr>
              <w:t>3-6</w:t>
            </w:r>
            <w:r>
              <w:rPr>
                <w:rFonts w:hint="eastAsia" w:hAnsi="宋体" w:eastAsia="宋体" w:cs="宋体"/>
                <w:color w:val="000000"/>
                <w:kern w:val="0"/>
                <w:sz w:val="20"/>
                <w:szCs w:val="20"/>
              </w:rPr>
              <w:t>个月疾病活动度下降低于</w:t>
            </w:r>
            <w:r>
              <w:rPr>
                <w:rFonts w:hAnsi="宋体" w:eastAsia="宋体" w:cs="宋体"/>
                <w:color w:val="000000"/>
                <w:kern w:val="0"/>
                <w:sz w:val="20"/>
                <w:szCs w:val="20"/>
              </w:rPr>
              <w:t>50%</w:t>
            </w:r>
            <w:r>
              <w:rPr>
                <w:rFonts w:hint="eastAsia" w:hAnsi="宋体" w:eastAsia="宋体" w:cs="宋体"/>
                <w:color w:val="000000"/>
                <w:kern w:val="0"/>
                <w:sz w:val="20"/>
                <w:szCs w:val="20"/>
              </w:rPr>
              <w:t>者；诊断明确的强直性脊柱炎</w:t>
            </w:r>
            <w:r>
              <w:rPr>
                <w:rFonts w:hAnsi="宋体" w:eastAsia="宋体" w:cs="宋体"/>
                <w:color w:val="000000"/>
                <w:kern w:val="0"/>
                <w:sz w:val="20"/>
                <w:szCs w:val="20"/>
              </w:rPr>
              <w:t>(</w:t>
            </w:r>
            <w:r>
              <w:rPr>
                <w:rFonts w:hint="eastAsia" w:hAnsi="宋体" w:eastAsia="宋体" w:cs="宋体"/>
                <w:color w:val="000000"/>
                <w:kern w:val="0"/>
                <w:sz w:val="20"/>
                <w:szCs w:val="20"/>
              </w:rPr>
              <w:t>不含放射学前期中轴性脊柱关节炎</w:t>
            </w:r>
            <w:r>
              <w:rPr>
                <w:rFonts w:hAnsi="宋体" w:eastAsia="宋体" w:cs="宋体"/>
                <w:color w:val="000000"/>
                <w:kern w:val="0"/>
                <w:sz w:val="20"/>
                <w:szCs w:val="20"/>
              </w:rPr>
              <w:t>)NSAIDs</w:t>
            </w:r>
            <w:r>
              <w:rPr>
                <w:rFonts w:hint="eastAsia" w:hAnsi="宋体" w:eastAsia="宋体" w:cs="宋体"/>
                <w:color w:val="000000"/>
                <w:kern w:val="0"/>
                <w:sz w:val="20"/>
                <w:szCs w:val="20"/>
              </w:rPr>
              <w:t>充分治疗</w:t>
            </w:r>
            <w:r>
              <w:rPr>
                <w:rFonts w:hAnsi="宋体" w:eastAsia="宋体" w:cs="宋体"/>
                <w:color w:val="000000"/>
                <w:kern w:val="0"/>
                <w:sz w:val="20"/>
                <w:szCs w:val="20"/>
              </w:rPr>
              <w:t>3</w:t>
            </w:r>
            <w:r>
              <w:rPr>
                <w:rFonts w:hint="eastAsia" w:hAnsi="宋体" w:eastAsia="宋体" w:cs="宋体"/>
                <w:color w:val="000000"/>
                <w:kern w:val="0"/>
                <w:sz w:val="20"/>
                <w:szCs w:val="20"/>
              </w:rPr>
              <w:t>个月疾病活动度下降低于</w:t>
            </w:r>
            <w:r>
              <w:rPr>
                <w:rFonts w:hAnsi="宋体" w:eastAsia="宋体" w:cs="宋体"/>
                <w:color w:val="000000"/>
                <w:kern w:val="0"/>
                <w:sz w:val="20"/>
                <w:szCs w:val="20"/>
              </w:rPr>
              <w:t>50%</w:t>
            </w:r>
            <w:r>
              <w:rPr>
                <w:rFonts w:hint="eastAsia" w:hAnsi="宋体" w:eastAsia="宋体" w:cs="宋体"/>
                <w:color w:val="000000"/>
                <w:kern w:val="0"/>
                <w:sz w:val="20"/>
                <w:szCs w:val="20"/>
              </w:rPr>
              <w:t>者；并需风湿病专科医师处方；</w:t>
            </w:r>
            <w:r>
              <w:rPr>
                <w:rFonts w:hAnsi="宋体" w:eastAsia="宋体" w:cs="宋体"/>
                <w:color w:val="000000"/>
                <w:kern w:val="0"/>
                <w:sz w:val="20"/>
                <w:szCs w:val="20"/>
              </w:rPr>
              <w:t>2.</w:t>
            </w:r>
            <w:r>
              <w:rPr>
                <w:rFonts w:hint="eastAsia" w:hAnsi="宋体" w:eastAsia="宋体" w:cs="宋体"/>
                <w:color w:val="000000"/>
                <w:kern w:val="0"/>
                <w:sz w:val="20"/>
                <w:szCs w:val="20"/>
              </w:rPr>
              <w:t>对系统性治疗无效、禁忌或不耐受的重度斑块状银屑病患者，需按说明书用药；</w:t>
            </w:r>
            <w:r>
              <w:rPr>
                <w:rFonts w:hAnsi="宋体" w:eastAsia="宋体" w:cs="宋体"/>
                <w:color w:val="000000"/>
                <w:kern w:val="0"/>
                <w:sz w:val="20"/>
                <w:szCs w:val="20"/>
              </w:rPr>
              <w:t>3.</w:t>
            </w:r>
            <w:r>
              <w:rPr>
                <w:rFonts w:hint="eastAsia" w:hAnsi="宋体" w:eastAsia="宋体" w:cs="宋体"/>
                <w:color w:val="000000"/>
                <w:kern w:val="0"/>
                <w:sz w:val="20"/>
                <w:szCs w:val="20"/>
              </w:rPr>
              <w:t>克罗恩病患者的二线治疗；</w:t>
            </w:r>
            <w:r>
              <w:rPr>
                <w:rFonts w:hAnsi="宋体" w:eastAsia="宋体" w:cs="宋体"/>
                <w:color w:val="000000"/>
                <w:kern w:val="0"/>
                <w:sz w:val="20"/>
                <w:szCs w:val="20"/>
              </w:rPr>
              <w:t>4.</w:t>
            </w:r>
            <w:r>
              <w:rPr>
                <w:rFonts w:hint="eastAsia" w:hAnsi="宋体" w:eastAsia="宋体" w:cs="宋体"/>
                <w:color w:val="000000"/>
                <w:kern w:val="0"/>
                <w:sz w:val="20"/>
                <w:szCs w:val="20"/>
              </w:rPr>
              <w:t>中重度溃疡性结肠炎患者的二线治疗。</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98</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富马酸贝达喹啉片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限耐多药结核患者。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99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托法替布</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100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阿达木单抗</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注射剂</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60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101</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地拉罗司</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rPr>
                <w:rFonts w:hAnsi="宋体" w:eastAsia="宋体" w:cs="宋体"/>
                <w:color w:val="000000"/>
                <w:kern w:val="0"/>
                <w:sz w:val="20"/>
                <w:szCs w:val="20"/>
              </w:rPr>
            </w:pP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608"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102</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特立氟胺片</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限常规治疗无效的多发性硬化患者。</w:t>
            </w: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103</w:t>
            </w:r>
          </w:p>
        </w:tc>
        <w:tc>
          <w:tcPr>
            <w:tcW w:w="2940" w:type="dxa"/>
            <w:tcBorders>
              <w:top w:val="single" w:color="000000"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雷替曲塞</w:t>
            </w:r>
          </w:p>
        </w:tc>
        <w:tc>
          <w:tcPr>
            <w:tcW w:w="2940"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注射剂</w:t>
            </w:r>
          </w:p>
        </w:tc>
        <w:tc>
          <w:tcPr>
            <w:tcW w:w="4845"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限氟尿嘧啶类药物不耐受的晚期结直肠癌患者。</w:t>
            </w:r>
          </w:p>
        </w:tc>
        <w:tc>
          <w:tcPr>
            <w:tcW w:w="1695" w:type="dxa"/>
            <w:tcBorders>
              <w:top w:val="single" w:color="auto" w:sz="4" w:space="0"/>
              <w:left w:val="nil"/>
              <w:bottom w:val="single" w:color="auto" w:sz="4" w:space="0"/>
              <w:right w:val="single" w:color="000000" w:sz="4" w:space="0"/>
            </w:tcBorders>
            <w:noWrap w:val="0"/>
            <w:tcMar>
              <w:top w:w="15" w:type="dxa"/>
              <w:left w:w="15" w:type="dxa"/>
              <w:right w:w="15" w:type="dxa"/>
            </w:tcMar>
            <w:vAlign w:val="bottom"/>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270" w:hRule="atLeast"/>
          <w:jc w:val="center"/>
        </w:trPr>
        <w:tc>
          <w:tcPr>
            <w:tcW w:w="1080" w:type="dxa"/>
            <w:tcBorders>
              <w:top w:val="single" w:color="auto"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eastAsia="zh-CN"/>
              </w:rPr>
            </w:pPr>
            <w:r>
              <w:rPr>
                <w:rFonts w:hint="eastAsia" w:hAnsi="宋体" w:eastAsia="宋体" w:cs="宋体"/>
                <w:color w:val="000000"/>
                <w:kern w:val="0"/>
                <w:sz w:val="20"/>
                <w:szCs w:val="20"/>
                <w:lang w:val="en-US" w:eastAsia="zh-CN"/>
              </w:rPr>
              <w:t>104</w:t>
            </w:r>
          </w:p>
        </w:tc>
        <w:tc>
          <w:tcPr>
            <w:tcW w:w="2940" w:type="dxa"/>
            <w:tcBorders>
              <w:top w:val="single" w:color="auto"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阿扎胞苷</w:t>
            </w:r>
          </w:p>
        </w:tc>
        <w:tc>
          <w:tcPr>
            <w:tcW w:w="2940"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注射剂</w:t>
            </w:r>
          </w:p>
        </w:tc>
        <w:tc>
          <w:tcPr>
            <w:tcW w:w="4845"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p>
        </w:tc>
        <w:tc>
          <w:tcPr>
            <w:tcW w:w="169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90" w:hRule="atLeast"/>
          <w:jc w:val="center"/>
        </w:trPr>
        <w:tc>
          <w:tcPr>
            <w:tcW w:w="1080"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105</w:t>
            </w:r>
          </w:p>
        </w:tc>
        <w:tc>
          <w:tcPr>
            <w:tcW w:w="2940" w:type="dxa"/>
            <w:tcBorders>
              <w:top w:val="single" w:color="auto"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曲妥珠单抗</w:t>
            </w:r>
          </w:p>
        </w:tc>
        <w:tc>
          <w:tcPr>
            <w:tcW w:w="2940"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注射剂</w:t>
            </w:r>
          </w:p>
        </w:tc>
        <w:tc>
          <w:tcPr>
            <w:tcW w:w="4845"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限以下情况方可支付：</w:t>
            </w:r>
            <w:r>
              <w:rPr>
                <w:rFonts w:hAnsi="宋体" w:eastAsia="宋体" w:cs="宋体"/>
                <w:color w:val="000000"/>
                <w:kern w:val="0"/>
                <w:sz w:val="20"/>
                <w:szCs w:val="20"/>
              </w:rPr>
              <w:t>1.HER2</w:t>
            </w:r>
            <w:r>
              <w:rPr>
                <w:rFonts w:hint="eastAsia" w:hAnsi="宋体" w:eastAsia="宋体" w:cs="宋体"/>
                <w:color w:val="000000"/>
                <w:kern w:val="0"/>
                <w:sz w:val="20"/>
                <w:szCs w:val="20"/>
              </w:rPr>
              <w:t>阳性的转移性乳腺癌；</w:t>
            </w:r>
            <w:r>
              <w:rPr>
                <w:rFonts w:hAnsi="宋体" w:eastAsia="宋体" w:cs="宋体"/>
                <w:color w:val="000000"/>
                <w:kern w:val="0"/>
                <w:sz w:val="20"/>
                <w:szCs w:val="20"/>
              </w:rPr>
              <w:t>2.HER2</w:t>
            </w:r>
            <w:r>
              <w:rPr>
                <w:rFonts w:hint="eastAsia" w:hAnsi="宋体" w:eastAsia="宋体" w:cs="宋体"/>
                <w:color w:val="000000"/>
                <w:kern w:val="0"/>
                <w:sz w:val="20"/>
                <w:szCs w:val="20"/>
              </w:rPr>
              <w:t>阳性的早期乳腺癌患者的辅助和新辅助治疗，支付不超过</w:t>
            </w:r>
            <w:r>
              <w:rPr>
                <w:rFonts w:hAnsi="宋体" w:eastAsia="宋体" w:cs="宋体"/>
                <w:color w:val="000000"/>
                <w:kern w:val="0"/>
                <w:sz w:val="20"/>
                <w:szCs w:val="20"/>
              </w:rPr>
              <w:t>12</w:t>
            </w:r>
            <w:r>
              <w:rPr>
                <w:rFonts w:hint="eastAsia" w:hAnsi="宋体" w:eastAsia="宋体" w:cs="宋体"/>
                <w:color w:val="000000"/>
                <w:kern w:val="0"/>
                <w:sz w:val="20"/>
                <w:szCs w:val="20"/>
              </w:rPr>
              <w:t>个月；</w:t>
            </w:r>
            <w:r>
              <w:rPr>
                <w:rFonts w:hAnsi="宋体" w:eastAsia="宋体" w:cs="宋体"/>
                <w:color w:val="000000"/>
                <w:kern w:val="0"/>
                <w:sz w:val="20"/>
                <w:szCs w:val="20"/>
              </w:rPr>
              <w:t>3.HER2</w:t>
            </w:r>
            <w:r>
              <w:rPr>
                <w:rFonts w:hint="eastAsia" w:hAnsi="宋体" w:eastAsia="宋体" w:cs="宋体"/>
                <w:color w:val="000000"/>
                <w:kern w:val="0"/>
                <w:sz w:val="20"/>
                <w:szCs w:val="20"/>
              </w:rPr>
              <w:t>阳性的转移性胃癌患者。</w:t>
            </w:r>
          </w:p>
        </w:tc>
        <w:tc>
          <w:tcPr>
            <w:tcW w:w="1695" w:type="dxa"/>
            <w:tcBorders>
              <w:top w:val="single" w:color="auto" w:sz="4" w:space="0"/>
              <w:left w:val="nil"/>
              <w:bottom w:val="single" w:color="auto" w:sz="4" w:space="0"/>
              <w:right w:val="single" w:color="000000" w:sz="4" w:space="0"/>
            </w:tcBorders>
            <w:noWrap w:val="0"/>
            <w:tcMar>
              <w:top w:w="15" w:type="dxa"/>
              <w:left w:w="15" w:type="dxa"/>
              <w:right w:w="15" w:type="dxa"/>
            </w:tcMar>
            <w:vAlign w:val="center"/>
          </w:tcPr>
          <w:p>
            <w:pPr>
              <w:pageBreakBefore w:val="0"/>
              <w:widowControl/>
              <w:kinsoku/>
              <w:wordWrap/>
              <w:overflowPunct/>
              <w:topLinePunct w:val="0"/>
              <w:autoSpaceDE/>
              <w:autoSpaceDN/>
              <w:bidi w:val="0"/>
              <w:adjustRightInd/>
              <w:snapToGrid w:val="0"/>
              <w:spacing w:line="44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540" w:hRule="atLeast"/>
          <w:jc w:val="center"/>
        </w:trPr>
        <w:tc>
          <w:tcPr>
            <w:tcW w:w="1080" w:type="dxa"/>
            <w:tcBorders>
              <w:top w:val="single" w:color="auto"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106</w:t>
            </w:r>
          </w:p>
        </w:tc>
        <w:tc>
          <w:tcPr>
            <w:tcW w:w="2940" w:type="dxa"/>
            <w:tcBorders>
              <w:top w:val="single" w:color="auto" w:sz="4" w:space="0"/>
              <w:left w:val="single" w:color="000000" w:sz="4" w:space="0"/>
              <w:bottom w:val="single" w:color="auto"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贝伐珠单抗</w:t>
            </w:r>
          </w:p>
        </w:tc>
        <w:tc>
          <w:tcPr>
            <w:tcW w:w="2940"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注射剂</w:t>
            </w:r>
          </w:p>
        </w:tc>
        <w:tc>
          <w:tcPr>
            <w:tcW w:w="4845" w:type="dxa"/>
            <w:tcBorders>
              <w:top w:val="single" w:color="auto"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p>
        </w:tc>
        <w:tc>
          <w:tcPr>
            <w:tcW w:w="1695"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57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107</w:t>
            </w:r>
          </w:p>
        </w:tc>
        <w:tc>
          <w:tcPr>
            <w:tcW w:w="2940"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阿法替尼</w:t>
            </w:r>
          </w:p>
        </w:tc>
        <w:tc>
          <w:tcPr>
            <w:tcW w:w="2940"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p>
        </w:tc>
        <w:tc>
          <w:tcPr>
            <w:tcW w:w="169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585" w:hRule="atLeast"/>
          <w:jc w:val="center"/>
        </w:trPr>
        <w:tc>
          <w:tcPr>
            <w:tcW w:w="1080"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108</w:t>
            </w:r>
          </w:p>
        </w:tc>
        <w:tc>
          <w:tcPr>
            <w:tcW w:w="2940" w:type="dxa"/>
            <w:tcBorders>
              <w:top w:val="single" w:color="auto"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舒尼替尼</w:t>
            </w:r>
          </w:p>
        </w:tc>
        <w:tc>
          <w:tcPr>
            <w:tcW w:w="2940"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auto"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p>
        </w:tc>
        <w:tc>
          <w:tcPr>
            <w:tcW w:w="1695" w:type="dxa"/>
            <w:tcBorders>
              <w:top w:val="single" w:color="auto"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55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109</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索拉非尼</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p>
        </w:tc>
        <w:tc>
          <w:tcPr>
            <w:tcW w:w="1695"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r>
        <w:tblPrEx>
          <w:tblCellMar>
            <w:top w:w="0" w:type="dxa"/>
            <w:left w:w="0" w:type="dxa"/>
            <w:bottom w:w="0" w:type="dxa"/>
            <w:right w:w="0" w:type="dxa"/>
          </w:tblCellMar>
        </w:tblPrEx>
        <w:trPr>
          <w:trHeight w:val="6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center"/>
              <w:textAlignment w:val="center"/>
              <w:rPr>
                <w:rFonts w:hint="default" w:hAnsi="宋体" w:eastAsia="宋体" w:cs="宋体"/>
                <w:color w:val="000000"/>
                <w:kern w:val="0"/>
                <w:sz w:val="20"/>
                <w:szCs w:val="20"/>
                <w:lang w:val="en-US"/>
              </w:rPr>
            </w:pPr>
            <w:r>
              <w:rPr>
                <w:rFonts w:hint="eastAsia" w:hAnsi="宋体" w:eastAsia="宋体" w:cs="宋体"/>
                <w:color w:val="000000"/>
                <w:kern w:val="0"/>
                <w:sz w:val="20"/>
                <w:szCs w:val="20"/>
                <w:lang w:val="en-US" w:eastAsia="zh-CN"/>
              </w:rPr>
              <w:t>110</w:t>
            </w: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厄洛替尼</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r>
              <w:rPr>
                <w:rFonts w:hint="eastAsia" w:hAnsi="宋体" w:eastAsia="宋体" w:cs="宋体"/>
                <w:color w:val="000000"/>
                <w:kern w:val="0"/>
                <w:sz w:val="20"/>
                <w:szCs w:val="20"/>
              </w:rPr>
              <w:t>口服常释剂型</w:t>
            </w:r>
          </w:p>
        </w:tc>
        <w:tc>
          <w:tcPr>
            <w:tcW w:w="484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center"/>
              <w:rPr>
                <w:rFonts w:hAnsi="宋体" w:eastAsia="宋体" w:cs="宋体"/>
                <w:color w:val="000000"/>
                <w:kern w:val="0"/>
                <w:sz w:val="20"/>
                <w:szCs w:val="20"/>
              </w:rPr>
            </w:pPr>
          </w:p>
        </w:tc>
        <w:tc>
          <w:tcPr>
            <w:tcW w:w="1695"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480" w:lineRule="exact"/>
              <w:jc w:val="left"/>
              <w:textAlignment w:val="bottom"/>
              <w:rPr>
                <w:rFonts w:hAnsi="宋体" w:eastAsia="宋体" w:cs="宋体"/>
                <w:color w:val="000000"/>
                <w:kern w:val="0"/>
                <w:sz w:val="20"/>
                <w:szCs w:val="20"/>
              </w:rPr>
            </w:pPr>
            <w:r>
              <w:rPr>
                <w:rFonts w:hint="eastAsia" w:hAnsi="宋体" w:eastAsia="宋体" w:cs="宋体"/>
                <w:color w:val="000000"/>
                <w:kern w:val="0"/>
                <w:sz w:val="20"/>
                <w:szCs w:val="20"/>
              </w:rPr>
              <w:t>谈判转常规目录</w:t>
            </w:r>
          </w:p>
        </w:tc>
      </w:tr>
    </w:tbl>
    <w:p>
      <w:pPr>
        <w:pageBreakBefore w:val="0"/>
        <w:kinsoku/>
        <w:wordWrap/>
        <w:overflowPunct/>
        <w:topLinePunct w:val="0"/>
        <w:autoSpaceDE/>
        <w:autoSpaceDN/>
        <w:bidi w:val="0"/>
        <w:adjustRightInd/>
        <w:spacing w:line="440" w:lineRule="exact"/>
        <w:rPr>
          <w:rFonts w:hint="eastAsia" w:ascii="Calibri" w:hAnsi="Calibri" w:eastAsia="宋体"/>
          <w:sz w:val="21"/>
          <w:szCs w:val="24"/>
        </w:rPr>
      </w:pPr>
    </w:p>
    <w:p>
      <w:pPr>
        <w:pageBreakBefore w:val="0"/>
        <w:kinsoku/>
        <w:wordWrap/>
        <w:overflowPunct/>
        <w:topLinePunct w:val="0"/>
        <w:autoSpaceDE/>
        <w:autoSpaceDN/>
        <w:bidi w:val="0"/>
        <w:adjustRightInd/>
        <w:spacing w:line="440" w:lineRule="exact"/>
        <w:rPr>
          <w:rFonts w:hint="eastAsia" w:ascii="Calibri" w:hAnsi="Calibri" w:eastAsia="宋体"/>
          <w:sz w:val="21"/>
          <w:szCs w:val="24"/>
        </w:rPr>
        <w:sectPr>
          <w:headerReference r:id="rId4" w:type="default"/>
          <w:footerReference r:id="rId5" w:type="default"/>
          <w:pgSz w:w="16838" w:h="11906" w:orient="landscape"/>
          <w:pgMar w:top="1587" w:right="2098" w:bottom="1474" w:left="1984" w:header="850" w:footer="992" w:gutter="0"/>
          <w:pgNumType w:fmt="numberInDash"/>
          <w:cols w:space="0" w:num="1"/>
          <w:rtlGutter w:val="0"/>
          <w:docGrid w:type="lines" w:linePitch="442" w:charSpace="0"/>
        </w:sectPr>
      </w:pPr>
    </w:p>
    <w:bookmarkEnd w:id="0"/>
    <w:p/>
    <w:p/>
    <w:p/>
    <w:p/>
    <w:p/>
    <w:p/>
    <w:p/>
    <w:p/>
    <w:p/>
    <w:p/>
    <w:p>
      <w:pPr>
        <w:pStyle w:val="4"/>
        <w:snapToGrid w:val="0"/>
        <w:spacing w:line="144" w:lineRule="auto"/>
        <w:rPr>
          <w:rFonts w:eastAsia="方正仿宋_GBK" w:cs="方正仿宋_GBK"/>
          <w:sz w:val="32"/>
        </w:rPr>
      </w:pPr>
    </w:p>
    <w:p>
      <w:pPr>
        <w:rPr>
          <w:rFonts w:eastAsia="方正仿宋_GBK" w:cs="方正仿宋_GBK"/>
          <w:sz w:val="32"/>
        </w:rPr>
      </w:pPr>
    </w:p>
    <w:p>
      <w:pPr>
        <w:pStyle w:val="2"/>
        <w:rPr>
          <w:rFonts w:eastAsia="方正仿宋_GBK" w:cs="方正仿宋_GBK"/>
          <w:sz w:val="32"/>
        </w:rPr>
      </w:pPr>
    </w:p>
    <w:p>
      <w:pPr>
        <w:rPr>
          <w:rFonts w:eastAsia="方正仿宋_GBK" w:cs="方正仿宋_GBK"/>
          <w:sz w:val="32"/>
        </w:rPr>
      </w:pPr>
    </w:p>
    <w:p>
      <w:pPr>
        <w:pStyle w:val="2"/>
        <w:rPr>
          <w:rFonts w:eastAsia="方正仿宋_GBK" w:cs="方正仿宋_GBK"/>
          <w:sz w:val="32"/>
        </w:rPr>
      </w:pPr>
    </w:p>
    <w:p>
      <w:pPr>
        <w:rPr>
          <w:rFonts w:eastAsia="方正仿宋_GBK" w:cs="方正仿宋_GBK"/>
          <w:sz w:val="32"/>
        </w:rPr>
      </w:pPr>
    </w:p>
    <w:p>
      <w:pPr>
        <w:pStyle w:val="2"/>
      </w:pPr>
    </w:p>
    <w:p/>
    <w:tbl>
      <w:tblPr>
        <w:tblStyle w:val="16"/>
        <w:tblW w:w="0" w:type="auto"/>
        <w:tblInd w:w="108"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1"/>
        <w:gridCol w:w="4504"/>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331" w:type="dxa"/>
            <w:tcBorders>
              <w:top w:val="single" w:color="auto" w:sz="4" w:space="0"/>
              <w:left w:val="nil"/>
              <w:bottom w:val="single" w:color="auto" w:sz="4" w:space="0"/>
              <w:right w:val="nil"/>
            </w:tcBorders>
            <w:vAlign w:val="center"/>
          </w:tcPr>
          <w:p>
            <w:pPr>
              <w:snapToGrid w:val="0"/>
              <w:spacing w:line="600" w:lineRule="exact"/>
              <w:ind w:firstLine="280" w:firstLineChars="100"/>
              <w:rPr>
                <w:rFonts w:eastAsia="方正仿宋_GBK"/>
                <w:sz w:val="28"/>
                <w:szCs w:val="28"/>
              </w:rPr>
            </w:pPr>
            <w:r>
              <w:rPr>
                <w:rFonts w:hint="eastAsia" w:eastAsia="方正仿宋_GBK"/>
                <w:sz w:val="28"/>
                <w:szCs w:val="28"/>
              </w:rPr>
              <w:t>重庆市医疗保障局办公室</w:t>
            </w:r>
          </w:p>
        </w:tc>
        <w:tc>
          <w:tcPr>
            <w:tcW w:w="4504" w:type="dxa"/>
            <w:tcBorders>
              <w:top w:val="single" w:color="auto" w:sz="4" w:space="0"/>
              <w:left w:val="nil"/>
              <w:bottom w:val="single" w:color="auto" w:sz="4" w:space="0"/>
              <w:right w:val="nil"/>
            </w:tcBorders>
            <w:vAlign w:val="center"/>
          </w:tcPr>
          <w:p>
            <w:pPr>
              <w:spacing w:line="600" w:lineRule="exact"/>
              <w:rPr>
                <w:rFonts w:eastAsia="方正仿宋_GBK"/>
                <w:sz w:val="28"/>
                <w:szCs w:val="28"/>
              </w:rPr>
            </w:pPr>
            <w:bookmarkStart w:id="1" w:name="印发时间"/>
            <w:r>
              <w:rPr>
                <w:rFonts w:hint="eastAsia" w:eastAsia="方正仿宋_GBK"/>
                <w:sz w:val="28"/>
                <w:szCs w:val="28"/>
              </w:rPr>
              <w:t>　　</w:t>
            </w:r>
            <w:r>
              <w:rPr>
                <w:rFonts w:hint="eastAsia" w:eastAsia="方正仿宋_GBK"/>
                <w:sz w:val="28"/>
                <w:szCs w:val="28"/>
                <w:lang w:val="en-US" w:eastAsia="zh-CN"/>
              </w:rPr>
              <w:t xml:space="preserve">     </w:t>
            </w:r>
            <w:r>
              <w:rPr>
                <w:rFonts w:hint="eastAsia" w:eastAsia="方正仿宋_GBK"/>
                <w:sz w:val="28"/>
                <w:szCs w:val="28"/>
                <w:lang w:eastAsia="zh-CN"/>
              </w:rPr>
              <w:t>2023</w:t>
            </w:r>
            <w:r>
              <w:rPr>
                <w:rFonts w:hint="eastAsia" w:eastAsia="方正仿宋_GBK"/>
                <w:sz w:val="28"/>
                <w:szCs w:val="28"/>
              </w:rPr>
              <w:t>年</w:t>
            </w:r>
            <w:r>
              <w:rPr>
                <w:rFonts w:hint="eastAsia" w:eastAsia="方正仿宋_GBK"/>
                <w:sz w:val="28"/>
                <w:szCs w:val="28"/>
                <w:lang w:val="en-US" w:eastAsia="zh-CN"/>
              </w:rPr>
              <w:t>5</w:t>
            </w:r>
            <w:r>
              <w:rPr>
                <w:rFonts w:hint="eastAsia" w:eastAsia="方正仿宋_GBK"/>
                <w:sz w:val="28"/>
                <w:szCs w:val="28"/>
              </w:rPr>
              <w:t>月</w:t>
            </w:r>
            <w:r>
              <w:rPr>
                <w:rFonts w:hint="eastAsia" w:eastAsia="方正仿宋_GBK"/>
                <w:sz w:val="28"/>
                <w:szCs w:val="28"/>
                <w:lang w:val="en-US" w:eastAsia="zh-CN"/>
              </w:rPr>
              <w:t>23</w:t>
            </w:r>
            <w:r>
              <w:rPr>
                <w:rFonts w:hint="eastAsia" w:eastAsia="方正仿宋_GBK"/>
                <w:sz w:val="28"/>
                <w:szCs w:val="28"/>
              </w:rPr>
              <w:t>日</w:t>
            </w:r>
            <w:bookmarkEnd w:id="1"/>
            <w:r>
              <w:rPr>
                <w:rFonts w:hint="eastAsia" w:eastAsia="方正仿宋_GBK"/>
                <w:sz w:val="28"/>
                <w:szCs w:val="28"/>
              </w:rPr>
              <w:t>印发</w:t>
            </w:r>
          </w:p>
        </w:tc>
      </w:tr>
    </w:tbl>
    <w:p/>
    <w:p>
      <w:pPr>
        <w:rPr>
          <w:vanish/>
        </w:rPr>
      </w:pPr>
    </w:p>
    <w:p>
      <w:pPr>
        <w:rPr>
          <w:vanish/>
        </w:rPr>
      </w:pPr>
    </w:p>
    <w:p>
      <w:pPr>
        <w:rPr>
          <w:vanish/>
        </w:rPr>
      </w:pPr>
    </w:p>
    <w:p>
      <w:pPr>
        <w:rPr>
          <w:vanish/>
        </w:rPr>
      </w:pPr>
    </w:p>
    <w:p>
      <w:pPr>
        <w:rPr>
          <w:vanish/>
        </w:rPr>
      </w:pPr>
    </w:p>
    <w:p>
      <w:pPr>
        <w:rPr>
          <w:vanish/>
        </w:rPr>
      </w:pPr>
    </w:p>
    <w:p>
      <w:pPr>
        <w:rPr>
          <w:rFonts w:hint="eastAsia" w:eastAsia="仿宋_GB2312"/>
          <w:vanish/>
          <w:lang w:eastAsia="zh-CN"/>
        </w:rPr>
      </w:pPr>
    </w:p>
    <w:p>
      <w:pPr>
        <w:rPr>
          <w:vanish/>
        </w:rPr>
      </w:pPr>
    </w:p>
    <w:p>
      <w:pPr>
        <w:rPr>
          <w:vanish/>
        </w:rPr>
      </w:pPr>
    </w:p>
    <w:p>
      <w:pPr>
        <w:rPr>
          <w:vanish/>
        </w:rPr>
      </w:pPr>
    </w:p>
    <w:p>
      <w:pPr>
        <w:snapToGrid w:val="0"/>
        <w:spacing w:line="15" w:lineRule="auto"/>
        <w:rPr>
          <w:vanish/>
        </w:rPr>
      </w:pPr>
    </w:p>
    <w:sectPr>
      <w:pgSz w:w="11906" w:h="16838"/>
      <w:pgMar w:top="2098" w:right="1474" w:bottom="1984" w:left="1587" w:header="850" w:footer="992" w:gutter="0"/>
      <w:pgNumType w:fmt="numberInDash"/>
      <w:cols w:space="0" w:num="1"/>
      <w:rtlGutter w:val="0"/>
      <w:docGrid w:type="lines" w:linePitch="4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F92AD6-C8D9-4C79-B0E0-FD622C1CE627}"/>
  </w:font>
  <w:font w:name="Arial">
    <w:panose1 w:val="020B0604020202020204"/>
    <w:charset w:val="01"/>
    <w:family w:val="swiss"/>
    <w:pitch w:val="default"/>
    <w:sig w:usb0="E0002AFF" w:usb1="C0007843" w:usb2="00000009" w:usb3="00000000" w:csb0="400001FF" w:csb1="FFFF0000"/>
    <w:embedRegular r:id="rId2" w:fontKey="{4E05CAE6-230A-4B66-9EE1-EE2C6C8DB6D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0C67A85-593F-4E07-8C2F-5D26210D781D}"/>
  </w:font>
  <w:font w:name="Symbol">
    <w:panose1 w:val="05050102010706020507"/>
    <w:charset w:val="02"/>
    <w:family w:val="roman"/>
    <w:pitch w:val="default"/>
    <w:sig w:usb0="00000000" w:usb1="00000000" w:usb2="00000000" w:usb3="00000000" w:csb0="80000000" w:csb1="00000000"/>
    <w:embedRegular r:id="rId4" w:fontKey="{3182CD49-F5E0-480D-9873-2D2FF8B2CBD1}"/>
  </w:font>
  <w:font w:name="Calibri">
    <w:panose1 w:val="020F0502020204030204"/>
    <w:charset w:val="00"/>
    <w:family w:val="swiss"/>
    <w:pitch w:val="default"/>
    <w:sig w:usb0="E00002FF" w:usb1="4000ACFF" w:usb2="00000001" w:usb3="00000000" w:csb0="2000019F" w:csb1="00000000"/>
    <w:embedRegular r:id="rId5" w:fontKey="{87409169-F7A6-4A75-9336-1F52F973E90B}"/>
  </w:font>
  <w:font w:name="仿宋_GB2312">
    <w:panose1 w:val="02010609030101010101"/>
    <w:charset w:val="86"/>
    <w:family w:val="modern"/>
    <w:pitch w:val="default"/>
    <w:sig w:usb0="00000001" w:usb1="080E0000" w:usb2="00000000" w:usb3="00000000" w:csb0="00040000" w:csb1="00000000"/>
    <w:embedRegular r:id="rId6" w:fontKey="{F104299F-960D-4D87-9636-C07B582EA7B5}"/>
  </w:font>
  <w:font w:name="方正仿宋_GBK">
    <w:panose1 w:val="03000509000000000000"/>
    <w:charset w:val="86"/>
    <w:family w:val="script"/>
    <w:pitch w:val="default"/>
    <w:sig w:usb0="00000001" w:usb1="080E0000" w:usb2="00000000" w:usb3="00000000" w:csb0="00040000" w:csb1="00000000"/>
    <w:embedRegular r:id="rId7" w:fontKey="{740194C3-59BA-4355-9C58-AB31063E0814}"/>
  </w:font>
  <w:font w:name="Cambria">
    <w:panose1 w:val="02040503050406030204"/>
    <w:charset w:val="00"/>
    <w:family w:val="roman"/>
    <w:pitch w:val="default"/>
    <w:sig w:usb0="E00002FF" w:usb1="400004FF" w:usb2="00000000" w:usb3="00000000" w:csb0="2000019F" w:csb1="00000000"/>
    <w:embedRegular r:id="rId8" w:fontKey="{7CB470A8-ACE3-406C-9052-F0C55FF00B33}"/>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embedRegular r:id="rId9" w:fontKey="{D9EF3FDA-7C85-4501-BBFA-907252705FE8}"/>
  </w:font>
  <w:font w:name="方正小标宋_GBK">
    <w:panose1 w:val="03000509000000000000"/>
    <w:charset w:val="86"/>
    <w:family w:val="script"/>
    <w:pitch w:val="default"/>
    <w:sig w:usb0="00000001" w:usb1="080E0000" w:usb2="00000000" w:usb3="00000000" w:csb0="00040000" w:csb1="00000000"/>
    <w:embedRegular r:id="rId10" w:fontKey="{A0464D8F-C6CF-4A1E-BED5-CCDE8CAA2A41}"/>
  </w:font>
  <w:font w:name="方正黑体_GBK">
    <w:panose1 w:val="03000509000000000000"/>
    <w:charset w:val="86"/>
    <w:family w:val="auto"/>
    <w:pitch w:val="default"/>
    <w:sig w:usb0="00000001" w:usb1="080E0000" w:usb2="00000000" w:usb3="00000000" w:csb0="00040000" w:csb1="00000000"/>
    <w:embedRegular r:id="rId11" w:fontKey="{6FE68FCE-FE6B-45F7-8BF3-12A84A536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445135" cy="230505"/>
              <wp:effectExtent l="0" t="0" r="0" b="0"/>
              <wp:wrapNone/>
              <wp:docPr id="2"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1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文本框 1037" o:spid="_x0000_s1026" o:spt="202" type="#_x0000_t202" style="position:absolute;left:0pt;margin-top:0pt;height:18.15pt;width:35.05pt;mso-position-horizontal:outside;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BeFrMm8gEAALcDAAAOAAAAZHJzL2Uyb0RvYy54bWytU82O0zAQviPx&#10;DpbvNEm7BRQ1XS27KkJafqRdHsBxnMYi8Vhjt0l5AHgDTly481x9jh07TVnghrhYk/H4m2+++bK6&#10;HLqW7RU6Dabg2SzlTBkJlTbbgn+83zx7yZnzwlSiBaMKflCOX66fPln1NldzaKCtFDICMS7vbcEb&#10;722eJE42qhNuBlYZuqwBO+HpE7dJhaIn9K5N5mn6POkBK4sglXOUvRkv+Tri17WS/n1dO+VZW3Di&#10;5uOJ8SzDmaxXIt+isI2WJxriH1h0Qhtqeoa6EV6wHeq/oDotERzUfiahS6CutVRxBpomS/+Y5q4R&#10;VsVZSBxnzzK5/wcr3+0/INNVweecGdHRio7fvh6//zz++MKydPEiKNRbl1PhnaVSP7yCgTYdp3X2&#10;FuQnxwxcN8Js1RUi9I0SFTHMwsvk0dMRxwWQsn8LFbUSOw8RaKixC/KRIIzQaVOH83bU4Jmk5MXF&#10;MlssOZN0NV+ky3QZO4h8emzR+dcKOhaCgiMtP4KL/a3zgYzIp5LQy8BGt200QGt+S1BhyETyge/I&#10;3A/lcBKjhOpAYyCMfiL/U9AAfuasJy8V3JDZOWvfGBIi2G4KcArKKRBG0sOCe87G8NqP9txZ1NuG&#10;cCepr0isjY6DBFVHDieW5I4438nJwX6Pv2PVr/9t/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b&#10;ziEn0QAAAAMBAAAPAAAAAAAAAAEAIAAAACIAAABkcnMvZG93bnJldi54bWxQSwECFAAUAAAACACH&#10;TuJAXhazJvIBAAC3AwAADgAAAAAAAAABACAAAAAgAQAAZHJzL2Uyb0RvYy54bWxQSwUGAAAAAAYA&#10;BgBZAQAAhAUAAAAA&#10;">
              <v:fill on="f" focussize="0,0"/>
              <v:stroke on="f"/>
              <v:imagedata o:title=""/>
              <o:lock v:ext="edit" aspectratio="f"/>
              <v:textbox inset="0mm,0mm,0mm,0mm" style="mso-fit-shape-to-text:t;">
                <w:txbxContent>
                  <w:p>
                    <w:pPr>
                      <w:pStyle w:val="1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4935" cy="233680"/>
              <wp:effectExtent l="0" t="0" r="0" b="0"/>
              <wp:wrapNone/>
              <wp:docPr id="1"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935" cy="23368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8.4pt;width:9.05pt;mso-position-horizontal:outside;mso-position-horizontal-relative:margin;mso-wrap-style:none;z-index:251659264;mso-width-relative:page;mso-height-relative:page;" filled="f" stroked="f" coordsize="21600,21600" o:gfxdata="UEsDBAoAAAAAAIdO4kAAAAAAAAAAAAAAAAAEAAAAZHJzL1BLAwQUAAAACACHTuJAxm0YEdAAAAAD&#10;AQAADwAAAGRycy9kb3ducmV2LnhtbE2PwWrDMBBE74X8g9hCb43sFlLjWM4hkEtvTUuht421sUyl&#10;lZEUx/77Kr20l4Vhhpm3zW52VkwU4uBZQbkuQBB3Xg/cK/h4PzxWIGJC1mg9k4KFIuza1V2DtfZX&#10;fqPpmHqRSzjWqMCkNNZSxs6Qw7j2I3H2zj44TFmGXuqA11zurHwqio10OHBeMDjS3lD3fbw4BS/z&#10;p6cx0p6+zlMXzLBU9nVR6uG+LLYgEs3pLww3/IwObWY6+QvrKKyC/Ej6vTevKkGcFDxvKpBtI/+z&#10;tz9QSwMEFAAAAAgAh07iQFcchH/xAQAAtwMAAA4AAABkcnMvZTJvRG9jLnhtbK1TwY7TMBC9I/EP&#10;lu80SQvLEjVdLbsqQlpYpIUPcB0nsUg81thtUj4A/mBPXLjzXf2OHTtNWeCGuFgTe+bNmzcvy4uh&#10;a9lOodNgCp7NUs6UkVBqUxf808f1s3POnBemFC0YVfC9cvxi9fTJsre5mkMDbamQEYhxeW8L3nhv&#10;8yRxslGdcDOwytBjBdgJT59YJyWKntC7Npmn6VnSA5YWQSrn6PZ6fOSriF9VSvrbqnLKs7bgxM3H&#10;E+O5CWeyWoq8RmEbLY80xD+w6IQ21PQEdS28YFvUf0F1WiI4qPxMQpdAVWmp4gw0TZb+Mc1dI6yK&#10;s5A4zp5kcv8PVr7ffUCmS9odZ0Z0tKLD/bfD95+HH19Zls5fBoV663JKvLOU6ofXMITsMK2zNyA/&#10;O2bgqhGmVpeI0DdKlMQwC5XJo9IRxwWQTf8OSmolth4i0FBhFwBJEEbotKn9aTtq8EyGltnzV4sX&#10;nEl6mi8WZ+dxe4nIp2KLzr9R0LEQFBxp+RFc7G6cD2REPqWEXgbWum2jAVrz2wUlhptIPvAdmfth&#10;MxzF2EC5pzEQRj+R/yloAL9w1pOXCm7I7Jy1bw0JEWw3BTgFmykQRlJhwT1nY3jlR3tuLeq6IdxJ&#10;6ksSa63jIEHVkcORJbkjznd0crDf4++Y9et/Wz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m0Y&#10;EdAAAAADAQAADwAAAAAAAAABACAAAAAiAAAAZHJzL2Rvd25yZXYueG1sUEsBAhQAFAAAAAgAh07i&#10;QFcchH/xAQAAtwMAAA4AAAAAAAAAAQAgAAAAHwEAAGRycy9lMm9Eb2MueG1sUEsFBgAAAAAGAAYA&#10;WQEAAIIFAAAAAA==&#10;">
              <v:fill on="f" focussize="0,0"/>
              <v:stroke on="f"/>
              <v:imagedata o:title=""/>
              <o:lock v:ext="edit" aspectratio="f"/>
              <v:textbox inset="0mm,0mm,0mm,0mm" style="mso-fit-shape-to-text:t;">
                <w:txbxConten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738"/>
        <w:tab w:val="clear" w:pos="4153"/>
      </w:tabs>
      <w:jc w:val="left"/>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320"/>
  <w:drawingGridVerticalSpacing w:val="22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14"/>
    <w:rsid w:val="000021CC"/>
    <w:rsid w:val="00003C03"/>
    <w:rsid w:val="00013AA2"/>
    <w:rsid w:val="000151A0"/>
    <w:rsid w:val="000331E4"/>
    <w:rsid w:val="00033299"/>
    <w:rsid w:val="0003438E"/>
    <w:rsid w:val="00046B11"/>
    <w:rsid w:val="0005582E"/>
    <w:rsid w:val="0006362E"/>
    <w:rsid w:val="00065D16"/>
    <w:rsid w:val="00082E4C"/>
    <w:rsid w:val="00084A46"/>
    <w:rsid w:val="00092B08"/>
    <w:rsid w:val="00094947"/>
    <w:rsid w:val="000A1BAB"/>
    <w:rsid w:val="000A4018"/>
    <w:rsid w:val="000B2257"/>
    <w:rsid w:val="000B34DB"/>
    <w:rsid w:val="000B5339"/>
    <w:rsid w:val="000C4E01"/>
    <w:rsid w:val="000C736E"/>
    <w:rsid w:val="000D381A"/>
    <w:rsid w:val="000E4E46"/>
    <w:rsid w:val="000E5052"/>
    <w:rsid w:val="000E6F21"/>
    <w:rsid w:val="000E764B"/>
    <w:rsid w:val="000F3675"/>
    <w:rsid w:val="001005DC"/>
    <w:rsid w:val="0010069C"/>
    <w:rsid w:val="00104EEF"/>
    <w:rsid w:val="00105F8B"/>
    <w:rsid w:val="0011032B"/>
    <w:rsid w:val="00126AA9"/>
    <w:rsid w:val="00133AB1"/>
    <w:rsid w:val="00134C2F"/>
    <w:rsid w:val="00151B3C"/>
    <w:rsid w:val="001542E2"/>
    <w:rsid w:val="00156414"/>
    <w:rsid w:val="00160063"/>
    <w:rsid w:val="00160823"/>
    <w:rsid w:val="001624B8"/>
    <w:rsid w:val="00162995"/>
    <w:rsid w:val="001643F8"/>
    <w:rsid w:val="001671AE"/>
    <w:rsid w:val="001711AE"/>
    <w:rsid w:val="00174D58"/>
    <w:rsid w:val="00176666"/>
    <w:rsid w:val="001803B1"/>
    <w:rsid w:val="00183824"/>
    <w:rsid w:val="0018657A"/>
    <w:rsid w:val="00193F7E"/>
    <w:rsid w:val="0019447C"/>
    <w:rsid w:val="00194730"/>
    <w:rsid w:val="001A6CBB"/>
    <w:rsid w:val="001A71CC"/>
    <w:rsid w:val="001A7746"/>
    <w:rsid w:val="001A7CFE"/>
    <w:rsid w:val="001A7F93"/>
    <w:rsid w:val="001B29BF"/>
    <w:rsid w:val="001B3C93"/>
    <w:rsid w:val="001D083E"/>
    <w:rsid w:val="001D6358"/>
    <w:rsid w:val="001E39DE"/>
    <w:rsid w:val="001E7BD1"/>
    <w:rsid w:val="001F06A7"/>
    <w:rsid w:val="002038D6"/>
    <w:rsid w:val="002070D4"/>
    <w:rsid w:val="002071FE"/>
    <w:rsid w:val="00210821"/>
    <w:rsid w:val="0022067F"/>
    <w:rsid w:val="0022069F"/>
    <w:rsid w:val="00222F4E"/>
    <w:rsid w:val="00232287"/>
    <w:rsid w:val="002350ED"/>
    <w:rsid w:val="0024090C"/>
    <w:rsid w:val="00242F33"/>
    <w:rsid w:val="00246438"/>
    <w:rsid w:val="002606F5"/>
    <w:rsid w:val="002765DF"/>
    <w:rsid w:val="00283377"/>
    <w:rsid w:val="002876ED"/>
    <w:rsid w:val="002A0340"/>
    <w:rsid w:val="002A4665"/>
    <w:rsid w:val="002A58DE"/>
    <w:rsid w:val="002A7724"/>
    <w:rsid w:val="002A77D4"/>
    <w:rsid w:val="002B18BC"/>
    <w:rsid w:val="002B2231"/>
    <w:rsid w:val="002B5A9A"/>
    <w:rsid w:val="002B76F6"/>
    <w:rsid w:val="002C5B13"/>
    <w:rsid w:val="002D2A95"/>
    <w:rsid w:val="002E1AD2"/>
    <w:rsid w:val="002E24A1"/>
    <w:rsid w:val="002F2BCF"/>
    <w:rsid w:val="00306F67"/>
    <w:rsid w:val="00310361"/>
    <w:rsid w:val="00313601"/>
    <w:rsid w:val="00317E57"/>
    <w:rsid w:val="00323EB5"/>
    <w:rsid w:val="00324FF4"/>
    <w:rsid w:val="00332C03"/>
    <w:rsid w:val="00334765"/>
    <w:rsid w:val="00336046"/>
    <w:rsid w:val="00343708"/>
    <w:rsid w:val="0034452E"/>
    <w:rsid w:val="00363154"/>
    <w:rsid w:val="003634A1"/>
    <w:rsid w:val="00364D19"/>
    <w:rsid w:val="00366A21"/>
    <w:rsid w:val="00383066"/>
    <w:rsid w:val="00386D73"/>
    <w:rsid w:val="003A5E95"/>
    <w:rsid w:val="003B3CFF"/>
    <w:rsid w:val="003B734B"/>
    <w:rsid w:val="003C5061"/>
    <w:rsid w:val="003C522E"/>
    <w:rsid w:val="003E22B9"/>
    <w:rsid w:val="003E6DC4"/>
    <w:rsid w:val="003F1309"/>
    <w:rsid w:val="003F2763"/>
    <w:rsid w:val="003F57B9"/>
    <w:rsid w:val="00401B75"/>
    <w:rsid w:val="00402AA6"/>
    <w:rsid w:val="004223D8"/>
    <w:rsid w:val="00422B6C"/>
    <w:rsid w:val="00423C23"/>
    <w:rsid w:val="00424448"/>
    <w:rsid w:val="00426C7B"/>
    <w:rsid w:val="00426CC8"/>
    <w:rsid w:val="00426EBB"/>
    <w:rsid w:val="004276DE"/>
    <w:rsid w:val="00432468"/>
    <w:rsid w:val="00435036"/>
    <w:rsid w:val="0044196B"/>
    <w:rsid w:val="00450AA4"/>
    <w:rsid w:val="004530FC"/>
    <w:rsid w:val="004543F1"/>
    <w:rsid w:val="00462619"/>
    <w:rsid w:val="00470BD4"/>
    <w:rsid w:val="00473C53"/>
    <w:rsid w:val="00473D40"/>
    <w:rsid w:val="00480A50"/>
    <w:rsid w:val="004866C0"/>
    <w:rsid w:val="00491253"/>
    <w:rsid w:val="004946C4"/>
    <w:rsid w:val="0049592B"/>
    <w:rsid w:val="004A175D"/>
    <w:rsid w:val="004D199C"/>
    <w:rsid w:val="004D418D"/>
    <w:rsid w:val="004D5FAC"/>
    <w:rsid w:val="004E092E"/>
    <w:rsid w:val="004E21FD"/>
    <w:rsid w:val="004E4E81"/>
    <w:rsid w:val="004E5463"/>
    <w:rsid w:val="004E55DD"/>
    <w:rsid w:val="004E6B6D"/>
    <w:rsid w:val="004E703F"/>
    <w:rsid w:val="00502248"/>
    <w:rsid w:val="00510D0D"/>
    <w:rsid w:val="005112EF"/>
    <w:rsid w:val="00513FF4"/>
    <w:rsid w:val="005273B2"/>
    <w:rsid w:val="00535293"/>
    <w:rsid w:val="0054254C"/>
    <w:rsid w:val="00556781"/>
    <w:rsid w:val="0056025F"/>
    <w:rsid w:val="00566CAD"/>
    <w:rsid w:val="00567171"/>
    <w:rsid w:val="00572270"/>
    <w:rsid w:val="00573C74"/>
    <w:rsid w:val="005755AF"/>
    <w:rsid w:val="0058597A"/>
    <w:rsid w:val="00593176"/>
    <w:rsid w:val="0059785C"/>
    <w:rsid w:val="005A03F7"/>
    <w:rsid w:val="005A61B2"/>
    <w:rsid w:val="005B0332"/>
    <w:rsid w:val="005B7E1D"/>
    <w:rsid w:val="005C4DE5"/>
    <w:rsid w:val="005C68BE"/>
    <w:rsid w:val="005D48EF"/>
    <w:rsid w:val="005E77AD"/>
    <w:rsid w:val="005F2A1C"/>
    <w:rsid w:val="005F6952"/>
    <w:rsid w:val="006061F1"/>
    <w:rsid w:val="00606FBB"/>
    <w:rsid w:val="00610B17"/>
    <w:rsid w:val="006120FB"/>
    <w:rsid w:val="00612DFD"/>
    <w:rsid w:val="006224C3"/>
    <w:rsid w:val="00627600"/>
    <w:rsid w:val="00652BFE"/>
    <w:rsid w:val="00656C87"/>
    <w:rsid w:val="00657AD5"/>
    <w:rsid w:val="006604A3"/>
    <w:rsid w:val="00663ACD"/>
    <w:rsid w:val="006643F1"/>
    <w:rsid w:val="0066479A"/>
    <w:rsid w:val="0067058D"/>
    <w:rsid w:val="00676DBD"/>
    <w:rsid w:val="00677D78"/>
    <w:rsid w:val="006862FB"/>
    <w:rsid w:val="006930BC"/>
    <w:rsid w:val="006A3079"/>
    <w:rsid w:val="006A3210"/>
    <w:rsid w:val="006A5A51"/>
    <w:rsid w:val="006A5B81"/>
    <w:rsid w:val="006B1E25"/>
    <w:rsid w:val="006B4314"/>
    <w:rsid w:val="006B4820"/>
    <w:rsid w:val="006B5C91"/>
    <w:rsid w:val="006D2AC7"/>
    <w:rsid w:val="006D7443"/>
    <w:rsid w:val="006E206D"/>
    <w:rsid w:val="006E41E3"/>
    <w:rsid w:val="00716F58"/>
    <w:rsid w:val="007175A6"/>
    <w:rsid w:val="007225A1"/>
    <w:rsid w:val="00724E5B"/>
    <w:rsid w:val="00731C2F"/>
    <w:rsid w:val="0073488C"/>
    <w:rsid w:val="007408F6"/>
    <w:rsid w:val="0074234B"/>
    <w:rsid w:val="00750AF8"/>
    <w:rsid w:val="00752110"/>
    <w:rsid w:val="00752371"/>
    <w:rsid w:val="0075491C"/>
    <w:rsid w:val="00756048"/>
    <w:rsid w:val="0076050D"/>
    <w:rsid w:val="00764C21"/>
    <w:rsid w:val="007705D9"/>
    <w:rsid w:val="007735D8"/>
    <w:rsid w:val="00775122"/>
    <w:rsid w:val="007811A8"/>
    <w:rsid w:val="00793C13"/>
    <w:rsid w:val="007A79B4"/>
    <w:rsid w:val="007B2DF6"/>
    <w:rsid w:val="007C16DC"/>
    <w:rsid w:val="007C4CE2"/>
    <w:rsid w:val="007C5DC7"/>
    <w:rsid w:val="007D2059"/>
    <w:rsid w:val="007E36B2"/>
    <w:rsid w:val="007E71AE"/>
    <w:rsid w:val="007E77B1"/>
    <w:rsid w:val="00801CA3"/>
    <w:rsid w:val="008040DC"/>
    <w:rsid w:val="0082135B"/>
    <w:rsid w:val="0082359D"/>
    <w:rsid w:val="00825CEB"/>
    <w:rsid w:val="008315C9"/>
    <w:rsid w:val="00833943"/>
    <w:rsid w:val="008539C7"/>
    <w:rsid w:val="00871D6E"/>
    <w:rsid w:val="0088095A"/>
    <w:rsid w:val="008810C9"/>
    <w:rsid w:val="008854F8"/>
    <w:rsid w:val="00891D18"/>
    <w:rsid w:val="00892839"/>
    <w:rsid w:val="00896438"/>
    <w:rsid w:val="008A47EE"/>
    <w:rsid w:val="008A4ACF"/>
    <w:rsid w:val="008B0006"/>
    <w:rsid w:val="008B0A34"/>
    <w:rsid w:val="008B47A3"/>
    <w:rsid w:val="008B60A2"/>
    <w:rsid w:val="008B7223"/>
    <w:rsid w:val="008C7349"/>
    <w:rsid w:val="008E2163"/>
    <w:rsid w:val="008F359E"/>
    <w:rsid w:val="00900A31"/>
    <w:rsid w:val="0090474E"/>
    <w:rsid w:val="00904AFE"/>
    <w:rsid w:val="00905D46"/>
    <w:rsid w:val="0091012C"/>
    <w:rsid w:val="009137DA"/>
    <w:rsid w:val="00914C61"/>
    <w:rsid w:val="00922E66"/>
    <w:rsid w:val="00926266"/>
    <w:rsid w:val="00945F92"/>
    <w:rsid w:val="00952E0A"/>
    <w:rsid w:val="00953C3A"/>
    <w:rsid w:val="00961EC9"/>
    <w:rsid w:val="00970C07"/>
    <w:rsid w:val="00971B1E"/>
    <w:rsid w:val="00977E7F"/>
    <w:rsid w:val="009808B4"/>
    <w:rsid w:val="00982A7F"/>
    <w:rsid w:val="0098401D"/>
    <w:rsid w:val="0098769D"/>
    <w:rsid w:val="009949E9"/>
    <w:rsid w:val="009A160B"/>
    <w:rsid w:val="009A5ACA"/>
    <w:rsid w:val="009A5FA0"/>
    <w:rsid w:val="009A60A1"/>
    <w:rsid w:val="009C291A"/>
    <w:rsid w:val="009D1A2C"/>
    <w:rsid w:val="009D1B31"/>
    <w:rsid w:val="009D6779"/>
    <w:rsid w:val="009E298E"/>
    <w:rsid w:val="009E6E96"/>
    <w:rsid w:val="009F60A5"/>
    <w:rsid w:val="00A00BB0"/>
    <w:rsid w:val="00A017D8"/>
    <w:rsid w:val="00A07B0C"/>
    <w:rsid w:val="00A07C08"/>
    <w:rsid w:val="00A27435"/>
    <w:rsid w:val="00A30B59"/>
    <w:rsid w:val="00A3100F"/>
    <w:rsid w:val="00A44538"/>
    <w:rsid w:val="00A45282"/>
    <w:rsid w:val="00A515E1"/>
    <w:rsid w:val="00A5276F"/>
    <w:rsid w:val="00A607D9"/>
    <w:rsid w:val="00A72E29"/>
    <w:rsid w:val="00A75095"/>
    <w:rsid w:val="00A804F4"/>
    <w:rsid w:val="00A80DB5"/>
    <w:rsid w:val="00A81712"/>
    <w:rsid w:val="00A82FB4"/>
    <w:rsid w:val="00AA2570"/>
    <w:rsid w:val="00AA2FAD"/>
    <w:rsid w:val="00AA5ECA"/>
    <w:rsid w:val="00AC7B76"/>
    <w:rsid w:val="00AD52D3"/>
    <w:rsid w:val="00AE25CC"/>
    <w:rsid w:val="00AE35C7"/>
    <w:rsid w:val="00AE49F5"/>
    <w:rsid w:val="00AF07F0"/>
    <w:rsid w:val="00B07EA7"/>
    <w:rsid w:val="00B173C0"/>
    <w:rsid w:val="00B438CD"/>
    <w:rsid w:val="00B44D0D"/>
    <w:rsid w:val="00B707A5"/>
    <w:rsid w:val="00B76F88"/>
    <w:rsid w:val="00B81B14"/>
    <w:rsid w:val="00B82D9C"/>
    <w:rsid w:val="00B8627A"/>
    <w:rsid w:val="00B86CD3"/>
    <w:rsid w:val="00BA4B45"/>
    <w:rsid w:val="00BA5E11"/>
    <w:rsid w:val="00BC3D67"/>
    <w:rsid w:val="00BC7D32"/>
    <w:rsid w:val="00BE0497"/>
    <w:rsid w:val="00BE09CF"/>
    <w:rsid w:val="00BE2A7B"/>
    <w:rsid w:val="00BF0668"/>
    <w:rsid w:val="00BF231C"/>
    <w:rsid w:val="00BF2877"/>
    <w:rsid w:val="00BF7ED6"/>
    <w:rsid w:val="00C01431"/>
    <w:rsid w:val="00C13E55"/>
    <w:rsid w:val="00C20144"/>
    <w:rsid w:val="00C243A5"/>
    <w:rsid w:val="00C2451B"/>
    <w:rsid w:val="00C25BEF"/>
    <w:rsid w:val="00C30F04"/>
    <w:rsid w:val="00C30F9D"/>
    <w:rsid w:val="00C33521"/>
    <w:rsid w:val="00C345FF"/>
    <w:rsid w:val="00C51253"/>
    <w:rsid w:val="00C57DBB"/>
    <w:rsid w:val="00C63D26"/>
    <w:rsid w:val="00C664AD"/>
    <w:rsid w:val="00C679E1"/>
    <w:rsid w:val="00C71800"/>
    <w:rsid w:val="00C82098"/>
    <w:rsid w:val="00CC15A4"/>
    <w:rsid w:val="00CC1CF4"/>
    <w:rsid w:val="00CC7B99"/>
    <w:rsid w:val="00CD6AF1"/>
    <w:rsid w:val="00CE0ECA"/>
    <w:rsid w:val="00CE1C43"/>
    <w:rsid w:val="00CE3CC6"/>
    <w:rsid w:val="00CE7D93"/>
    <w:rsid w:val="00CF3417"/>
    <w:rsid w:val="00CF4412"/>
    <w:rsid w:val="00D0641D"/>
    <w:rsid w:val="00D073DC"/>
    <w:rsid w:val="00D07916"/>
    <w:rsid w:val="00D1066A"/>
    <w:rsid w:val="00D157BB"/>
    <w:rsid w:val="00D15F0C"/>
    <w:rsid w:val="00D21C7C"/>
    <w:rsid w:val="00D256B7"/>
    <w:rsid w:val="00D3346E"/>
    <w:rsid w:val="00D3454C"/>
    <w:rsid w:val="00D447A8"/>
    <w:rsid w:val="00D47C62"/>
    <w:rsid w:val="00D47D58"/>
    <w:rsid w:val="00D51E7A"/>
    <w:rsid w:val="00D6540E"/>
    <w:rsid w:val="00D70947"/>
    <w:rsid w:val="00D92F03"/>
    <w:rsid w:val="00D946BF"/>
    <w:rsid w:val="00DB171F"/>
    <w:rsid w:val="00DB5978"/>
    <w:rsid w:val="00DB7050"/>
    <w:rsid w:val="00DB7DDD"/>
    <w:rsid w:val="00DC135F"/>
    <w:rsid w:val="00DC2A01"/>
    <w:rsid w:val="00DC34F7"/>
    <w:rsid w:val="00DD088B"/>
    <w:rsid w:val="00DD4494"/>
    <w:rsid w:val="00DE5520"/>
    <w:rsid w:val="00DE6F7B"/>
    <w:rsid w:val="00E01144"/>
    <w:rsid w:val="00E15123"/>
    <w:rsid w:val="00E16DDB"/>
    <w:rsid w:val="00E1767A"/>
    <w:rsid w:val="00E316AA"/>
    <w:rsid w:val="00E34939"/>
    <w:rsid w:val="00E37D9F"/>
    <w:rsid w:val="00E4039A"/>
    <w:rsid w:val="00E41D66"/>
    <w:rsid w:val="00E51B1F"/>
    <w:rsid w:val="00E61F5C"/>
    <w:rsid w:val="00E623B5"/>
    <w:rsid w:val="00E635D4"/>
    <w:rsid w:val="00E66391"/>
    <w:rsid w:val="00E70DCE"/>
    <w:rsid w:val="00E71486"/>
    <w:rsid w:val="00E73D05"/>
    <w:rsid w:val="00E7515E"/>
    <w:rsid w:val="00E76B6D"/>
    <w:rsid w:val="00E837AC"/>
    <w:rsid w:val="00E96412"/>
    <w:rsid w:val="00EA0EDA"/>
    <w:rsid w:val="00EA1F5A"/>
    <w:rsid w:val="00EA51D1"/>
    <w:rsid w:val="00EC04B3"/>
    <w:rsid w:val="00EC5F4E"/>
    <w:rsid w:val="00ED7EC6"/>
    <w:rsid w:val="00ED7FD4"/>
    <w:rsid w:val="00EE0DB2"/>
    <w:rsid w:val="00EF6178"/>
    <w:rsid w:val="00F05682"/>
    <w:rsid w:val="00F0587C"/>
    <w:rsid w:val="00F108B1"/>
    <w:rsid w:val="00F131B4"/>
    <w:rsid w:val="00F151EA"/>
    <w:rsid w:val="00F152FF"/>
    <w:rsid w:val="00F35A2D"/>
    <w:rsid w:val="00F37803"/>
    <w:rsid w:val="00F4296D"/>
    <w:rsid w:val="00F43509"/>
    <w:rsid w:val="00F52224"/>
    <w:rsid w:val="00F55D89"/>
    <w:rsid w:val="00F56B3C"/>
    <w:rsid w:val="00F71202"/>
    <w:rsid w:val="00F7420F"/>
    <w:rsid w:val="00F801BA"/>
    <w:rsid w:val="00F828AC"/>
    <w:rsid w:val="00F83FDD"/>
    <w:rsid w:val="00FA57F4"/>
    <w:rsid w:val="00FA7F10"/>
    <w:rsid w:val="00FB6E8B"/>
    <w:rsid w:val="00FC3F77"/>
    <w:rsid w:val="00FC7E00"/>
    <w:rsid w:val="00FD4C98"/>
    <w:rsid w:val="00FD6D6A"/>
    <w:rsid w:val="00FE0140"/>
    <w:rsid w:val="00FF183C"/>
    <w:rsid w:val="012120EA"/>
    <w:rsid w:val="01297897"/>
    <w:rsid w:val="014D4269"/>
    <w:rsid w:val="01636F90"/>
    <w:rsid w:val="01664845"/>
    <w:rsid w:val="01787B8A"/>
    <w:rsid w:val="019B01F3"/>
    <w:rsid w:val="01AB0EEA"/>
    <w:rsid w:val="01EE6939"/>
    <w:rsid w:val="02092BB5"/>
    <w:rsid w:val="021155E1"/>
    <w:rsid w:val="02381CF9"/>
    <w:rsid w:val="023C7BA6"/>
    <w:rsid w:val="02441991"/>
    <w:rsid w:val="025517B2"/>
    <w:rsid w:val="025E71FE"/>
    <w:rsid w:val="029064F6"/>
    <w:rsid w:val="0299674A"/>
    <w:rsid w:val="02AA4F9D"/>
    <w:rsid w:val="02CD1C48"/>
    <w:rsid w:val="02DB7020"/>
    <w:rsid w:val="034F0779"/>
    <w:rsid w:val="03A5525E"/>
    <w:rsid w:val="03B5558F"/>
    <w:rsid w:val="03E94935"/>
    <w:rsid w:val="041837FA"/>
    <w:rsid w:val="04236C6D"/>
    <w:rsid w:val="04474688"/>
    <w:rsid w:val="044A2D05"/>
    <w:rsid w:val="046E6C6A"/>
    <w:rsid w:val="04E36105"/>
    <w:rsid w:val="04F41654"/>
    <w:rsid w:val="050E408D"/>
    <w:rsid w:val="051559B6"/>
    <w:rsid w:val="05924DA8"/>
    <w:rsid w:val="05950F8D"/>
    <w:rsid w:val="05D116BD"/>
    <w:rsid w:val="05E413B5"/>
    <w:rsid w:val="05E65F63"/>
    <w:rsid w:val="070048D5"/>
    <w:rsid w:val="072337FB"/>
    <w:rsid w:val="075C4B87"/>
    <w:rsid w:val="075C6C04"/>
    <w:rsid w:val="077D6FE1"/>
    <w:rsid w:val="07A63C7C"/>
    <w:rsid w:val="07EC6E0C"/>
    <w:rsid w:val="07FC71AD"/>
    <w:rsid w:val="08160E81"/>
    <w:rsid w:val="08233BAF"/>
    <w:rsid w:val="086369E3"/>
    <w:rsid w:val="08861F38"/>
    <w:rsid w:val="08942CB7"/>
    <w:rsid w:val="08D946FB"/>
    <w:rsid w:val="090554D6"/>
    <w:rsid w:val="0914781F"/>
    <w:rsid w:val="0918084D"/>
    <w:rsid w:val="093367E0"/>
    <w:rsid w:val="09885F51"/>
    <w:rsid w:val="09B43962"/>
    <w:rsid w:val="0A0933BE"/>
    <w:rsid w:val="0A162496"/>
    <w:rsid w:val="0A19682B"/>
    <w:rsid w:val="0A7D2A8A"/>
    <w:rsid w:val="0AD40D67"/>
    <w:rsid w:val="0ADF6175"/>
    <w:rsid w:val="0B1C72E3"/>
    <w:rsid w:val="0B2C6E58"/>
    <w:rsid w:val="0B327611"/>
    <w:rsid w:val="0BB13BB7"/>
    <w:rsid w:val="0BC059BA"/>
    <w:rsid w:val="0BE14C28"/>
    <w:rsid w:val="0BE52A82"/>
    <w:rsid w:val="0C1B492D"/>
    <w:rsid w:val="0C54147B"/>
    <w:rsid w:val="0C9A5113"/>
    <w:rsid w:val="0CCB7D8E"/>
    <w:rsid w:val="0CF209E7"/>
    <w:rsid w:val="0D182212"/>
    <w:rsid w:val="0D632840"/>
    <w:rsid w:val="0D8B1353"/>
    <w:rsid w:val="0D8D6949"/>
    <w:rsid w:val="0D8F221A"/>
    <w:rsid w:val="0D935409"/>
    <w:rsid w:val="0DAD7745"/>
    <w:rsid w:val="0DFB0895"/>
    <w:rsid w:val="0E502D33"/>
    <w:rsid w:val="0E54751D"/>
    <w:rsid w:val="0E613B6C"/>
    <w:rsid w:val="0E6364C3"/>
    <w:rsid w:val="0E7323A1"/>
    <w:rsid w:val="0E7B0E5D"/>
    <w:rsid w:val="0E7C20C9"/>
    <w:rsid w:val="0E896013"/>
    <w:rsid w:val="0E9636B6"/>
    <w:rsid w:val="0EBA4DC8"/>
    <w:rsid w:val="0EDE456B"/>
    <w:rsid w:val="0EEB20EC"/>
    <w:rsid w:val="0F635E75"/>
    <w:rsid w:val="1079076C"/>
    <w:rsid w:val="10AF433F"/>
    <w:rsid w:val="10B72CA3"/>
    <w:rsid w:val="10CE30EC"/>
    <w:rsid w:val="11200AB4"/>
    <w:rsid w:val="11247B2D"/>
    <w:rsid w:val="11531582"/>
    <w:rsid w:val="11B05187"/>
    <w:rsid w:val="11E8226D"/>
    <w:rsid w:val="12020E77"/>
    <w:rsid w:val="123A777F"/>
    <w:rsid w:val="129C374D"/>
    <w:rsid w:val="13151317"/>
    <w:rsid w:val="132574D5"/>
    <w:rsid w:val="1334464A"/>
    <w:rsid w:val="1357521D"/>
    <w:rsid w:val="13BA0B42"/>
    <w:rsid w:val="13BB0A11"/>
    <w:rsid w:val="13C40E32"/>
    <w:rsid w:val="13E11E5E"/>
    <w:rsid w:val="13EB022F"/>
    <w:rsid w:val="13FE05B7"/>
    <w:rsid w:val="14167794"/>
    <w:rsid w:val="14185C2C"/>
    <w:rsid w:val="14337333"/>
    <w:rsid w:val="144A63DE"/>
    <w:rsid w:val="14736AAE"/>
    <w:rsid w:val="147701A0"/>
    <w:rsid w:val="14852F66"/>
    <w:rsid w:val="149A5C32"/>
    <w:rsid w:val="14A515A8"/>
    <w:rsid w:val="14D51C97"/>
    <w:rsid w:val="14FB4E61"/>
    <w:rsid w:val="14FD2DA8"/>
    <w:rsid w:val="15166CF5"/>
    <w:rsid w:val="151C2FF1"/>
    <w:rsid w:val="15683862"/>
    <w:rsid w:val="15AB3AF2"/>
    <w:rsid w:val="15F55A16"/>
    <w:rsid w:val="16723952"/>
    <w:rsid w:val="16774322"/>
    <w:rsid w:val="16871A72"/>
    <w:rsid w:val="16876EFB"/>
    <w:rsid w:val="16B94DDE"/>
    <w:rsid w:val="16C246E7"/>
    <w:rsid w:val="16CC3820"/>
    <w:rsid w:val="16DF057D"/>
    <w:rsid w:val="172379B1"/>
    <w:rsid w:val="17611936"/>
    <w:rsid w:val="17845DD8"/>
    <w:rsid w:val="17A94977"/>
    <w:rsid w:val="17AD6445"/>
    <w:rsid w:val="17C024B6"/>
    <w:rsid w:val="1804731C"/>
    <w:rsid w:val="180675E2"/>
    <w:rsid w:val="182D4C1A"/>
    <w:rsid w:val="18333A6F"/>
    <w:rsid w:val="18486E0E"/>
    <w:rsid w:val="18497905"/>
    <w:rsid w:val="186C6B68"/>
    <w:rsid w:val="187E50D2"/>
    <w:rsid w:val="187F1162"/>
    <w:rsid w:val="189E7F95"/>
    <w:rsid w:val="18AF6AE5"/>
    <w:rsid w:val="18B953B6"/>
    <w:rsid w:val="18FC7A2A"/>
    <w:rsid w:val="191603F8"/>
    <w:rsid w:val="191F2CBD"/>
    <w:rsid w:val="192125A9"/>
    <w:rsid w:val="1968378C"/>
    <w:rsid w:val="196E3D32"/>
    <w:rsid w:val="198124E3"/>
    <w:rsid w:val="19B730C5"/>
    <w:rsid w:val="19F51F6D"/>
    <w:rsid w:val="1A36028A"/>
    <w:rsid w:val="1A5802D0"/>
    <w:rsid w:val="1A5A741F"/>
    <w:rsid w:val="1AB14BB6"/>
    <w:rsid w:val="1AC44166"/>
    <w:rsid w:val="1ADC51BC"/>
    <w:rsid w:val="1ADF2820"/>
    <w:rsid w:val="1B081BE1"/>
    <w:rsid w:val="1B1D7DB8"/>
    <w:rsid w:val="1B2F2EA0"/>
    <w:rsid w:val="1B633972"/>
    <w:rsid w:val="1B6356D5"/>
    <w:rsid w:val="1B670D3E"/>
    <w:rsid w:val="1BB50EF3"/>
    <w:rsid w:val="1C010AE4"/>
    <w:rsid w:val="1C2B1BB9"/>
    <w:rsid w:val="1C4574AB"/>
    <w:rsid w:val="1C69423B"/>
    <w:rsid w:val="1C6B3699"/>
    <w:rsid w:val="1CD1152B"/>
    <w:rsid w:val="1CD55471"/>
    <w:rsid w:val="1CF924C6"/>
    <w:rsid w:val="1D097FFC"/>
    <w:rsid w:val="1D316DD6"/>
    <w:rsid w:val="1D594C6C"/>
    <w:rsid w:val="1D877838"/>
    <w:rsid w:val="1DBD3183"/>
    <w:rsid w:val="1DC13E8E"/>
    <w:rsid w:val="1DC97D4F"/>
    <w:rsid w:val="1DCD1F90"/>
    <w:rsid w:val="1DDA136D"/>
    <w:rsid w:val="1DE34F08"/>
    <w:rsid w:val="1DF424A7"/>
    <w:rsid w:val="1DF4732F"/>
    <w:rsid w:val="1E2F6BFE"/>
    <w:rsid w:val="1E590D55"/>
    <w:rsid w:val="1E6A62C6"/>
    <w:rsid w:val="1E6D2B78"/>
    <w:rsid w:val="1E78501A"/>
    <w:rsid w:val="1E9E4607"/>
    <w:rsid w:val="1EB01169"/>
    <w:rsid w:val="1EB406AA"/>
    <w:rsid w:val="1F4D2E4B"/>
    <w:rsid w:val="1F653C98"/>
    <w:rsid w:val="1FC361CC"/>
    <w:rsid w:val="1FF1763D"/>
    <w:rsid w:val="20224B82"/>
    <w:rsid w:val="202D52AE"/>
    <w:rsid w:val="20322F5F"/>
    <w:rsid w:val="20516839"/>
    <w:rsid w:val="207A1BFF"/>
    <w:rsid w:val="208507EF"/>
    <w:rsid w:val="208B6D39"/>
    <w:rsid w:val="2095338A"/>
    <w:rsid w:val="20A03E08"/>
    <w:rsid w:val="20D926D7"/>
    <w:rsid w:val="20FD46BC"/>
    <w:rsid w:val="2105730F"/>
    <w:rsid w:val="2188552B"/>
    <w:rsid w:val="218D65A4"/>
    <w:rsid w:val="219316CB"/>
    <w:rsid w:val="21A10D8F"/>
    <w:rsid w:val="21A54152"/>
    <w:rsid w:val="21AF01CB"/>
    <w:rsid w:val="21B97ACB"/>
    <w:rsid w:val="21EE0560"/>
    <w:rsid w:val="22104119"/>
    <w:rsid w:val="221727AE"/>
    <w:rsid w:val="22274B1A"/>
    <w:rsid w:val="22637EA9"/>
    <w:rsid w:val="227E2C2D"/>
    <w:rsid w:val="228F16B1"/>
    <w:rsid w:val="229077CB"/>
    <w:rsid w:val="22F66C09"/>
    <w:rsid w:val="23050A4E"/>
    <w:rsid w:val="23302DA0"/>
    <w:rsid w:val="23593728"/>
    <w:rsid w:val="236013BA"/>
    <w:rsid w:val="23783341"/>
    <w:rsid w:val="237F295E"/>
    <w:rsid w:val="23A2641D"/>
    <w:rsid w:val="23BA7A15"/>
    <w:rsid w:val="23BC5C53"/>
    <w:rsid w:val="23CD3C89"/>
    <w:rsid w:val="23FD601C"/>
    <w:rsid w:val="24002D3E"/>
    <w:rsid w:val="24432C1B"/>
    <w:rsid w:val="245F4320"/>
    <w:rsid w:val="246B13FE"/>
    <w:rsid w:val="24817A18"/>
    <w:rsid w:val="24B35B5E"/>
    <w:rsid w:val="24D07B88"/>
    <w:rsid w:val="24E438D6"/>
    <w:rsid w:val="251601A6"/>
    <w:rsid w:val="2537045F"/>
    <w:rsid w:val="25445476"/>
    <w:rsid w:val="256D40FD"/>
    <w:rsid w:val="258A07C3"/>
    <w:rsid w:val="25A81C77"/>
    <w:rsid w:val="25C94EDE"/>
    <w:rsid w:val="2636159B"/>
    <w:rsid w:val="263F5EF5"/>
    <w:rsid w:val="264D363D"/>
    <w:rsid w:val="268E252C"/>
    <w:rsid w:val="26CE44C5"/>
    <w:rsid w:val="26DE6C11"/>
    <w:rsid w:val="26E809FF"/>
    <w:rsid w:val="26FD574A"/>
    <w:rsid w:val="27087C0E"/>
    <w:rsid w:val="275C1E96"/>
    <w:rsid w:val="2774569C"/>
    <w:rsid w:val="27894792"/>
    <w:rsid w:val="279D38F3"/>
    <w:rsid w:val="28251C33"/>
    <w:rsid w:val="28282D1B"/>
    <w:rsid w:val="28484502"/>
    <w:rsid w:val="2879007C"/>
    <w:rsid w:val="2879058D"/>
    <w:rsid w:val="28B6785E"/>
    <w:rsid w:val="28C45D26"/>
    <w:rsid w:val="28E0671D"/>
    <w:rsid w:val="28F44D1D"/>
    <w:rsid w:val="29275127"/>
    <w:rsid w:val="293324AA"/>
    <w:rsid w:val="293C5544"/>
    <w:rsid w:val="293D1B3E"/>
    <w:rsid w:val="29665ED3"/>
    <w:rsid w:val="298B5122"/>
    <w:rsid w:val="29AB1BE6"/>
    <w:rsid w:val="29B31962"/>
    <w:rsid w:val="29D51866"/>
    <w:rsid w:val="29D9015E"/>
    <w:rsid w:val="2A16417A"/>
    <w:rsid w:val="2A2E4987"/>
    <w:rsid w:val="2B4030E8"/>
    <w:rsid w:val="2B49375B"/>
    <w:rsid w:val="2B5E640A"/>
    <w:rsid w:val="2B853FFF"/>
    <w:rsid w:val="2B854C48"/>
    <w:rsid w:val="2BE531BF"/>
    <w:rsid w:val="2C30783A"/>
    <w:rsid w:val="2C3A5A55"/>
    <w:rsid w:val="2C54157E"/>
    <w:rsid w:val="2C7A0633"/>
    <w:rsid w:val="2C884632"/>
    <w:rsid w:val="2C8E0B98"/>
    <w:rsid w:val="2CB512FA"/>
    <w:rsid w:val="2CD312C2"/>
    <w:rsid w:val="2D0079FA"/>
    <w:rsid w:val="2D3E3C34"/>
    <w:rsid w:val="2D7732DF"/>
    <w:rsid w:val="2D994A76"/>
    <w:rsid w:val="2DA8373A"/>
    <w:rsid w:val="2DAF1830"/>
    <w:rsid w:val="2DBA0F8B"/>
    <w:rsid w:val="2DE1224E"/>
    <w:rsid w:val="2DF55E02"/>
    <w:rsid w:val="2E0E29F7"/>
    <w:rsid w:val="2E4F1F71"/>
    <w:rsid w:val="2E535E1F"/>
    <w:rsid w:val="2E7F0CD7"/>
    <w:rsid w:val="2E9D6A27"/>
    <w:rsid w:val="2ECE500C"/>
    <w:rsid w:val="2EEE1D40"/>
    <w:rsid w:val="2EFE6F27"/>
    <w:rsid w:val="2F1E5FA2"/>
    <w:rsid w:val="2F445C6B"/>
    <w:rsid w:val="2F656526"/>
    <w:rsid w:val="2F721FF0"/>
    <w:rsid w:val="2F795FC9"/>
    <w:rsid w:val="2F8770C1"/>
    <w:rsid w:val="2F8F2B51"/>
    <w:rsid w:val="2FC92C81"/>
    <w:rsid w:val="2FE63A04"/>
    <w:rsid w:val="300C255E"/>
    <w:rsid w:val="3014427F"/>
    <w:rsid w:val="306A4300"/>
    <w:rsid w:val="30C764DA"/>
    <w:rsid w:val="30CA60F5"/>
    <w:rsid w:val="30CE3757"/>
    <w:rsid w:val="30F566C3"/>
    <w:rsid w:val="31020ECE"/>
    <w:rsid w:val="314414A3"/>
    <w:rsid w:val="3159485C"/>
    <w:rsid w:val="315D734B"/>
    <w:rsid w:val="31723883"/>
    <w:rsid w:val="31831298"/>
    <w:rsid w:val="31BF1C72"/>
    <w:rsid w:val="31EE0814"/>
    <w:rsid w:val="31F02ED7"/>
    <w:rsid w:val="32137C21"/>
    <w:rsid w:val="32181435"/>
    <w:rsid w:val="32645C0B"/>
    <w:rsid w:val="32D7682A"/>
    <w:rsid w:val="32EE7829"/>
    <w:rsid w:val="3302423D"/>
    <w:rsid w:val="330B5CD8"/>
    <w:rsid w:val="33334DE0"/>
    <w:rsid w:val="33335FBA"/>
    <w:rsid w:val="333804B8"/>
    <w:rsid w:val="334F0E91"/>
    <w:rsid w:val="33681172"/>
    <w:rsid w:val="337E36FB"/>
    <w:rsid w:val="337E517D"/>
    <w:rsid w:val="33A207FF"/>
    <w:rsid w:val="34110AC2"/>
    <w:rsid w:val="34681E2B"/>
    <w:rsid w:val="34F950A0"/>
    <w:rsid w:val="3507783B"/>
    <w:rsid w:val="35127F1A"/>
    <w:rsid w:val="35244AFE"/>
    <w:rsid w:val="353C34B5"/>
    <w:rsid w:val="3561542C"/>
    <w:rsid w:val="35766A3F"/>
    <w:rsid w:val="357E3BE7"/>
    <w:rsid w:val="35A06941"/>
    <w:rsid w:val="35C21CF6"/>
    <w:rsid w:val="35D64D8F"/>
    <w:rsid w:val="35DB0FD6"/>
    <w:rsid w:val="3608049B"/>
    <w:rsid w:val="36426B5E"/>
    <w:rsid w:val="36645828"/>
    <w:rsid w:val="36CD1A46"/>
    <w:rsid w:val="36F33897"/>
    <w:rsid w:val="36F6491F"/>
    <w:rsid w:val="374E53E8"/>
    <w:rsid w:val="37702EC0"/>
    <w:rsid w:val="37903874"/>
    <w:rsid w:val="37AC7F77"/>
    <w:rsid w:val="37B35828"/>
    <w:rsid w:val="37DC2C03"/>
    <w:rsid w:val="37E70FFE"/>
    <w:rsid w:val="37F05CDD"/>
    <w:rsid w:val="37FD7749"/>
    <w:rsid w:val="38202540"/>
    <w:rsid w:val="38382291"/>
    <w:rsid w:val="3838304B"/>
    <w:rsid w:val="384B0B46"/>
    <w:rsid w:val="38DE52E2"/>
    <w:rsid w:val="39185A5F"/>
    <w:rsid w:val="391F55D3"/>
    <w:rsid w:val="39777103"/>
    <w:rsid w:val="39857359"/>
    <w:rsid w:val="39885C97"/>
    <w:rsid w:val="398D286D"/>
    <w:rsid w:val="39911D2C"/>
    <w:rsid w:val="39935151"/>
    <w:rsid w:val="39B54FC6"/>
    <w:rsid w:val="39BD548C"/>
    <w:rsid w:val="39C15D71"/>
    <w:rsid w:val="39C311C4"/>
    <w:rsid w:val="39D524DC"/>
    <w:rsid w:val="39FB2701"/>
    <w:rsid w:val="3A2C643A"/>
    <w:rsid w:val="3A3858EC"/>
    <w:rsid w:val="3A441E61"/>
    <w:rsid w:val="3A4650AC"/>
    <w:rsid w:val="3A476F20"/>
    <w:rsid w:val="3A7231B3"/>
    <w:rsid w:val="3AAC6869"/>
    <w:rsid w:val="3AB3626A"/>
    <w:rsid w:val="3AE94F3E"/>
    <w:rsid w:val="3B124CDF"/>
    <w:rsid w:val="3B2D0AC8"/>
    <w:rsid w:val="3B357202"/>
    <w:rsid w:val="3B3D6BF7"/>
    <w:rsid w:val="3B733460"/>
    <w:rsid w:val="3B85021E"/>
    <w:rsid w:val="3B853914"/>
    <w:rsid w:val="3B85789A"/>
    <w:rsid w:val="3B980F6A"/>
    <w:rsid w:val="3B9E5620"/>
    <w:rsid w:val="3BA30227"/>
    <w:rsid w:val="3BA83C4D"/>
    <w:rsid w:val="3BAC24A6"/>
    <w:rsid w:val="3BBA13F0"/>
    <w:rsid w:val="3BC2222A"/>
    <w:rsid w:val="3BD500C7"/>
    <w:rsid w:val="3BED3431"/>
    <w:rsid w:val="3C465126"/>
    <w:rsid w:val="3C465C02"/>
    <w:rsid w:val="3C823A7C"/>
    <w:rsid w:val="3C8E510D"/>
    <w:rsid w:val="3CA96CA3"/>
    <w:rsid w:val="3CD16A8F"/>
    <w:rsid w:val="3CF21AAE"/>
    <w:rsid w:val="3D086308"/>
    <w:rsid w:val="3D1B065B"/>
    <w:rsid w:val="3D3574E1"/>
    <w:rsid w:val="3DA7162D"/>
    <w:rsid w:val="3DB3478B"/>
    <w:rsid w:val="3DB66941"/>
    <w:rsid w:val="3DED3659"/>
    <w:rsid w:val="3E2D13C0"/>
    <w:rsid w:val="3E41485B"/>
    <w:rsid w:val="3E4F4F4E"/>
    <w:rsid w:val="3EA65488"/>
    <w:rsid w:val="3ED05151"/>
    <w:rsid w:val="3EF319C9"/>
    <w:rsid w:val="3F0F2694"/>
    <w:rsid w:val="3F2274F7"/>
    <w:rsid w:val="3F4D1B6F"/>
    <w:rsid w:val="3F5C26DE"/>
    <w:rsid w:val="3F7873CE"/>
    <w:rsid w:val="3F9F22B6"/>
    <w:rsid w:val="3FB86AEF"/>
    <w:rsid w:val="3FE62A32"/>
    <w:rsid w:val="40242AF8"/>
    <w:rsid w:val="403544B8"/>
    <w:rsid w:val="40450D0B"/>
    <w:rsid w:val="40A435AC"/>
    <w:rsid w:val="4118065B"/>
    <w:rsid w:val="4146159A"/>
    <w:rsid w:val="41704358"/>
    <w:rsid w:val="418A77C9"/>
    <w:rsid w:val="418F756F"/>
    <w:rsid w:val="41990BAE"/>
    <w:rsid w:val="41BD7918"/>
    <w:rsid w:val="41C457D9"/>
    <w:rsid w:val="41CA6B2F"/>
    <w:rsid w:val="41F12821"/>
    <w:rsid w:val="420A4327"/>
    <w:rsid w:val="42332E3A"/>
    <w:rsid w:val="42356B76"/>
    <w:rsid w:val="424E1501"/>
    <w:rsid w:val="4250016E"/>
    <w:rsid w:val="42704907"/>
    <w:rsid w:val="428E2362"/>
    <w:rsid w:val="42BC52EC"/>
    <w:rsid w:val="42DB72BE"/>
    <w:rsid w:val="42DD79B5"/>
    <w:rsid w:val="42EF0255"/>
    <w:rsid w:val="42F651DF"/>
    <w:rsid w:val="43014EDE"/>
    <w:rsid w:val="43044466"/>
    <w:rsid w:val="430F6684"/>
    <w:rsid w:val="432A5FD9"/>
    <w:rsid w:val="433D676A"/>
    <w:rsid w:val="435F45BF"/>
    <w:rsid w:val="43607FFA"/>
    <w:rsid w:val="436109D8"/>
    <w:rsid w:val="43653750"/>
    <w:rsid w:val="43674EF3"/>
    <w:rsid w:val="437D6F14"/>
    <w:rsid w:val="439B0296"/>
    <w:rsid w:val="43B92A17"/>
    <w:rsid w:val="43EC427F"/>
    <w:rsid w:val="44255256"/>
    <w:rsid w:val="442F1979"/>
    <w:rsid w:val="447A2814"/>
    <w:rsid w:val="447D2BC7"/>
    <w:rsid w:val="448961E5"/>
    <w:rsid w:val="448F6B7A"/>
    <w:rsid w:val="44932533"/>
    <w:rsid w:val="44A57506"/>
    <w:rsid w:val="44E57FE6"/>
    <w:rsid w:val="44EB7A26"/>
    <w:rsid w:val="452655FC"/>
    <w:rsid w:val="454C3740"/>
    <w:rsid w:val="455A6D7D"/>
    <w:rsid w:val="456D587B"/>
    <w:rsid w:val="45706BA0"/>
    <w:rsid w:val="457328F5"/>
    <w:rsid w:val="45887BC1"/>
    <w:rsid w:val="45BC33A2"/>
    <w:rsid w:val="462209E8"/>
    <w:rsid w:val="466A111A"/>
    <w:rsid w:val="46C92F74"/>
    <w:rsid w:val="46D33E75"/>
    <w:rsid w:val="46E523C9"/>
    <w:rsid w:val="46E82D83"/>
    <w:rsid w:val="46FD688F"/>
    <w:rsid w:val="4706389A"/>
    <w:rsid w:val="47956D77"/>
    <w:rsid w:val="47AB12AD"/>
    <w:rsid w:val="48204FF0"/>
    <w:rsid w:val="484176A2"/>
    <w:rsid w:val="486024E4"/>
    <w:rsid w:val="48A07931"/>
    <w:rsid w:val="48C93C4F"/>
    <w:rsid w:val="48D67FC1"/>
    <w:rsid w:val="48EB2E32"/>
    <w:rsid w:val="491B0BF5"/>
    <w:rsid w:val="493B4994"/>
    <w:rsid w:val="496F26CE"/>
    <w:rsid w:val="49822C95"/>
    <w:rsid w:val="49A9294F"/>
    <w:rsid w:val="49CE4388"/>
    <w:rsid w:val="49E05655"/>
    <w:rsid w:val="49E723F5"/>
    <w:rsid w:val="4A314B93"/>
    <w:rsid w:val="4A3963CF"/>
    <w:rsid w:val="4A4002C7"/>
    <w:rsid w:val="4A6040A7"/>
    <w:rsid w:val="4A617E22"/>
    <w:rsid w:val="4A6D6813"/>
    <w:rsid w:val="4A76699D"/>
    <w:rsid w:val="4A8973CF"/>
    <w:rsid w:val="4A9C2981"/>
    <w:rsid w:val="4AA2030D"/>
    <w:rsid w:val="4ABA7379"/>
    <w:rsid w:val="4ABF5B11"/>
    <w:rsid w:val="4AE3053C"/>
    <w:rsid w:val="4AE96240"/>
    <w:rsid w:val="4AFC7E5B"/>
    <w:rsid w:val="4B1E1A29"/>
    <w:rsid w:val="4B2B56C3"/>
    <w:rsid w:val="4B3E1EE0"/>
    <w:rsid w:val="4B821319"/>
    <w:rsid w:val="4BD434FE"/>
    <w:rsid w:val="4C286C7A"/>
    <w:rsid w:val="4C4706A2"/>
    <w:rsid w:val="4C6E6363"/>
    <w:rsid w:val="4C843B13"/>
    <w:rsid w:val="4C873C4D"/>
    <w:rsid w:val="4CC50C85"/>
    <w:rsid w:val="4CDF2EF8"/>
    <w:rsid w:val="4D07296A"/>
    <w:rsid w:val="4D26576E"/>
    <w:rsid w:val="4D440D74"/>
    <w:rsid w:val="4D8158A2"/>
    <w:rsid w:val="4DBD0839"/>
    <w:rsid w:val="4DF416CF"/>
    <w:rsid w:val="4E1A698E"/>
    <w:rsid w:val="4E3971D8"/>
    <w:rsid w:val="4E565055"/>
    <w:rsid w:val="4E9537E6"/>
    <w:rsid w:val="4EDC41DB"/>
    <w:rsid w:val="4F2427D9"/>
    <w:rsid w:val="4F3E4EC1"/>
    <w:rsid w:val="4F5875C9"/>
    <w:rsid w:val="4F7C47E0"/>
    <w:rsid w:val="4FB44B8E"/>
    <w:rsid w:val="4FC52EFD"/>
    <w:rsid w:val="4FFF3E0E"/>
    <w:rsid w:val="500C7372"/>
    <w:rsid w:val="50100E41"/>
    <w:rsid w:val="50465508"/>
    <w:rsid w:val="50574221"/>
    <w:rsid w:val="50976F0D"/>
    <w:rsid w:val="50A108D8"/>
    <w:rsid w:val="50B66CA0"/>
    <w:rsid w:val="50F06E35"/>
    <w:rsid w:val="514A2155"/>
    <w:rsid w:val="514D6AF1"/>
    <w:rsid w:val="515965EE"/>
    <w:rsid w:val="516A1A6F"/>
    <w:rsid w:val="51752CFB"/>
    <w:rsid w:val="51AC0233"/>
    <w:rsid w:val="51BF1041"/>
    <w:rsid w:val="51D448DF"/>
    <w:rsid w:val="521321E1"/>
    <w:rsid w:val="523253EF"/>
    <w:rsid w:val="526E09A6"/>
    <w:rsid w:val="52810DCE"/>
    <w:rsid w:val="52925C5F"/>
    <w:rsid w:val="52BA0D60"/>
    <w:rsid w:val="52CA27DA"/>
    <w:rsid w:val="52FC793E"/>
    <w:rsid w:val="531332E9"/>
    <w:rsid w:val="531A7361"/>
    <w:rsid w:val="5343223A"/>
    <w:rsid w:val="534E478B"/>
    <w:rsid w:val="536D2736"/>
    <w:rsid w:val="537B10CD"/>
    <w:rsid w:val="53AF33C8"/>
    <w:rsid w:val="53B3316D"/>
    <w:rsid w:val="53EF20D7"/>
    <w:rsid w:val="541452E1"/>
    <w:rsid w:val="545A5A48"/>
    <w:rsid w:val="54717E4A"/>
    <w:rsid w:val="547532F6"/>
    <w:rsid w:val="54A67465"/>
    <w:rsid w:val="54CF4BB2"/>
    <w:rsid w:val="54EB2F6C"/>
    <w:rsid w:val="55AE024E"/>
    <w:rsid w:val="55DA6983"/>
    <w:rsid w:val="56173253"/>
    <w:rsid w:val="56625BC4"/>
    <w:rsid w:val="568A277E"/>
    <w:rsid w:val="56DD42CE"/>
    <w:rsid w:val="56F4369F"/>
    <w:rsid w:val="573C4AF8"/>
    <w:rsid w:val="574A00C0"/>
    <w:rsid w:val="575B66FE"/>
    <w:rsid w:val="5762665D"/>
    <w:rsid w:val="5780461A"/>
    <w:rsid w:val="57855D92"/>
    <w:rsid w:val="579B5BB6"/>
    <w:rsid w:val="57B97FDF"/>
    <w:rsid w:val="58105792"/>
    <w:rsid w:val="583F469B"/>
    <w:rsid w:val="58C4647E"/>
    <w:rsid w:val="58CA0FB8"/>
    <w:rsid w:val="590E48FC"/>
    <w:rsid w:val="590F57C5"/>
    <w:rsid w:val="598E7554"/>
    <w:rsid w:val="59C03FD8"/>
    <w:rsid w:val="59CC70AA"/>
    <w:rsid w:val="5AA003C9"/>
    <w:rsid w:val="5AA50FB7"/>
    <w:rsid w:val="5AEA6AC0"/>
    <w:rsid w:val="5B0628BF"/>
    <w:rsid w:val="5B43012E"/>
    <w:rsid w:val="5B463F7E"/>
    <w:rsid w:val="5B566CA3"/>
    <w:rsid w:val="5B894688"/>
    <w:rsid w:val="5B921D51"/>
    <w:rsid w:val="5BA5429B"/>
    <w:rsid w:val="5BDD7C46"/>
    <w:rsid w:val="5C023418"/>
    <w:rsid w:val="5C083A3D"/>
    <w:rsid w:val="5C274EC2"/>
    <w:rsid w:val="5C3418D5"/>
    <w:rsid w:val="5C4B2201"/>
    <w:rsid w:val="5CB77F81"/>
    <w:rsid w:val="5CD439F7"/>
    <w:rsid w:val="5D0E50D3"/>
    <w:rsid w:val="5D216CC5"/>
    <w:rsid w:val="5D292FBE"/>
    <w:rsid w:val="5D7D78BD"/>
    <w:rsid w:val="5D9C3B0D"/>
    <w:rsid w:val="5DDF2F13"/>
    <w:rsid w:val="5DE271B5"/>
    <w:rsid w:val="5E285B16"/>
    <w:rsid w:val="5E2878DD"/>
    <w:rsid w:val="5E3120F0"/>
    <w:rsid w:val="5E322CF4"/>
    <w:rsid w:val="5E412425"/>
    <w:rsid w:val="5E4F1133"/>
    <w:rsid w:val="5E641D4A"/>
    <w:rsid w:val="5E7A6129"/>
    <w:rsid w:val="5EB4435A"/>
    <w:rsid w:val="5EC40021"/>
    <w:rsid w:val="5F10323B"/>
    <w:rsid w:val="5F2F304F"/>
    <w:rsid w:val="5FAF4392"/>
    <w:rsid w:val="5FC1055E"/>
    <w:rsid w:val="602C6A7A"/>
    <w:rsid w:val="6091478F"/>
    <w:rsid w:val="609D5FD8"/>
    <w:rsid w:val="60F058E1"/>
    <w:rsid w:val="610C03EA"/>
    <w:rsid w:val="6132358A"/>
    <w:rsid w:val="613309F8"/>
    <w:rsid w:val="617901BE"/>
    <w:rsid w:val="619F551A"/>
    <w:rsid w:val="61A54951"/>
    <w:rsid w:val="61A637F2"/>
    <w:rsid w:val="61D811B2"/>
    <w:rsid w:val="61E15FC2"/>
    <w:rsid w:val="61E5606D"/>
    <w:rsid w:val="61F61B73"/>
    <w:rsid w:val="620E79D7"/>
    <w:rsid w:val="622A4281"/>
    <w:rsid w:val="62700A65"/>
    <w:rsid w:val="62724576"/>
    <w:rsid w:val="62825BAC"/>
    <w:rsid w:val="62D83631"/>
    <w:rsid w:val="62E81692"/>
    <w:rsid w:val="62F07BBD"/>
    <w:rsid w:val="63065031"/>
    <w:rsid w:val="630B47C3"/>
    <w:rsid w:val="63141F0C"/>
    <w:rsid w:val="63951569"/>
    <w:rsid w:val="63C94BAA"/>
    <w:rsid w:val="63E6281E"/>
    <w:rsid w:val="63F04E6D"/>
    <w:rsid w:val="63F74BBD"/>
    <w:rsid w:val="63F875A8"/>
    <w:rsid w:val="64461E53"/>
    <w:rsid w:val="645E639F"/>
    <w:rsid w:val="646255DF"/>
    <w:rsid w:val="64656876"/>
    <w:rsid w:val="649508C6"/>
    <w:rsid w:val="64AC25D9"/>
    <w:rsid w:val="64C41C72"/>
    <w:rsid w:val="64C86CAD"/>
    <w:rsid w:val="64DC200C"/>
    <w:rsid w:val="64DD4813"/>
    <w:rsid w:val="64FE426C"/>
    <w:rsid w:val="651C1610"/>
    <w:rsid w:val="651C6283"/>
    <w:rsid w:val="655A2C43"/>
    <w:rsid w:val="655F08F9"/>
    <w:rsid w:val="657525F6"/>
    <w:rsid w:val="659D1143"/>
    <w:rsid w:val="65B324F8"/>
    <w:rsid w:val="65B41EFD"/>
    <w:rsid w:val="65F85279"/>
    <w:rsid w:val="660B0C92"/>
    <w:rsid w:val="661A0A16"/>
    <w:rsid w:val="662B4C75"/>
    <w:rsid w:val="662E3EA8"/>
    <w:rsid w:val="663A125E"/>
    <w:rsid w:val="663C4737"/>
    <w:rsid w:val="6685186A"/>
    <w:rsid w:val="6685660E"/>
    <w:rsid w:val="66930616"/>
    <w:rsid w:val="669D3CC0"/>
    <w:rsid w:val="66A751DA"/>
    <w:rsid w:val="66CA289D"/>
    <w:rsid w:val="66F32CF3"/>
    <w:rsid w:val="66F73F5C"/>
    <w:rsid w:val="673D0FFB"/>
    <w:rsid w:val="67887E6E"/>
    <w:rsid w:val="67A32D81"/>
    <w:rsid w:val="67B97911"/>
    <w:rsid w:val="67C164BA"/>
    <w:rsid w:val="6813133D"/>
    <w:rsid w:val="682E1242"/>
    <w:rsid w:val="68451B9E"/>
    <w:rsid w:val="68560A72"/>
    <w:rsid w:val="68C717DE"/>
    <w:rsid w:val="68FC2276"/>
    <w:rsid w:val="691B1015"/>
    <w:rsid w:val="691D0DE5"/>
    <w:rsid w:val="697A06DC"/>
    <w:rsid w:val="697F747B"/>
    <w:rsid w:val="69A134D5"/>
    <w:rsid w:val="69BD04E7"/>
    <w:rsid w:val="69E15FF2"/>
    <w:rsid w:val="69F23A03"/>
    <w:rsid w:val="69F26889"/>
    <w:rsid w:val="69F97106"/>
    <w:rsid w:val="6A2B129B"/>
    <w:rsid w:val="6A956AC6"/>
    <w:rsid w:val="6AC2162C"/>
    <w:rsid w:val="6AC661B9"/>
    <w:rsid w:val="6B0C7A52"/>
    <w:rsid w:val="6B2440F3"/>
    <w:rsid w:val="6B664DE7"/>
    <w:rsid w:val="6B78711D"/>
    <w:rsid w:val="6B7D47CD"/>
    <w:rsid w:val="6B87077C"/>
    <w:rsid w:val="6BDB0C20"/>
    <w:rsid w:val="6CA6512F"/>
    <w:rsid w:val="6CB5381A"/>
    <w:rsid w:val="6CD2538E"/>
    <w:rsid w:val="6CDB5A38"/>
    <w:rsid w:val="6D2140D5"/>
    <w:rsid w:val="6D496EF4"/>
    <w:rsid w:val="6D531FBA"/>
    <w:rsid w:val="6D6118EF"/>
    <w:rsid w:val="6DBC07A9"/>
    <w:rsid w:val="6DD14D33"/>
    <w:rsid w:val="6DD80750"/>
    <w:rsid w:val="6DDD337E"/>
    <w:rsid w:val="6E43774F"/>
    <w:rsid w:val="6EB263CC"/>
    <w:rsid w:val="6EB43A82"/>
    <w:rsid w:val="6EBA2C5E"/>
    <w:rsid w:val="6EBD6323"/>
    <w:rsid w:val="6EE76502"/>
    <w:rsid w:val="6F574D90"/>
    <w:rsid w:val="6F8971D0"/>
    <w:rsid w:val="6F9C7E2C"/>
    <w:rsid w:val="6FC32355"/>
    <w:rsid w:val="6FC65ADB"/>
    <w:rsid w:val="6FD138EF"/>
    <w:rsid w:val="70082BE0"/>
    <w:rsid w:val="702B6BB2"/>
    <w:rsid w:val="70A453C0"/>
    <w:rsid w:val="70C16F4D"/>
    <w:rsid w:val="70DC7244"/>
    <w:rsid w:val="70E742B9"/>
    <w:rsid w:val="70EB023E"/>
    <w:rsid w:val="70FB08F3"/>
    <w:rsid w:val="7125572C"/>
    <w:rsid w:val="71315E0C"/>
    <w:rsid w:val="7139185E"/>
    <w:rsid w:val="715C10E8"/>
    <w:rsid w:val="7176578D"/>
    <w:rsid w:val="71925C14"/>
    <w:rsid w:val="71987B2C"/>
    <w:rsid w:val="72374E05"/>
    <w:rsid w:val="724C080B"/>
    <w:rsid w:val="72775CE0"/>
    <w:rsid w:val="727F6D42"/>
    <w:rsid w:val="729051F6"/>
    <w:rsid w:val="729C55D1"/>
    <w:rsid w:val="72A23600"/>
    <w:rsid w:val="72B90ED5"/>
    <w:rsid w:val="72E86363"/>
    <w:rsid w:val="72EF1662"/>
    <w:rsid w:val="73134446"/>
    <w:rsid w:val="73243101"/>
    <w:rsid w:val="736644CF"/>
    <w:rsid w:val="73774366"/>
    <w:rsid w:val="73B11CFD"/>
    <w:rsid w:val="73B6418E"/>
    <w:rsid w:val="73B715EA"/>
    <w:rsid w:val="73EA2AF6"/>
    <w:rsid w:val="73F165CD"/>
    <w:rsid w:val="73FD347F"/>
    <w:rsid w:val="74013D68"/>
    <w:rsid w:val="741E0C47"/>
    <w:rsid w:val="7431211C"/>
    <w:rsid w:val="74390D8C"/>
    <w:rsid w:val="749E2804"/>
    <w:rsid w:val="74B41EDC"/>
    <w:rsid w:val="74C810DB"/>
    <w:rsid w:val="74C92C2D"/>
    <w:rsid w:val="74DB181D"/>
    <w:rsid w:val="751B6588"/>
    <w:rsid w:val="75296015"/>
    <w:rsid w:val="754176A5"/>
    <w:rsid w:val="754B20E4"/>
    <w:rsid w:val="75820D8B"/>
    <w:rsid w:val="75BD290B"/>
    <w:rsid w:val="75C44DCE"/>
    <w:rsid w:val="763146D8"/>
    <w:rsid w:val="76464397"/>
    <w:rsid w:val="7651701C"/>
    <w:rsid w:val="76897C0B"/>
    <w:rsid w:val="76910B72"/>
    <w:rsid w:val="76936951"/>
    <w:rsid w:val="76C121DA"/>
    <w:rsid w:val="77150DD6"/>
    <w:rsid w:val="77236B91"/>
    <w:rsid w:val="774219B8"/>
    <w:rsid w:val="776704F6"/>
    <w:rsid w:val="778D4236"/>
    <w:rsid w:val="7806177E"/>
    <w:rsid w:val="780B4D45"/>
    <w:rsid w:val="780D4995"/>
    <w:rsid w:val="782323C3"/>
    <w:rsid w:val="78362761"/>
    <w:rsid w:val="785B6A6D"/>
    <w:rsid w:val="78745D5B"/>
    <w:rsid w:val="788D6581"/>
    <w:rsid w:val="78A1419E"/>
    <w:rsid w:val="78B16511"/>
    <w:rsid w:val="78C06A6C"/>
    <w:rsid w:val="78CB411D"/>
    <w:rsid w:val="78DE2C63"/>
    <w:rsid w:val="79122D0C"/>
    <w:rsid w:val="79144BF6"/>
    <w:rsid w:val="794F7518"/>
    <w:rsid w:val="79596BC4"/>
    <w:rsid w:val="796B57F2"/>
    <w:rsid w:val="79FA3B7B"/>
    <w:rsid w:val="79FD7D81"/>
    <w:rsid w:val="7A223D21"/>
    <w:rsid w:val="7A2566A3"/>
    <w:rsid w:val="7A29764E"/>
    <w:rsid w:val="7A4249F4"/>
    <w:rsid w:val="7A5D18E0"/>
    <w:rsid w:val="7A6C503E"/>
    <w:rsid w:val="7AA358B2"/>
    <w:rsid w:val="7AAE1A8C"/>
    <w:rsid w:val="7AB53E5F"/>
    <w:rsid w:val="7AC13462"/>
    <w:rsid w:val="7AC4784F"/>
    <w:rsid w:val="7B0148AF"/>
    <w:rsid w:val="7B2C27D4"/>
    <w:rsid w:val="7B500AFD"/>
    <w:rsid w:val="7B525DA7"/>
    <w:rsid w:val="7B551839"/>
    <w:rsid w:val="7B8411D1"/>
    <w:rsid w:val="7B9669E8"/>
    <w:rsid w:val="7B9D4895"/>
    <w:rsid w:val="7BA37542"/>
    <w:rsid w:val="7BF950F8"/>
    <w:rsid w:val="7C516488"/>
    <w:rsid w:val="7C9D1B74"/>
    <w:rsid w:val="7CA41401"/>
    <w:rsid w:val="7CB00330"/>
    <w:rsid w:val="7CC546E4"/>
    <w:rsid w:val="7CE16423"/>
    <w:rsid w:val="7D0128EA"/>
    <w:rsid w:val="7D351262"/>
    <w:rsid w:val="7DA773BA"/>
    <w:rsid w:val="7E1268E0"/>
    <w:rsid w:val="7E30247C"/>
    <w:rsid w:val="7E4013E0"/>
    <w:rsid w:val="7E552CA7"/>
    <w:rsid w:val="7E7064BE"/>
    <w:rsid w:val="7E7974C2"/>
    <w:rsid w:val="7E7F0A31"/>
    <w:rsid w:val="7EF47810"/>
    <w:rsid w:val="7F0458B8"/>
    <w:rsid w:val="7F0C76BF"/>
    <w:rsid w:val="7F123206"/>
    <w:rsid w:val="7F1B427F"/>
    <w:rsid w:val="7F307483"/>
    <w:rsid w:val="7F322398"/>
    <w:rsid w:val="7F501844"/>
    <w:rsid w:val="7F5C3733"/>
    <w:rsid w:val="7F69713E"/>
    <w:rsid w:val="7F840255"/>
    <w:rsid w:val="7F8C478E"/>
    <w:rsid w:val="7F993104"/>
    <w:rsid w:val="7FBE6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68"/>
    <w:qFormat/>
    <w:uiPriority w:val="9"/>
    <w:pPr>
      <w:keepNext/>
      <w:keepLines/>
      <w:spacing w:before="340" w:after="330" w:line="576" w:lineRule="auto"/>
      <w:outlineLvl w:val="0"/>
    </w:pPr>
    <w:rPr>
      <w:b/>
      <w:kern w:val="44"/>
      <w:sz w:val="4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rPr>
      <w:rFonts w:ascii="Times New Roman" w:hAnsi="Times New Roman" w:cs="Times New Roman"/>
    </w:rPr>
  </w:style>
  <w:style w:type="paragraph" w:styleId="4">
    <w:name w:val="Body Text"/>
    <w:basedOn w:val="1"/>
    <w:next w:val="1"/>
    <w:link w:val="61"/>
    <w:qFormat/>
    <w:uiPriority w:val="0"/>
    <w:pPr>
      <w:jc w:val="center"/>
    </w:pPr>
    <w:rPr>
      <w:b/>
      <w:color w:val="FF0000"/>
      <w:sz w:val="44"/>
      <w:lang w:val="zh-CN" w:eastAsia="zh-CN"/>
    </w:rPr>
  </w:style>
  <w:style w:type="paragraph" w:styleId="5">
    <w:name w:val="Body Text Indent"/>
    <w:basedOn w:val="1"/>
    <w:link w:val="60"/>
    <w:qFormat/>
    <w:uiPriority w:val="0"/>
    <w:pPr>
      <w:keepNext w:val="0"/>
      <w:keepLines w:val="0"/>
      <w:widowControl w:val="0"/>
      <w:suppressLineNumbers w:val="0"/>
      <w:spacing w:before="0" w:beforeAutospacing="0" w:after="0" w:afterAutospacing="0"/>
      <w:ind w:left="1395" w:right="0"/>
      <w:jc w:val="both"/>
    </w:pPr>
    <w:rPr>
      <w:rFonts w:hint="default" w:ascii="Times New Roman" w:hAnsi="Times New Roman" w:eastAsia="仿宋_GB2312" w:cs="Times New Roman"/>
      <w:kern w:val="0"/>
      <w:sz w:val="28"/>
      <w:szCs w:val="20"/>
      <w:lang w:val="en-US" w:eastAsia="zh-CN" w:bidi="ar"/>
    </w:rPr>
  </w:style>
  <w:style w:type="paragraph" w:styleId="6">
    <w:name w:val="toc 5"/>
    <w:basedOn w:val="1"/>
    <w:next w:val="1"/>
    <w:qFormat/>
    <w:uiPriority w:val="0"/>
    <w:rPr>
      <w:rFonts w:ascii="Times New Roman" w:hAnsi="Times New Roman" w:eastAsia="方正仿宋_GBK" w:cs="Times New Roman"/>
      <w:sz w:val="32"/>
    </w:rPr>
  </w:style>
  <w:style w:type="paragraph" w:styleId="7">
    <w:name w:val="Plain Text"/>
    <w:basedOn w:val="1"/>
    <w:qFormat/>
    <w:uiPriority w:val="99"/>
    <w:rPr>
      <w:rFonts w:ascii="宋体" w:hAnsi="Courier New" w:eastAsia="宋体" w:cs="Courier New"/>
      <w:sz w:val="21"/>
      <w:szCs w:val="21"/>
    </w:rPr>
  </w:style>
  <w:style w:type="paragraph" w:styleId="8">
    <w:name w:val="Date"/>
    <w:basedOn w:val="1"/>
    <w:next w:val="1"/>
    <w:link w:val="66"/>
    <w:qFormat/>
    <w:uiPriority w:val="0"/>
    <w:pPr>
      <w:ind w:left="100" w:leftChars="2500"/>
    </w:pPr>
    <w:rPr>
      <w:lang w:val="zh-CN" w:eastAsia="zh-CN"/>
    </w:rPr>
  </w:style>
  <w:style w:type="paragraph" w:styleId="9">
    <w:name w:val="Balloon Text"/>
    <w:basedOn w:val="1"/>
    <w:link w:val="65"/>
    <w:semiHidden/>
    <w:qFormat/>
    <w:uiPriority w:val="0"/>
    <w:rPr>
      <w:sz w:val="18"/>
      <w:szCs w:val="18"/>
    </w:rPr>
  </w:style>
  <w:style w:type="paragraph" w:styleId="10">
    <w:name w:val="footer"/>
    <w:basedOn w:val="1"/>
    <w:link w:val="52"/>
    <w:qFormat/>
    <w:uiPriority w:val="99"/>
    <w:pPr>
      <w:tabs>
        <w:tab w:val="center" w:pos="4153"/>
        <w:tab w:val="right" w:pos="8306"/>
      </w:tabs>
      <w:snapToGrid w:val="0"/>
      <w:jc w:val="left"/>
    </w:pPr>
    <w:rPr>
      <w:sz w:val="18"/>
      <w:szCs w:val="18"/>
    </w:rPr>
  </w:style>
  <w:style w:type="paragraph" w:styleId="11">
    <w:name w:val="header"/>
    <w:basedOn w:val="1"/>
    <w:link w:val="49"/>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12">
    <w:name w:val="Subtitle"/>
    <w:basedOn w:val="1"/>
    <w:next w:val="1"/>
    <w:link w:val="57"/>
    <w:qFormat/>
    <w:uiPriority w:val="0"/>
    <w:pPr>
      <w:spacing w:before="240" w:after="60" w:line="312" w:lineRule="auto"/>
      <w:jc w:val="center"/>
      <w:outlineLvl w:val="1"/>
    </w:pPr>
    <w:rPr>
      <w:rFonts w:ascii="Cambria" w:hAnsi="Cambria" w:eastAsia="宋体"/>
      <w:b/>
      <w:bCs/>
      <w:kern w:val="28"/>
      <w:lang w:val="zh-CN" w:eastAsia="zh-CN"/>
    </w:rPr>
  </w:style>
  <w:style w:type="paragraph" w:styleId="13">
    <w:name w:val="HTML Preformatted"/>
    <w:basedOn w:val="1"/>
    <w:link w:val="5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 w:val="24"/>
      <w:szCs w:val="24"/>
      <w:lang w:val="zh-CN" w:eastAsia="zh-CN"/>
    </w:rPr>
  </w:style>
  <w:style w:type="paragraph" w:styleId="14">
    <w:name w:val="Normal (Web)"/>
    <w:basedOn w:val="1"/>
    <w:qFormat/>
    <w:uiPriority w:val="0"/>
    <w:pPr>
      <w:widowControl/>
      <w:spacing w:before="100" w:beforeAutospacing="1" w:after="100" w:afterAutospacing="1"/>
      <w:jc w:val="left"/>
    </w:pPr>
    <w:rPr>
      <w:rFonts w:hint="eastAsia" w:ascii="宋体" w:hAnsi="宋体" w:eastAsia="宋体"/>
      <w:sz w:val="24"/>
    </w:rPr>
  </w:style>
  <w:style w:type="paragraph" w:styleId="15">
    <w:name w:val="Title"/>
    <w:basedOn w:val="1"/>
    <w:link w:val="51"/>
    <w:qFormat/>
    <w:uiPriority w:val="0"/>
    <w:pPr>
      <w:spacing w:before="240" w:after="60"/>
      <w:jc w:val="center"/>
      <w:outlineLvl w:val="0"/>
    </w:pPr>
    <w:rPr>
      <w:rFonts w:ascii="等线 Light" w:hAnsi="等线 Light" w:eastAsia="等线 Light"/>
      <w:b/>
      <w:bCs/>
      <w:kern w:val="0"/>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99"/>
    <w:rPr>
      <w:rFonts w:ascii="Times New Roman" w:hAnsi="Times New Roman" w:eastAsia="宋体" w:cs="Times New Roman"/>
      <w:b/>
      <w:bCs/>
    </w:rPr>
  </w:style>
  <w:style w:type="character" w:styleId="20">
    <w:name w:val="page number"/>
    <w:basedOn w:val="18"/>
    <w:qFormat/>
    <w:uiPriority w:val="0"/>
  </w:style>
  <w:style w:type="character" w:styleId="21">
    <w:name w:val="Emphasis"/>
    <w:qFormat/>
    <w:uiPriority w:val="0"/>
    <w:rPr>
      <w:rFonts w:ascii="Times New Roman" w:hAnsi="Times New Roman" w:eastAsia="宋体" w:cs="Times New Roman"/>
      <w:i/>
    </w:rPr>
  </w:style>
  <w:style w:type="character" w:styleId="22">
    <w:name w:val="Hyperlink"/>
    <w:qFormat/>
    <w:uiPriority w:val="0"/>
    <w:rPr>
      <w:color w:val="0000FF"/>
      <w:u w:val="single"/>
    </w:rPr>
  </w:style>
  <w:style w:type="character" w:customStyle="1" w:styleId="23">
    <w:name w:val="日期 Char"/>
    <w:link w:val="8"/>
    <w:qFormat/>
    <w:uiPriority w:val="0"/>
    <w:rPr>
      <w:rFonts w:eastAsia="仿宋_GB2312"/>
      <w:kern w:val="2"/>
      <w:sz w:val="32"/>
      <w:szCs w:val="32"/>
    </w:rPr>
  </w:style>
  <w:style w:type="character" w:customStyle="1" w:styleId="24">
    <w:name w:val="font11"/>
    <w:qFormat/>
    <w:uiPriority w:val="0"/>
    <w:rPr>
      <w:rFonts w:hint="eastAsia" w:ascii="宋体" w:hAnsi="宋体" w:eastAsia="宋体" w:cs="宋体"/>
      <w:color w:val="000000"/>
      <w:sz w:val="22"/>
      <w:szCs w:val="22"/>
      <w:u w:val="none"/>
    </w:rPr>
  </w:style>
  <w:style w:type="character" w:customStyle="1" w:styleId="25">
    <w:name w:val="副标题 Char"/>
    <w:link w:val="12"/>
    <w:qFormat/>
    <w:uiPriority w:val="0"/>
    <w:rPr>
      <w:rFonts w:ascii="Cambria" w:hAnsi="Cambria" w:cs="Times New Roman"/>
      <w:b/>
      <w:bCs/>
      <w:kern w:val="28"/>
      <w:sz w:val="32"/>
      <w:szCs w:val="32"/>
    </w:rPr>
  </w:style>
  <w:style w:type="character" w:customStyle="1" w:styleId="26">
    <w:name w:val="HTML 预设格式 Char"/>
    <w:link w:val="13"/>
    <w:qFormat/>
    <w:uiPriority w:val="99"/>
    <w:rPr>
      <w:rFonts w:ascii="宋体" w:hAnsi="宋体" w:cs="宋体"/>
      <w:sz w:val="24"/>
      <w:szCs w:val="24"/>
    </w:rPr>
  </w:style>
  <w:style w:type="character" w:customStyle="1" w:styleId="27">
    <w:name w:val="页脚 Char"/>
    <w:link w:val="10"/>
    <w:qFormat/>
    <w:uiPriority w:val="99"/>
    <w:rPr>
      <w:rFonts w:eastAsia="仿宋_GB2312"/>
      <w:kern w:val="2"/>
      <w:sz w:val="18"/>
      <w:szCs w:val="18"/>
      <w:lang w:val="en-US" w:eastAsia="zh-CN" w:bidi="ar-SA"/>
    </w:rPr>
  </w:style>
  <w:style w:type="character" w:customStyle="1" w:styleId="28">
    <w:name w:val="font21"/>
    <w:qFormat/>
    <w:uiPriority w:val="0"/>
    <w:rPr>
      <w:rFonts w:ascii="方正仿宋_GBK" w:hAnsi="方正仿宋_GBK" w:eastAsia="方正仿宋_GBK" w:cs="方正仿宋_GBK"/>
      <w:color w:val="000000"/>
      <w:sz w:val="22"/>
      <w:szCs w:val="22"/>
      <w:u w:val="none"/>
    </w:rPr>
  </w:style>
  <w:style w:type="character" w:customStyle="1" w:styleId="29">
    <w:name w:val="页眉 Char"/>
    <w:link w:val="11"/>
    <w:qFormat/>
    <w:uiPriority w:val="99"/>
    <w:rPr>
      <w:rFonts w:eastAsia="仿宋_GB2312"/>
      <w:kern w:val="2"/>
      <w:sz w:val="18"/>
      <w:szCs w:val="18"/>
    </w:rPr>
  </w:style>
  <w:style w:type="character" w:customStyle="1" w:styleId="30">
    <w:name w:val="font31"/>
    <w:qFormat/>
    <w:uiPriority w:val="0"/>
    <w:rPr>
      <w:rFonts w:hint="default" w:ascii="Times New Roman" w:hAnsi="Times New Roman" w:cs="Times New Roman"/>
      <w:color w:val="000000"/>
      <w:sz w:val="22"/>
      <w:szCs w:val="22"/>
      <w:u w:val="none"/>
    </w:rPr>
  </w:style>
  <w:style w:type="character" w:customStyle="1" w:styleId="31">
    <w:name w:val="Char Char1"/>
    <w:qFormat/>
    <w:uiPriority w:val="0"/>
    <w:rPr>
      <w:rFonts w:eastAsia="仿宋_GB2312"/>
      <w:kern w:val="2"/>
      <w:sz w:val="18"/>
      <w:lang w:val="en-US" w:eastAsia="zh-CN" w:bidi="ar-SA"/>
    </w:rPr>
  </w:style>
  <w:style w:type="paragraph" w:customStyle="1" w:styleId="32">
    <w:name w:val="Char Char Char Char Char Char Char"/>
    <w:basedOn w:val="1"/>
    <w:qFormat/>
    <w:uiPriority w:val="0"/>
    <w:pPr>
      <w:widowControl/>
      <w:spacing w:after="160" w:line="240" w:lineRule="exact"/>
      <w:jc w:val="left"/>
    </w:pPr>
    <w:rPr>
      <w:rFonts w:ascii="Verdana" w:hAnsi="Verdana"/>
      <w:kern w:val="0"/>
      <w:sz w:val="24"/>
      <w:szCs w:val="20"/>
      <w:lang w:eastAsia="en-US"/>
    </w:rPr>
  </w:style>
  <w:style w:type="paragraph" w:customStyle="1" w:styleId="33">
    <w:name w:val="默认段落字体 Para Char Char Char Char Char Char Char Char Char Char"/>
    <w:basedOn w:val="1"/>
    <w:qFormat/>
    <w:uiPriority w:val="0"/>
    <w:rPr>
      <w:rFonts w:ascii="Arial" w:hAnsi="Arial" w:eastAsia="宋体" w:cs="Arial"/>
      <w:sz w:val="20"/>
      <w:szCs w:val="20"/>
    </w:rPr>
  </w:style>
  <w:style w:type="paragraph" w:customStyle="1" w:styleId="34">
    <w:name w:val="列出段落2"/>
    <w:basedOn w:val="1"/>
    <w:qFormat/>
    <w:uiPriority w:val="0"/>
    <w:pPr>
      <w:ind w:firstLine="420" w:firstLineChars="200"/>
    </w:pPr>
    <w:rPr>
      <w:rFonts w:ascii="Calibri" w:hAnsi="Calibri" w:eastAsia="宋体"/>
      <w:sz w:val="21"/>
      <w:szCs w:val="22"/>
    </w:rPr>
  </w:style>
  <w:style w:type="paragraph" w:customStyle="1" w:styleId="35">
    <w:name w:val="Char Char Char Char Char Char Char Char Char Char Char Char Char Char Char Char Char Char Char Char Char Char"/>
    <w:basedOn w:val="1"/>
    <w:qFormat/>
    <w:uiPriority w:val="0"/>
    <w:rPr>
      <w:rFonts w:eastAsia="宋体"/>
      <w:sz w:val="21"/>
      <w:szCs w:val="20"/>
    </w:rPr>
  </w:style>
  <w:style w:type="paragraph" w:customStyle="1" w:styleId="36">
    <w:name w:val="Char Char Char Char Char Char Char Char Char"/>
    <w:basedOn w:val="1"/>
    <w:qFormat/>
    <w:uiPriority w:val="0"/>
    <w:rPr>
      <w:rFonts w:ascii="Arial" w:hAnsi="Arial" w:cs="Arial"/>
      <w:sz w:val="20"/>
      <w:szCs w:val="20"/>
    </w:rPr>
  </w:style>
  <w:style w:type="character" w:customStyle="1" w:styleId="37">
    <w:name w:val="正文文本 Char"/>
    <w:link w:val="4"/>
    <w:qFormat/>
    <w:uiPriority w:val="0"/>
    <w:rPr>
      <w:rFonts w:eastAsia="仿宋_GB2312"/>
      <w:b/>
      <w:color w:val="FF0000"/>
      <w:kern w:val="2"/>
      <w:sz w:val="44"/>
      <w:szCs w:val="32"/>
    </w:rPr>
  </w:style>
  <w:style w:type="paragraph" w:customStyle="1" w:styleId="38">
    <w:name w:val="索引 51"/>
    <w:basedOn w:val="1"/>
    <w:next w:val="1"/>
    <w:qFormat/>
    <w:uiPriority w:val="0"/>
    <w:pPr>
      <w:ind w:left="1680"/>
    </w:pPr>
    <w:rPr>
      <w:rFonts w:ascii="Times New Roman" w:hAnsi="Times New Roman" w:cs="Times New Roman"/>
    </w:rPr>
  </w:style>
  <w:style w:type="paragraph" w:styleId="39">
    <w:name w:val="No Spacing"/>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0">
    <w:name w:val="Body text|1"/>
    <w:basedOn w:val="1"/>
    <w:qFormat/>
    <w:uiPriority w:val="0"/>
    <w:pPr>
      <w:widowControl w:val="0"/>
      <w:shd w:val="clear" w:color="auto" w:fill="auto"/>
      <w:spacing w:after="60"/>
      <w:jc w:val="center"/>
    </w:pPr>
    <w:rPr>
      <w:rFonts w:ascii="宋体" w:hAnsi="宋体" w:eastAsia="宋体" w:cs="宋体"/>
      <w:sz w:val="44"/>
      <w:szCs w:val="44"/>
      <w:u w:val="none"/>
      <w:shd w:val="clear" w:color="auto" w:fill="auto"/>
      <w:lang w:val="zh-TW" w:eastAsia="zh-TW" w:bidi="zh-TW"/>
    </w:rPr>
  </w:style>
  <w:style w:type="paragraph" w:customStyle="1" w:styleId="41">
    <w:name w:val="Other|1"/>
    <w:basedOn w:val="1"/>
    <w:qFormat/>
    <w:uiPriority w:val="0"/>
    <w:pPr>
      <w:widowControl w:val="0"/>
      <w:shd w:val="clear" w:color="auto" w:fill="auto"/>
      <w:spacing w:line="288" w:lineRule="exact"/>
    </w:pPr>
    <w:rPr>
      <w:rFonts w:ascii="宋体" w:hAnsi="宋体" w:eastAsia="宋体" w:cs="宋体"/>
      <w:sz w:val="22"/>
      <w:szCs w:val="22"/>
      <w:u w:val="none"/>
      <w:shd w:val="clear" w:color="auto" w:fill="auto"/>
      <w:lang w:val="zh-TW" w:eastAsia="zh-TW" w:bidi="zh-TW"/>
    </w:rPr>
  </w:style>
  <w:style w:type="paragraph" w:customStyle="1" w:styleId="42">
    <w:name w:val=" Char1"/>
    <w:basedOn w:val="1"/>
    <w:qFormat/>
    <w:uiPriority w:val="0"/>
    <w:pPr>
      <w:spacing w:line="240" w:lineRule="atLeast"/>
      <w:ind w:left="420" w:firstLine="420"/>
    </w:pPr>
    <w:rPr>
      <w:rFonts w:ascii="Times New Roman" w:hAnsi="Times New Roman" w:eastAsia="宋体" w:cs="Times New Roman"/>
      <w:sz w:val="21"/>
      <w:szCs w:val="20"/>
    </w:rPr>
  </w:style>
  <w:style w:type="paragraph" w:customStyle="1" w:styleId="43">
    <w:name w:val="List Paragraph"/>
    <w:basedOn w:val="1"/>
    <w:unhideWhenUsed/>
    <w:qFormat/>
    <w:uiPriority w:val="99"/>
    <w:pPr>
      <w:ind w:firstLine="420" w:firstLineChars="200"/>
    </w:pPr>
    <w:rPr>
      <w:rFonts w:ascii="Times New Roman" w:hAnsi="Times New Roman" w:cs="Times New Roman"/>
    </w:rPr>
  </w:style>
  <w:style w:type="paragraph" w:styleId="44">
    <w:name w:val="Quote"/>
    <w:basedOn w:val="1"/>
    <w:next w:val="1"/>
    <w:link w:val="50"/>
    <w:qFormat/>
    <w:uiPriority w:val="0"/>
    <w:rPr>
      <w:rFonts w:ascii="Times New Roman" w:hAnsi="Times New Roman" w:cs="Times New Roman"/>
      <w:i/>
      <w:iCs/>
      <w:color w:val="000000"/>
    </w:rPr>
  </w:style>
  <w:style w:type="paragraph" w:customStyle="1" w:styleId="45">
    <w:name w:val="纯文本1"/>
    <w:basedOn w:val="1"/>
    <w:qFormat/>
    <w:uiPriority w:val="0"/>
    <w:rPr>
      <w:rFonts w:ascii="宋体" w:hAnsi="Courier New" w:eastAsia="宋体" w:cs="Courier New"/>
      <w:sz w:val="21"/>
      <w:szCs w:val="21"/>
    </w:rPr>
  </w:style>
  <w:style w:type="paragraph" w:customStyle="1" w:styleId="46">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仿宋_GB2312" w:hAnsi="宋体" w:eastAsia="仿宋_GB2312" w:cs="宋体"/>
      <w:kern w:val="2"/>
      <w:sz w:val="32"/>
      <w:szCs w:val="32"/>
      <w:lang w:val="en-US" w:eastAsia="zh-CN" w:bidi="ar"/>
    </w:rPr>
  </w:style>
  <w:style w:type="paragraph" w:customStyle="1" w:styleId="47">
    <w:name w:val="列出段落1"/>
    <w:basedOn w:val="1"/>
    <w:qFormat/>
    <w:uiPriority w:val="34"/>
    <w:pPr>
      <w:ind w:firstLine="420" w:firstLineChars="200"/>
    </w:pPr>
    <w:rPr>
      <w:rFonts w:ascii="Times New Roman" w:hAnsi="Times New Roman" w:cs="Times New Roman"/>
    </w:rPr>
  </w:style>
  <w:style w:type="paragraph" w:customStyle="1" w:styleId="48">
    <w:name w:val="Heading #2|1"/>
    <w:basedOn w:val="1"/>
    <w:qFormat/>
    <w:uiPriority w:val="0"/>
    <w:pPr>
      <w:widowControl w:val="0"/>
      <w:shd w:val="clear" w:color="auto" w:fill="auto"/>
      <w:spacing w:after="500" w:line="566" w:lineRule="exact"/>
      <w:jc w:val="center"/>
      <w:outlineLvl w:val="1"/>
    </w:pPr>
    <w:rPr>
      <w:rFonts w:ascii="宋体" w:hAnsi="宋体" w:eastAsia="宋体" w:cs="宋体"/>
      <w:sz w:val="40"/>
      <w:szCs w:val="40"/>
      <w:u w:val="none"/>
      <w:shd w:val="clear" w:color="auto" w:fill="auto"/>
      <w:lang w:val="zh-TW" w:eastAsia="zh-TW" w:bidi="zh-TW"/>
    </w:rPr>
  </w:style>
  <w:style w:type="character" w:customStyle="1" w:styleId="49">
    <w:name w:val="页眉 字符"/>
    <w:link w:val="11"/>
    <w:qFormat/>
    <w:uiPriority w:val="0"/>
    <w:rPr>
      <w:rFonts w:ascii="Times New Roman" w:hAnsi="Times New Roman" w:eastAsia="仿宋_GB2312" w:cs="Times New Roman"/>
      <w:kern w:val="2"/>
      <w:sz w:val="18"/>
      <w:szCs w:val="18"/>
    </w:rPr>
  </w:style>
  <w:style w:type="character" w:customStyle="1" w:styleId="50">
    <w:name w:val="引用 字符"/>
    <w:link w:val="44"/>
    <w:qFormat/>
    <w:uiPriority w:val="0"/>
    <w:rPr>
      <w:rFonts w:ascii="Times New Roman" w:hAnsi="Times New Roman" w:eastAsia="仿宋_GB2312" w:cs="Times New Roman"/>
      <w:i/>
      <w:iCs/>
      <w:color w:val="000000"/>
      <w:kern w:val="2"/>
      <w:sz w:val="32"/>
      <w:szCs w:val="32"/>
      <w:lang w:val="en-US" w:eastAsia="zh-CN" w:bidi="ar-SA"/>
    </w:rPr>
  </w:style>
  <w:style w:type="character" w:customStyle="1" w:styleId="51">
    <w:name w:val="标题 字符"/>
    <w:link w:val="15"/>
    <w:qFormat/>
    <w:uiPriority w:val="0"/>
    <w:rPr>
      <w:rFonts w:ascii="Arial" w:hAnsi="Arial" w:eastAsia="仿宋_GB2312" w:cs="Arial"/>
      <w:b/>
      <w:bCs/>
      <w:kern w:val="2"/>
      <w:sz w:val="32"/>
      <w:szCs w:val="32"/>
    </w:rPr>
  </w:style>
  <w:style w:type="character" w:customStyle="1" w:styleId="52">
    <w:name w:val="页脚 字符"/>
    <w:link w:val="10"/>
    <w:qFormat/>
    <w:uiPriority w:val="0"/>
    <w:rPr>
      <w:rFonts w:hint="eastAsia" w:ascii="仿宋_GB2312" w:hAnsi="宋体" w:eastAsia="仿宋_GB2312" w:cs="宋体"/>
      <w:kern w:val="2"/>
      <w:sz w:val="18"/>
      <w:szCs w:val="18"/>
    </w:rPr>
  </w:style>
  <w:style w:type="character" w:customStyle="1" w:styleId="53">
    <w:name w:val="font71"/>
    <w:qFormat/>
    <w:uiPriority w:val="0"/>
    <w:rPr>
      <w:rFonts w:hint="eastAsia" w:ascii="宋体" w:hAnsi="宋体" w:eastAsia="宋体" w:cs="宋体"/>
      <w:color w:val="000000"/>
      <w:sz w:val="20"/>
      <w:szCs w:val="20"/>
      <w:u w:val="none"/>
    </w:rPr>
  </w:style>
  <w:style w:type="character" w:customStyle="1" w:styleId="54">
    <w:name w:val="font41"/>
    <w:qFormat/>
    <w:uiPriority w:val="0"/>
    <w:rPr>
      <w:rFonts w:hint="default" w:ascii="Calibri" w:hAnsi="Calibri" w:eastAsia="宋体" w:cs="Calibri"/>
      <w:color w:val="000000"/>
      <w:sz w:val="20"/>
      <w:szCs w:val="20"/>
      <w:u w:val="none"/>
    </w:rPr>
  </w:style>
  <w:style w:type="character" w:customStyle="1" w:styleId="55">
    <w:name w:val="font111"/>
    <w:qFormat/>
    <w:uiPriority w:val="0"/>
    <w:rPr>
      <w:rFonts w:hint="eastAsia" w:ascii="宋体" w:hAnsi="宋体" w:eastAsia="宋体" w:cs="宋体"/>
      <w:color w:val="000000"/>
      <w:sz w:val="22"/>
      <w:szCs w:val="22"/>
      <w:u w:val="none"/>
    </w:rPr>
  </w:style>
  <w:style w:type="character" w:customStyle="1" w:styleId="56">
    <w:name w:val="15"/>
    <w:qFormat/>
    <w:uiPriority w:val="0"/>
    <w:rPr>
      <w:rFonts w:hint="default" w:ascii="Times New Roman" w:hAnsi="Times New Roman" w:eastAsia="宋体" w:cs="Times New Roman"/>
    </w:rPr>
  </w:style>
  <w:style w:type="character" w:customStyle="1" w:styleId="57">
    <w:name w:val="副标题 字符"/>
    <w:link w:val="12"/>
    <w:qFormat/>
    <w:uiPriority w:val="0"/>
    <w:rPr>
      <w:rFonts w:ascii="Cambria" w:hAnsi="Cambria" w:eastAsia="宋体" w:cs="Times New Roman"/>
      <w:b/>
      <w:bCs/>
      <w:kern w:val="28"/>
      <w:sz w:val="32"/>
      <w:szCs w:val="32"/>
    </w:rPr>
  </w:style>
  <w:style w:type="character" w:customStyle="1" w:styleId="58">
    <w:name w:val="HTML 预设格式 字符"/>
    <w:link w:val="13"/>
    <w:qFormat/>
    <w:uiPriority w:val="0"/>
    <w:rPr>
      <w:rFonts w:ascii="宋体" w:hAnsi="宋体" w:eastAsia="宋体" w:cs="Times New Roman"/>
      <w:sz w:val="24"/>
      <w:szCs w:val="24"/>
    </w:rPr>
  </w:style>
  <w:style w:type="character" w:customStyle="1" w:styleId="59">
    <w:name w:val="font51"/>
    <w:qFormat/>
    <w:uiPriority w:val="0"/>
    <w:rPr>
      <w:rFonts w:hint="eastAsia" w:ascii="宋体" w:hAnsi="宋体" w:eastAsia="宋体" w:cs="宋体"/>
      <w:color w:val="000000"/>
      <w:sz w:val="16"/>
      <w:szCs w:val="16"/>
      <w:u w:val="none"/>
    </w:rPr>
  </w:style>
  <w:style w:type="character" w:customStyle="1" w:styleId="60">
    <w:name w:val="正文文本缩进 字符"/>
    <w:link w:val="5"/>
    <w:qFormat/>
    <w:uiPriority w:val="0"/>
    <w:rPr>
      <w:rFonts w:hint="eastAsia" w:ascii="仿宋_GB2312" w:hAnsi="Times New Roman" w:eastAsia="仿宋_GB2312" w:cs="仿宋_GB2312"/>
      <w:sz w:val="28"/>
    </w:rPr>
  </w:style>
  <w:style w:type="character" w:customStyle="1" w:styleId="61">
    <w:name w:val="正文文本 字符"/>
    <w:link w:val="4"/>
    <w:qFormat/>
    <w:uiPriority w:val="0"/>
    <w:rPr>
      <w:rFonts w:ascii="Times New Roman" w:hAnsi="Times New Roman" w:eastAsia="宋体" w:cs="Times New Roman"/>
      <w:kern w:val="2"/>
      <w:sz w:val="36"/>
      <w:szCs w:val="24"/>
    </w:rPr>
  </w:style>
  <w:style w:type="character" w:customStyle="1" w:styleId="62">
    <w:name w:val="NormalCharacter"/>
    <w:qFormat/>
    <w:uiPriority w:val="0"/>
    <w:rPr>
      <w:rFonts w:ascii="Times New Roman" w:hAnsi="Times New Roman" w:eastAsia="宋体" w:cs="Times New Roman"/>
    </w:rPr>
  </w:style>
  <w:style w:type="character" w:customStyle="1" w:styleId="63">
    <w:name w:val="font61"/>
    <w:qFormat/>
    <w:uiPriority w:val="0"/>
    <w:rPr>
      <w:rFonts w:hint="default" w:ascii="Times New Roman" w:hAnsi="Times New Roman" w:eastAsia="宋体" w:cs="Times New Roman"/>
      <w:color w:val="auto"/>
      <w:sz w:val="20"/>
      <w:szCs w:val="20"/>
      <w:u w:val="none"/>
    </w:rPr>
  </w:style>
  <w:style w:type="character" w:customStyle="1" w:styleId="64">
    <w:name w:val="标题 1 Char1"/>
    <w:link w:val="2"/>
    <w:qFormat/>
    <w:uiPriority w:val="0"/>
    <w:rPr>
      <w:rFonts w:ascii="Times New Roman" w:hAnsi="Times New Roman" w:eastAsia="仿宋_GB2312" w:cs="Times New Roman"/>
      <w:b/>
      <w:bCs/>
      <w:kern w:val="44"/>
      <w:sz w:val="44"/>
      <w:szCs w:val="44"/>
      <w:lang w:val="en-US" w:eastAsia="zh-CN" w:bidi="ar-SA"/>
    </w:rPr>
  </w:style>
  <w:style w:type="character" w:customStyle="1" w:styleId="65">
    <w:name w:val="批注框文本 字符"/>
    <w:link w:val="9"/>
    <w:semiHidden/>
    <w:qFormat/>
    <w:uiPriority w:val="0"/>
    <w:rPr>
      <w:rFonts w:ascii="Times New Roman" w:hAnsi="Times New Roman" w:eastAsia="仿宋_GB2312" w:cs="Times New Roman"/>
      <w:kern w:val="2"/>
      <w:sz w:val="18"/>
      <w:szCs w:val="18"/>
    </w:rPr>
  </w:style>
  <w:style w:type="character" w:customStyle="1" w:styleId="66">
    <w:name w:val="日期 字符"/>
    <w:link w:val="8"/>
    <w:qFormat/>
    <w:uiPriority w:val="0"/>
    <w:rPr>
      <w:rFonts w:ascii="Times New Roman" w:hAnsi="Times New Roman" w:eastAsia="仿宋_GB2312" w:cs="Times New Roman"/>
      <w:kern w:val="2"/>
      <w:sz w:val="32"/>
      <w:szCs w:val="32"/>
    </w:rPr>
  </w:style>
  <w:style w:type="character" w:customStyle="1" w:styleId="67">
    <w:name w:val="10"/>
    <w:qFormat/>
    <w:uiPriority w:val="0"/>
    <w:rPr>
      <w:rFonts w:hint="default" w:ascii="Times New Roman" w:hAnsi="Times New Roman" w:eastAsia="宋体" w:cs="Times New Roman"/>
    </w:rPr>
  </w:style>
  <w:style w:type="character" w:customStyle="1" w:styleId="68">
    <w:name w:val="标题 1 字符"/>
    <w:link w:val="2"/>
    <w:qFormat/>
    <w:uiPriority w:val="0"/>
    <w:rPr>
      <w:rFonts w:hint="default" w:ascii="Times New Roman" w:hAnsi="Times New Roman" w:eastAsia="仿宋_GB2312" w:cs="Times New Roman"/>
      <w:b/>
      <w:kern w:val="44"/>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Words>
  <Characters>91</Characters>
  <Lines>1</Lines>
  <Paragraphs>1</Paragraphs>
  <TotalTime>0</TotalTime>
  <ScaleCrop>false</ScaleCrop>
  <LinksUpToDate>false</LinksUpToDate>
  <CharactersWithSpaces>105</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2020-08-03T03:17:00Z</dcterms:created>
  <dc:creator>霍丹</dc:creator>
  <cp:lastModifiedBy>Administrator</cp:lastModifiedBy>
  <cp:lastPrinted>2019-06-25T03:46:00Z</cp:lastPrinted>
  <dcterms:modified xsi:type="dcterms:W3CDTF">2023-05-23T06:53:37Z</dcterms:modified>
  <dc:title>重庆市人力资源和社会保障局文件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