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E9" w:rsidRDefault="009F26E9" w:rsidP="009F26E9">
      <w:pPr>
        <w:snapToGrid w:val="0"/>
        <w:spacing w:line="360" w:lineRule="auto"/>
        <w:rPr>
          <w:rFonts w:ascii="黑体" w:eastAsia="黑体" w:hAnsi="黑体" w:cs="黑体"/>
          <w:sz w:val="32"/>
          <w:szCs w:val="36"/>
        </w:rPr>
      </w:pPr>
      <w:r>
        <w:rPr>
          <w:rFonts w:ascii="黑体" w:eastAsia="黑体" w:hAnsi="黑体" w:cs="黑体" w:hint="eastAsia"/>
          <w:sz w:val="32"/>
          <w:szCs w:val="36"/>
        </w:rPr>
        <w:t>附件</w:t>
      </w:r>
    </w:p>
    <w:p w:rsidR="009F26E9" w:rsidRDefault="009F26E9" w:rsidP="009F26E9">
      <w:pPr>
        <w:snapToGrid w:val="0"/>
        <w:spacing w:line="360" w:lineRule="auto"/>
        <w:rPr>
          <w:rFonts w:ascii="黑体" w:eastAsia="黑体" w:hAnsi="黑体" w:cs="黑体" w:hint="eastAsia"/>
          <w:sz w:val="32"/>
          <w:szCs w:val="36"/>
        </w:rPr>
      </w:pPr>
    </w:p>
    <w:p w:rsidR="009F26E9" w:rsidRDefault="009F26E9" w:rsidP="009F26E9">
      <w:pPr>
        <w:adjustRightInd w:val="0"/>
        <w:snapToGrid w:val="0"/>
        <w:jc w:val="center"/>
        <w:rPr>
          <w:rFonts w:ascii="方正小标宋简体" w:eastAsia="方正小标宋简体" w:hAnsi="方正小标宋简体" w:cs="方正小标宋简体" w:hint="eastAsia"/>
          <w:sz w:val="36"/>
          <w:szCs w:val="36"/>
        </w:rPr>
      </w:pPr>
      <w:bookmarkStart w:id="0" w:name="OLE_LINK6"/>
      <w:bookmarkStart w:id="1" w:name="_GoBack"/>
      <w:r>
        <w:rPr>
          <w:rFonts w:ascii="方正小标宋简体" w:eastAsia="方正小标宋简体" w:hAnsi="方正小标宋简体" w:cs="方正小标宋简体" w:hint="eastAsia"/>
          <w:sz w:val="36"/>
          <w:szCs w:val="36"/>
        </w:rPr>
        <w:t>《Q12：药品生命周期管理的技术和监管考虑》</w:t>
      </w:r>
    </w:p>
    <w:p w:rsidR="009F26E9" w:rsidRDefault="009F26E9" w:rsidP="009F26E9">
      <w:pPr>
        <w:adjustRightInd w:val="0"/>
        <w:snapToGrid w:val="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实施建议</w:t>
      </w:r>
      <w:bookmarkEnd w:id="1"/>
    </w:p>
    <w:p w:rsidR="009F26E9" w:rsidRDefault="009F26E9" w:rsidP="009F26E9">
      <w:pPr>
        <w:snapToGrid w:val="0"/>
        <w:spacing w:line="360" w:lineRule="auto"/>
        <w:jc w:val="center"/>
        <w:rPr>
          <w:rFonts w:ascii="方正小标宋简体" w:eastAsia="方正小标宋简体" w:hAnsi="方正小标宋简体" w:cs="方正小标宋简体" w:hint="eastAsia"/>
          <w:sz w:val="44"/>
          <w:szCs w:val="36"/>
        </w:rPr>
      </w:pPr>
    </w:p>
    <w:tbl>
      <w:tblPr>
        <w:tblStyle w:val="a3"/>
        <w:tblW w:w="0" w:type="auto"/>
        <w:tblInd w:w="0" w:type="dxa"/>
        <w:tblLook w:val="04A0" w:firstRow="1" w:lastRow="0" w:firstColumn="1" w:lastColumn="0" w:noHBand="0" w:noVBand="1"/>
      </w:tblPr>
      <w:tblGrid>
        <w:gridCol w:w="2830"/>
        <w:gridCol w:w="5466"/>
      </w:tblGrid>
      <w:tr w:rsidR="009F26E9" w:rsidTr="00983EBE">
        <w:tc>
          <w:tcPr>
            <w:tcW w:w="2830" w:type="dxa"/>
            <w:tcBorders>
              <w:top w:val="single" w:sz="4" w:space="0" w:color="000000"/>
              <w:left w:val="single" w:sz="4" w:space="0" w:color="000000"/>
              <w:bottom w:val="single" w:sz="4" w:space="0" w:color="000000"/>
              <w:right w:val="single" w:sz="4" w:space="0" w:color="000000"/>
            </w:tcBorders>
            <w:vAlign w:val="center"/>
            <w:hideMark/>
          </w:tcPr>
          <w:p w:rsidR="009F26E9" w:rsidRDefault="009F26E9" w:rsidP="00983EBE">
            <w:pPr>
              <w:adjustRightInd w:val="0"/>
              <w:jc w:val="center"/>
              <w:rPr>
                <w:rFonts w:ascii="Times New Roman" w:eastAsia="黑体" w:hAnsi="Times New Roman" w:hint="eastAsia"/>
                <w:sz w:val="32"/>
                <w:szCs w:val="32"/>
              </w:rPr>
            </w:pPr>
            <w:bookmarkStart w:id="2" w:name="OLE_LINK2"/>
            <w:bookmarkStart w:id="3" w:name="OLE_LINK3"/>
            <w:r>
              <w:rPr>
                <w:rFonts w:ascii="Times New Roman" w:eastAsia="黑体" w:hAnsi="Times New Roman" w:hint="eastAsia"/>
                <w:sz w:val="32"/>
                <w:szCs w:val="32"/>
              </w:rPr>
              <w:t>指导原则名称</w:t>
            </w:r>
          </w:p>
        </w:tc>
        <w:tc>
          <w:tcPr>
            <w:tcW w:w="5466" w:type="dxa"/>
            <w:tcBorders>
              <w:top w:val="single" w:sz="4" w:space="0" w:color="000000"/>
              <w:left w:val="single" w:sz="4" w:space="0" w:color="000000"/>
              <w:bottom w:val="single" w:sz="4" w:space="0" w:color="000000"/>
              <w:right w:val="single" w:sz="4" w:space="0" w:color="000000"/>
            </w:tcBorders>
            <w:vAlign w:val="center"/>
            <w:hideMark/>
          </w:tcPr>
          <w:p w:rsidR="009F26E9" w:rsidRDefault="009F26E9" w:rsidP="00983EBE">
            <w:pPr>
              <w:adjustRightInd w:val="0"/>
              <w:jc w:val="center"/>
              <w:rPr>
                <w:rFonts w:ascii="Times New Roman" w:eastAsia="黑体" w:hAnsi="Times New Roman" w:cs="Times New Roman"/>
                <w:sz w:val="32"/>
                <w:szCs w:val="32"/>
              </w:rPr>
            </w:pPr>
            <w:r>
              <w:rPr>
                <w:rFonts w:ascii="Times New Roman" w:eastAsia="黑体" w:hAnsi="Times New Roman" w:hint="eastAsia"/>
                <w:sz w:val="32"/>
                <w:szCs w:val="32"/>
              </w:rPr>
              <w:t>实施建议</w:t>
            </w:r>
          </w:p>
        </w:tc>
      </w:tr>
      <w:tr w:rsidR="009F26E9" w:rsidTr="00983EBE">
        <w:tc>
          <w:tcPr>
            <w:tcW w:w="2830" w:type="dxa"/>
            <w:tcBorders>
              <w:top w:val="single" w:sz="4" w:space="0" w:color="000000"/>
              <w:left w:val="single" w:sz="4" w:space="0" w:color="000000"/>
              <w:bottom w:val="single" w:sz="4" w:space="0" w:color="000000"/>
              <w:right w:val="single" w:sz="4" w:space="0" w:color="000000"/>
            </w:tcBorders>
            <w:vAlign w:val="center"/>
            <w:hideMark/>
          </w:tcPr>
          <w:p w:rsidR="009F26E9" w:rsidRDefault="009F26E9" w:rsidP="00983EBE">
            <w:pPr>
              <w:adjustRightInd w:val="0"/>
              <w:snapToGrid w:val="0"/>
              <w:spacing w:line="360" w:lineRule="auto"/>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Q12</w:t>
            </w:r>
            <w:r>
              <w:rPr>
                <w:rFonts w:ascii="Times New Roman" w:eastAsia="仿宋_GB2312" w:hAnsi="Times New Roman" w:hint="eastAsia"/>
                <w:sz w:val="32"/>
                <w:szCs w:val="32"/>
              </w:rPr>
              <w:t>：药品生命周期管理的技术和监管考虑》</w:t>
            </w:r>
          </w:p>
        </w:tc>
        <w:tc>
          <w:tcPr>
            <w:tcW w:w="5466" w:type="dxa"/>
            <w:tcBorders>
              <w:top w:val="single" w:sz="4" w:space="0" w:color="000000"/>
              <w:left w:val="single" w:sz="4" w:space="0" w:color="000000"/>
              <w:bottom w:val="single" w:sz="4" w:space="0" w:color="000000"/>
              <w:right w:val="single" w:sz="4" w:space="0" w:color="000000"/>
            </w:tcBorders>
            <w:vAlign w:val="center"/>
            <w:hideMark/>
          </w:tcPr>
          <w:p w:rsidR="009F26E9" w:rsidRDefault="009F26E9" w:rsidP="00983EBE">
            <w:pPr>
              <w:pStyle w:val="xmsonormal"/>
              <w:shd w:val="clear" w:color="auto" w:fill="FFFFFF"/>
              <w:spacing w:before="0" w:beforeAutospacing="0" w:after="0" w:afterAutospacing="0" w:line="360" w:lineRule="auto"/>
              <w:ind w:firstLineChars="236" w:firstLine="755"/>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w:t>
            </w:r>
            <w:r>
              <w:rPr>
                <w:rFonts w:ascii="Times New Roman" w:eastAsia="仿宋_GB2312" w:hAnsi="Times New Roman" w:cs="Times New Roman"/>
                <w:kern w:val="2"/>
                <w:sz w:val="32"/>
                <w:szCs w:val="32"/>
              </w:rPr>
              <w:t>Q12</w:t>
            </w:r>
            <w:r>
              <w:rPr>
                <w:rFonts w:ascii="Times New Roman" w:eastAsia="仿宋_GB2312" w:hAnsi="Times New Roman" w:cs="Times New Roman" w:hint="eastAsia"/>
                <w:kern w:val="2"/>
                <w:sz w:val="32"/>
                <w:szCs w:val="32"/>
              </w:rPr>
              <w:t>为药品上市后变更管理提供了新的实现方法和监管工具，申请人可以按照目前我国变更管理的相关法规和指导原则进行变更管理，也可以在上市申请和</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或补充申请中采用</w:t>
            </w:r>
            <w:r>
              <w:rPr>
                <w:rFonts w:ascii="Times New Roman" w:eastAsia="仿宋_GB2312" w:hAnsi="Times New Roman" w:cs="Times New Roman"/>
                <w:kern w:val="2"/>
                <w:sz w:val="32"/>
                <w:szCs w:val="32"/>
              </w:rPr>
              <w:t>Q12</w:t>
            </w:r>
            <w:r>
              <w:rPr>
                <w:rFonts w:ascii="Times New Roman" w:eastAsia="仿宋_GB2312" w:hAnsi="Times New Roman" w:cs="Times New Roman" w:hint="eastAsia"/>
                <w:kern w:val="2"/>
                <w:sz w:val="32"/>
                <w:szCs w:val="32"/>
              </w:rPr>
              <w:t>提供的新方法进行变更管理。申请人在实施</w:t>
            </w:r>
            <w:r>
              <w:rPr>
                <w:rFonts w:ascii="Times New Roman" w:eastAsia="仿宋_GB2312" w:hAnsi="Times New Roman" w:cs="Times New Roman"/>
                <w:kern w:val="2"/>
                <w:sz w:val="32"/>
                <w:szCs w:val="32"/>
              </w:rPr>
              <w:t>Q12</w:t>
            </w:r>
            <w:r>
              <w:rPr>
                <w:rFonts w:ascii="Times New Roman" w:eastAsia="仿宋_GB2312" w:hAnsi="Times New Roman" w:cs="Times New Roman" w:hint="eastAsia"/>
                <w:kern w:val="2"/>
                <w:sz w:val="32"/>
                <w:szCs w:val="32"/>
              </w:rPr>
              <w:t>前，应按照</w:t>
            </w:r>
            <w:r>
              <w:rPr>
                <w:rFonts w:ascii="Times New Roman" w:eastAsia="仿宋_GB2312" w:hAnsi="Times New Roman" w:cs="Times New Roman"/>
                <w:kern w:val="2"/>
                <w:sz w:val="32"/>
                <w:szCs w:val="32"/>
              </w:rPr>
              <w:t>Q12</w:t>
            </w:r>
            <w:r>
              <w:rPr>
                <w:rFonts w:ascii="Times New Roman" w:eastAsia="仿宋_GB2312" w:hAnsi="Times New Roman" w:cs="Times New Roman" w:hint="eastAsia"/>
                <w:kern w:val="2"/>
                <w:sz w:val="32"/>
                <w:szCs w:val="32"/>
              </w:rPr>
              <w:t>的要求充分评估是否具备适用该指导原则的研发基础和实施条件。</w:t>
            </w:r>
          </w:p>
          <w:p w:rsidR="009F26E9" w:rsidRDefault="009F26E9" w:rsidP="00983EBE">
            <w:pPr>
              <w:pStyle w:val="xmsonormal"/>
              <w:shd w:val="clear" w:color="auto" w:fill="FFFFFF"/>
              <w:spacing w:before="0" w:beforeAutospacing="0" w:after="0" w:afterAutospacing="0" w:line="360" w:lineRule="auto"/>
              <w:ind w:firstLineChars="236" w:firstLine="755"/>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二、本公告发布之日起</w:t>
            </w:r>
            <w:r>
              <w:rPr>
                <w:rFonts w:ascii="Times New Roman" w:eastAsia="仿宋_GB2312" w:hAnsi="Times New Roman" w:cs="Times New Roman"/>
                <w:kern w:val="2"/>
                <w:sz w:val="32"/>
                <w:szCs w:val="32"/>
              </w:rPr>
              <w:t>24</w:t>
            </w:r>
            <w:r>
              <w:rPr>
                <w:rFonts w:ascii="Times New Roman" w:eastAsia="仿宋_GB2312" w:hAnsi="Times New Roman" w:cs="Times New Roman" w:hint="eastAsia"/>
                <w:kern w:val="2"/>
                <w:sz w:val="32"/>
                <w:szCs w:val="32"/>
              </w:rPr>
              <w:t>个月为过渡期。过渡期内申请人如提交与</w:t>
            </w:r>
            <w:r>
              <w:rPr>
                <w:rFonts w:ascii="Times New Roman" w:eastAsia="仿宋_GB2312" w:hAnsi="Times New Roman" w:cs="Times New Roman"/>
                <w:kern w:val="2"/>
                <w:sz w:val="32"/>
                <w:szCs w:val="32"/>
              </w:rPr>
              <w:t>Q12</w:t>
            </w:r>
            <w:r>
              <w:rPr>
                <w:rFonts w:ascii="Times New Roman" w:eastAsia="仿宋_GB2312" w:hAnsi="Times New Roman" w:cs="Times New Roman" w:hint="eastAsia"/>
                <w:kern w:val="2"/>
                <w:sz w:val="32"/>
                <w:szCs w:val="32"/>
              </w:rPr>
              <w:t>相关的注册申请，请参照《药物研发与技术审评沟通交流管理办法》（</w:t>
            </w:r>
            <w:r>
              <w:rPr>
                <w:rFonts w:ascii="Times New Roman" w:eastAsia="仿宋_GB2312" w:hAnsi="Times New Roman" w:cs="Times New Roman"/>
                <w:kern w:val="2"/>
                <w:sz w:val="32"/>
                <w:szCs w:val="32"/>
              </w:rPr>
              <w:t>2020</w:t>
            </w:r>
            <w:r>
              <w:rPr>
                <w:rFonts w:ascii="Times New Roman" w:eastAsia="仿宋_GB2312" w:hAnsi="Times New Roman" w:cs="Times New Roman" w:hint="eastAsia"/>
                <w:kern w:val="2"/>
                <w:sz w:val="32"/>
                <w:szCs w:val="32"/>
              </w:rPr>
              <w:t>年第</w:t>
            </w:r>
            <w:r>
              <w:rPr>
                <w:rFonts w:ascii="Times New Roman" w:eastAsia="仿宋_GB2312" w:hAnsi="Times New Roman" w:cs="Times New Roman"/>
                <w:kern w:val="2"/>
                <w:sz w:val="32"/>
                <w:szCs w:val="32"/>
              </w:rPr>
              <w:t>48</w:t>
            </w:r>
            <w:r>
              <w:rPr>
                <w:rFonts w:ascii="Times New Roman" w:eastAsia="仿宋_GB2312" w:hAnsi="Times New Roman" w:cs="Times New Roman" w:hint="eastAsia"/>
                <w:kern w:val="2"/>
                <w:sz w:val="32"/>
                <w:szCs w:val="32"/>
              </w:rPr>
              <w:t>号）相关要求，在提交注册申请前与药品审评中心进行沟通交流。在</w:t>
            </w:r>
            <w:r>
              <w:rPr>
                <w:rFonts w:ascii="Times New Roman" w:eastAsia="仿宋_GB2312" w:hAnsi="Times New Roman" w:cs="Times New Roman"/>
                <w:kern w:val="2"/>
                <w:sz w:val="32"/>
                <w:szCs w:val="32"/>
              </w:rPr>
              <w:lastRenderedPageBreak/>
              <w:t>24</w:t>
            </w:r>
            <w:r>
              <w:rPr>
                <w:rFonts w:ascii="Times New Roman" w:eastAsia="仿宋_GB2312" w:hAnsi="Times New Roman" w:cs="Times New Roman" w:hint="eastAsia"/>
                <w:kern w:val="2"/>
                <w:sz w:val="32"/>
                <w:szCs w:val="32"/>
              </w:rPr>
              <w:t>个月过渡期结束前，根据过渡期实施情况，确定是否延长过渡期。</w:t>
            </w:r>
          </w:p>
          <w:p w:rsidR="009F26E9" w:rsidRDefault="009F26E9" w:rsidP="00983EBE">
            <w:pPr>
              <w:adjustRightInd w:val="0"/>
              <w:snapToGrid w:val="0"/>
              <w:spacing w:line="360" w:lineRule="auto"/>
              <w:ind w:firstLineChars="200" w:firstLine="640"/>
              <w:rPr>
                <w:rFonts w:ascii="Times New Roman" w:eastAsia="仿宋_GB2312" w:hAnsi="Times New Roman"/>
                <w:kern w:val="2"/>
                <w:sz w:val="28"/>
                <w:szCs w:val="28"/>
              </w:rPr>
            </w:pPr>
            <w:r>
              <w:rPr>
                <w:rFonts w:ascii="Times New Roman" w:eastAsia="仿宋_GB2312" w:hAnsi="Times New Roman" w:hint="eastAsia"/>
                <w:sz w:val="32"/>
                <w:szCs w:val="32"/>
              </w:rPr>
              <w:t>三、相关技术指导原则可在国家药品监督管理局药品审评中心网站查询。国家药品监督管理局药品审评中心负责做好本公告实施过程中的相关技术指导工作。</w:t>
            </w:r>
          </w:p>
        </w:tc>
      </w:tr>
    </w:tbl>
    <w:p w:rsidR="009F26E9" w:rsidRDefault="009F26E9" w:rsidP="009F26E9">
      <w:pPr>
        <w:snapToGrid w:val="0"/>
        <w:spacing w:line="360" w:lineRule="auto"/>
        <w:ind w:firstLine="640"/>
        <w:rPr>
          <w:rFonts w:ascii="Times New Roman" w:eastAsia="仿宋_GB2312" w:hAnsi="Times New Roman" w:cs="Times New Roman"/>
          <w:kern w:val="2"/>
          <w:sz w:val="32"/>
          <w:szCs w:val="36"/>
        </w:rPr>
      </w:pPr>
      <w:r>
        <w:rPr>
          <w:rFonts w:ascii="Times New Roman" w:eastAsia="仿宋_GB2312" w:hAnsi="Times New Roman" w:cs="Times New Roman"/>
          <w:sz w:val="32"/>
          <w:szCs w:val="36"/>
        </w:rPr>
        <w:lastRenderedPageBreak/>
        <w:t xml:space="preserve"> </w:t>
      </w:r>
      <w:bookmarkEnd w:id="0"/>
      <w:bookmarkEnd w:id="2"/>
      <w:bookmarkEnd w:id="3"/>
    </w:p>
    <w:p w:rsidR="009F26E9" w:rsidRDefault="009F26E9" w:rsidP="009F26E9">
      <w:pPr>
        <w:spacing w:before="100" w:beforeAutospacing="1" w:after="100" w:afterAutospacing="1" w:line="360" w:lineRule="auto"/>
      </w:pPr>
    </w:p>
    <w:p w:rsidR="009F26E9" w:rsidRDefault="009F26E9" w:rsidP="009F26E9">
      <w:pPr>
        <w:rPr>
          <w:rFonts w:asciiTheme="minorHAnsi" w:eastAsiaTheme="minorEastAsia" w:hAnsiTheme="minorHAnsi" w:cstheme="minorBidi" w:hint="eastAsia"/>
          <w:sz w:val="21"/>
          <w:szCs w:val="22"/>
        </w:rPr>
      </w:pPr>
    </w:p>
    <w:p w:rsidR="009F26E9" w:rsidRPr="00207B4E" w:rsidRDefault="009F26E9" w:rsidP="009F26E9"/>
    <w:p w:rsidR="009F26E9" w:rsidRPr="008E6F59" w:rsidRDefault="009F26E9" w:rsidP="009F26E9"/>
    <w:p w:rsidR="00464043" w:rsidRPr="009F26E9" w:rsidRDefault="00464043"/>
    <w:sectPr w:rsidR="00464043" w:rsidRPr="009F26E9" w:rsidSect="00DF548E">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E9"/>
    <w:rsid w:val="001F3F09"/>
    <w:rsid w:val="00276EE9"/>
    <w:rsid w:val="00327362"/>
    <w:rsid w:val="004531A3"/>
    <w:rsid w:val="00464043"/>
    <w:rsid w:val="004C0DB6"/>
    <w:rsid w:val="005510C7"/>
    <w:rsid w:val="00574945"/>
    <w:rsid w:val="005E6689"/>
    <w:rsid w:val="00657998"/>
    <w:rsid w:val="00660418"/>
    <w:rsid w:val="00815F0C"/>
    <w:rsid w:val="008E2D67"/>
    <w:rsid w:val="0095330C"/>
    <w:rsid w:val="009F26E9"/>
    <w:rsid w:val="00B741C3"/>
    <w:rsid w:val="00C371D2"/>
    <w:rsid w:val="00CC0E2A"/>
    <w:rsid w:val="00DB47C1"/>
    <w:rsid w:val="00EB709D"/>
    <w:rsid w:val="00EF5867"/>
    <w:rsid w:val="00FF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D975C-6CD4-4556-956F-B861E86C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E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F26E9"/>
    <w:pPr>
      <w:spacing w:before="100" w:beforeAutospacing="1" w:after="100" w:afterAutospacing="1"/>
    </w:pPr>
  </w:style>
  <w:style w:type="table" w:styleId="a3">
    <w:name w:val="Table Grid"/>
    <w:basedOn w:val="a1"/>
    <w:uiPriority w:val="39"/>
    <w:rsid w:val="009F26E9"/>
    <w:rPr>
      <w:rFonts w:ascii="Calibri" w:eastAsia="宋体"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361</Characters>
  <Application>Microsoft Office Word</Application>
  <DocSecurity>0</DocSecurity>
  <Lines>3</Lines>
  <Paragraphs>1</Paragraphs>
  <ScaleCrop>false</ScaleCrop>
  <Company>Microsoft</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焦蒙</dc:creator>
  <cp:keywords/>
  <dc:description/>
  <cp:lastModifiedBy>焦蒙</cp:lastModifiedBy>
  <cp:revision>1</cp:revision>
  <dcterms:created xsi:type="dcterms:W3CDTF">2023-04-25T09:26:00Z</dcterms:created>
  <dcterms:modified xsi:type="dcterms:W3CDTF">2023-04-25T09:26:00Z</dcterms:modified>
</cp:coreProperties>
</file>