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jc w:val="left"/>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hint="eastAsia"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关于《深圳市医疗保障定点医药机构</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医疗费用支付办法</w:t>
      </w:r>
      <w:r>
        <w:rPr>
          <w:rFonts w:hint="eastAsia" w:ascii="方正小标宋简体" w:hAnsi="方正小标宋简体" w:eastAsia="方正小标宋简体" w:cs="方正小标宋简体"/>
          <w:color w:val="auto"/>
          <w:sz w:val="44"/>
          <w:szCs w:val="44"/>
          <w:highlight w:val="none"/>
          <w:lang w:val="en-US" w:eastAsia="zh-CN"/>
        </w:rPr>
        <w:t>（征求意见稿）</w:t>
      </w:r>
      <w:r>
        <w:rPr>
          <w:rFonts w:hint="eastAsia" w:ascii="方正小标宋_GBK" w:hAnsi="方正小标宋_GBK" w:eastAsia="方正小标宋_GBK" w:cs="方正小标宋_GBK"/>
          <w:sz w:val="44"/>
          <w:szCs w:val="44"/>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的修订说明</w:t>
      </w:r>
    </w:p>
    <w:p>
      <w:pPr>
        <w:keepNext w:val="0"/>
        <w:keepLines w:val="0"/>
        <w:pageBreakBefore w:val="0"/>
        <w:widowControl w:val="0"/>
        <w:kinsoku/>
        <w:wordWrap/>
        <w:overflowPunct/>
        <w:topLinePunct w:val="0"/>
        <w:autoSpaceDE/>
        <w:autoSpaceDN/>
        <w:bidi w:val="0"/>
        <w:adjustRightInd/>
        <w:snapToGrid w:val="0"/>
        <w:spacing w:line="560" w:lineRule="exact"/>
        <w:ind w:left="0"/>
        <w:textAlignment w:val="auto"/>
        <w:outlineLvl w:val="9"/>
        <w:rPr>
          <w:rFonts w:ascii="方正小标宋_GBK" w:hAnsi="方正小标宋_GBK" w:eastAsia="方正小标宋_GBK" w:cs="方正小标宋_GBK"/>
          <w:sz w:val="32"/>
          <w:szCs w:val="32"/>
          <w:highlight w:val="none"/>
        </w:rPr>
      </w:pP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0" w:firstLineChars="200"/>
        <w:textAlignment w:val="auto"/>
        <w:outlineLvl w:val="9"/>
        <w:rPr>
          <w:rFonts w:ascii="Times New Roman" w:hAnsi="Times New Roman" w:eastAsia="仿宋_GB2312" w:cs="仿宋_GB2312"/>
          <w:sz w:val="32"/>
          <w:szCs w:val="32"/>
          <w:highlight w:val="none"/>
        </w:rPr>
      </w:pPr>
      <w:r>
        <w:rPr>
          <w:rFonts w:hint="eastAsia" w:ascii="仿宋_GB2312" w:hAnsi="仿宋" w:eastAsia="仿宋_GB2312"/>
          <w:sz w:val="32"/>
          <w:szCs w:val="32"/>
          <w:highlight w:val="none"/>
        </w:rPr>
        <w:t>为适应医疗保障</w:t>
      </w:r>
      <w:r>
        <w:rPr>
          <w:rFonts w:hint="eastAsia" w:ascii="仿宋_GB2312" w:hAnsi="仿宋" w:eastAsia="仿宋_GB2312"/>
          <w:sz w:val="32"/>
          <w:szCs w:val="32"/>
          <w:highlight w:val="none"/>
          <w:lang w:eastAsia="zh-CN"/>
        </w:rPr>
        <w:t>工作</w:t>
      </w:r>
      <w:r>
        <w:rPr>
          <w:rFonts w:hint="eastAsia" w:ascii="仿宋_GB2312" w:hAnsi="仿宋" w:eastAsia="仿宋_GB2312"/>
          <w:sz w:val="32"/>
          <w:szCs w:val="32"/>
          <w:highlight w:val="none"/>
        </w:rPr>
        <w:t>新形势新要求，</w:t>
      </w:r>
      <w:r>
        <w:rPr>
          <w:rFonts w:hint="eastAsia" w:ascii="仿宋_GB2312" w:hAnsi="仿宋" w:eastAsia="仿宋_GB2312"/>
          <w:sz w:val="32"/>
          <w:szCs w:val="32"/>
          <w:highlight w:val="none"/>
          <w:lang w:eastAsia="zh-CN"/>
        </w:rPr>
        <w:t>持续优化医保支付方式，建立管用高效的医保支付机制</w:t>
      </w:r>
      <w:r>
        <w:rPr>
          <w:rFonts w:hint="eastAsia" w:ascii="仿宋_GB2312" w:hAnsi="仿宋" w:eastAsia="仿宋_GB2312"/>
          <w:sz w:val="32"/>
          <w:szCs w:val="32"/>
          <w:highlight w:val="none"/>
        </w:rPr>
        <w:t>，</w:t>
      </w:r>
      <w:r>
        <w:rPr>
          <w:rFonts w:hint="eastAsia" w:ascii="Times New Roman" w:hAnsi="Times New Roman" w:eastAsia="仿宋_GB2312" w:cs="仿宋_GB2312"/>
          <w:sz w:val="32"/>
          <w:szCs w:val="32"/>
          <w:highlight w:val="none"/>
          <w:lang w:eastAsia="zh-CN"/>
        </w:rPr>
        <w:t>在</w:t>
      </w:r>
      <w:r>
        <w:rPr>
          <w:rFonts w:hint="eastAsia" w:ascii="Times New Roman" w:hAnsi="Times New Roman" w:eastAsia="仿宋_GB2312" w:cs="仿宋_GB2312"/>
          <w:sz w:val="32"/>
          <w:szCs w:val="32"/>
          <w:highlight w:val="none"/>
        </w:rPr>
        <w:t>分析研究并广泛听取意见的基础上，结合我市</w:t>
      </w:r>
      <w:r>
        <w:rPr>
          <w:rFonts w:hint="eastAsia" w:ascii="仿宋_GB2312" w:hAnsi="仿宋_GB2312" w:eastAsia="仿宋_GB2312" w:cs="仿宋_GB2312"/>
          <w:sz w:val="32"/>
          <w:szCs w:val="32"/>
          <w:highlight w:val="none"/>
          <w:lang w:val="en-US" w:eastAsia="zh-CN"/>
        </w:rPr>
        <w:t>支付方式改革</w:t>
      </w:r>
      <w:r>
        <w:rPr>
          <w:rFonts w:hint="eastAsia" w:ascii="Times New Roman" w:hAnsi="Times New Roman" w:eastAsia="仿宋_GB2312" w:cs="仿宋_GB2312"/>
          <w:sz w:val="32"/>
          <w:szCs w:val="32"/>
          <w:highlight w:val="none"/>
        </w:rPr>
        <w:t>实际，</w:t>
      </w:r>
      <w:r>
        <w:rPr>
          <w:rFonts w:hint="eastAsia" w:ascii="Times New Roman" w:hAnsi="Times New Roman" w:eastAsia="仿宋_GB2312" w:cs="仿宋_GB2312"/>
          <w:sz w:val="32"/>
          <w:szCs w:val="32"/>
          <w:highlight w:val="none"/>
          <w:lang w:val="en-US" w:eastAsia="zh-CN"/>
        </w:rPr>
        <w:t>修订</w:t>
      </w:r>
      <w:r>
        <w:rPr>
          <w:rFonts w:hint="eastAsia" w:ascii="Times New Roman" w:hAnsi="Times New Roman" w:eastAsia="仿宋_GB2312" w:cs="仿宋_GB2312"/>
          <w:sz w:val="32"/>
          <w:szCs w:val="32"/>
          <w:highlight w:val="none"/>
        </w:rPr>
        <w:t>了《深圳市</w:t>
      </w:r>
      <w:r>
        <w:rPr>
          <w:rFonts w:hint="eastAsia" w:ascii="Times New Roman" w:hAnsi="Times New Roman" w:eastAsia="仿宋_GB2312" w:cs="仿宋_GB2312"/>
          <w:sz w:val="32"/>
          <w:szCs w:val="32"/>
          <w:highlight w:val="none"/>
          <w:lang w:val="en-US" w:eastAsia="zh-CN"/>
        </w:rPr>
        <w:t>医疗保障</w:t>
      </w:r>
      <w:r>
        <w:rPr>
          <w:rFonts w:hint="eastAsia" w:ascii="Times New Roman" w:hAnsi="Times New Roman" w:eastAsia="仿宋_GB2312" w:cs="仿宋_GB2312"/>
          <w:sz w:val="32"/>
          <w:szCs w:val="32"/>
          <w:highlight w:val="none"/>
        </w:rPr>
        <w:t>定点医药机构医疗费用支付办法</w:t>
      </w:r>
      <w:r>
        <w:rPr>
          <w:rFonts w:hint="eastAsia" w:ascii="Times New Roman" w:hAnsi="Times New Roman" w:eastAsia="仿宋_GB2312" w:cs="仿宋_GB2312"/>
          <w:sz w:val="32"/>
          <w:szCs w:val="32"/>
          <w:highlight w:val="none"/>
          <w:lang w:eastAsia="zh-CN"/>
        </w:rPr>
        <w:t>（征求意见稿）</w:t>
      </w:r>
      <w:r>
        <w:rPr>
          <w:rFonts w:hint="eastAsia" w:ascii="Times New Roman" w:hAnsi="Times New Roman" w:eastAsia="仿宋_GB2312" w:cs="仿宋_GB2312"/>
          <w:sz w:val="32"/>
          <w:szCs w:val="32"/>
          <w:highlight w:val="none"/>
        </w:rPr>
        <w:t>》（以下简称《支付办法》），现将有关情况说明如下：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修订背景及必要性</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rPr>
        <w:t>（一）落实上级文件精神需要。</w:t>
      </w: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72"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Times New Roman" w:hAnsi="Times New Roman" w:eastAsia="仿宋_GB2312" w:cs="仿宋_GB2312"/>
          <w:w w:val="105"/>
          <w:kern w:val="2"/>
          <w:sz w:val="32"/>
          <w:szCs w:val="32"/>
          <w:highlight w:val="none"/>
          <w:lang w:val="en-US" w:eastAsia="zh-CN"/>
        </w:rPr>
        <w:t>《</w:t>
      </w:r>
      <w:r>
        <w:rPr>
          <w:rFonts w:hint="eastAsia" w:ascii="仿宋_GB2312" w:hAnsi="宋体" w:eastAsia="仿宋_GB2312"/>
          <w:sz w:val="32"/>
          <w:szCs w:val="32"/>
          <w:highlight w:val="none"/>
          <w:lang w:val="en-US" w:eastAsia="zh-CN"/>
        </w:rPr>
        <w:t>中</w:t>
      </w:r>
      <w:r>
        <w:rPr>
          <w:rFonts w:hint="eastAsia" w:ascii="Times New Roman" w:hAnsi="Times New Roman" w:eastAsia="仿宋_GB2312" w:cs="仿宋_GB2312"/>
          <w:w w:val="105"/>
          <w:kern w:val="2"/>
          <w:sz w:val="32"/>
          <w:szCs w:val="32"/>
          <w:highlight w:val="none"/>
          <w:lang w:val="en-US" w:eastAsia="zh-CN"/>
        </w:rPr>
        <w:t>共中央、国务院关于深化医疗保障制度改革的意见》（</w:t>
      </w:r>
      <w:r>
        <w:rPr>
          <w:rFonts w:hint="eastAsia" w:ascii="仿宋_GB2312" w:hAnsi="仿宋_GB2312" w:eastAsia="仿宋_GB2312" w:cs="仿宋_GB2312"/>
          <w:sz w:val="32"/>
          <w:szCs w:val="32"/>
          <w:highlight w:val="none"/>
        </w:rPr>
        <w:t>中发〔2020〕5号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下称“中发5号文”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SA"/>
        </w:rPr>
        <w:t>提出“建立管用高效的医保支付机制，持续推进医保支付方式改革”对医保支付方式改革主要任务做出了总体规划。我市支付方式改革按照</w:t>
      </w:r>
      <w:r>
        <w:rPr>
          <w:rFonts w:hint="eastAsia" w:ascii="仿宋_GB2312" w:hAnsi="仿宋_GB2312" w:eastAsia="仿宋_GB2312" w:cs="仿宋_GB2312"/>
          <w:sz w:val="32"/>
          <w:szCs w:val="32"/>
          <w:highlight w:val="none"/>
          <w:lang w:val="en-US" w:eastAsia="zh-CN"/>
        </w:rPr>
        <w:t>国家规划的</w:t>
      </w:r>
      <w:r>
        <w:rPr>
          <w:rFonts w:hint="eastAsia" w:ascii="仿宋_GB2312" w:hAnsi="仿宋_GB2312" w:eastAsia="仿宋_GB2312" w:cs="仿宋_GB2312"/>
          <w:kern w:val="2"/>
          <w:sz w:val="32"/>
          <w:szCs w:val="32"/>
          <w:highlight w:val="none"/>
          <w:lang w:val="en-US" w:eastAsia="zh-CN" w:bidi="ar-SA"/>
        </w:rPr>
        <w:t>路径</w:t>
      </w:r>
      <w:r>
        <w:rPr>
          <w:rFonts w:hint="eastAsia" w:ascii="仿宋_GB2312" w:hAnsi="仿宋_GB2312" w:eastAsia="仿宋_GB2312" w:cs="仿宋_GB2312"/>
          <w:sz w:val="32"/>
          <w:szCs w:val="32"/>
          <w:highlight w:val="none"/>
          <w:lang w:val="en-US" w:eastAsia="zh-CN"/>
        </w:rPr>
        <w:t>，结合深圳实际</w:t>
      </w:r>
      <w:r>
        <w:rPr>
          <w:rFonts w:hint="eastAsia" w:ascii="仿宋_GB2312" w:hAnsi="仿宋_GB2312" w:eastAsia="仿宋_GB2312" w:cs="仿宋_GB2312"/>
          <w:kern w:val="2"/>
          <w:sz w:val="32"/>
          <w:szCs w:val="32"/>
          <w:highlight w:val="none"/>
          <w:lang w:val="en-US" w:eastAsia="zh-CN" w:bidi="ar-SA"/>
        </w:rPr>
        <w:t>稳步推进，相关政策制度也应随着改革的深入逐步完善。</w:t>
      </w:r>
      <w:r>
        <w:rPr>
          <w:rFonts w:hint="eastAsia" w:ascii="仿宋_GB2312" w:hAnsi="仿宋_GB2312" w:eastAsia="仿宋_GB2312" w:cs="仿宋_GB2312"/>
          <w:sz w:val="32"/>
          <w:szCs w:val="32"/>
          <w:highlight w:val="none"/>
        </w:rPr>
        <w:t>中发5号文</w:t>
      </w:r>
      <w:r>
        <w:rPr>
          <w:rFonts w:hint="eastAsia" w:ascii="仿宋_GB2312" w:hAnsi="仿宋_GB2312" w:eastAsia="仿宋_GB2312" w:cs="仿宋_GB2312"/>
          <w:sz w:val="32"/>
          <w:szCs w:val="32"/>
          <w:highlight w:val="none"/>
          <w:lang w:val="en-US" w:eastAsia="zh-CN"/>
        </w:rPr>
        <w:t>印发</w:t>
      </w:r>
      <w:r>
        <w:rPr>
          <w:rFonts w:hint="eastAsia" w:ascii="仿宋_GB2312" w:hAnsi="仿宋_GB2312" w:eastAsia="仿宋_GB2312" w:cs="仿宋_GB2312"/>
          <w:kern w:val="2"/>
          <w:sz w:val="32"/>
          <w:szCs w:val="32"/>
          <w:highlight w:val="none"/>
          <w:lang w:val="en-US" w:eastAsia="zh-CN" w:bidi="ar-SA"/>
        </w:rPr>
        <w:t>以来，国家、省相继出台了一系列涉及支付方式改革的重要文件，如（</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国家医疗保障按病种分值付费（DIP）技术规范</w:t>
      </w:r>
      <w:r>
        <w:rPr>
          <w:rFonts w:hint="eastAsia" w:ascii="仿宋_GB2312" w:hAnsi="仿宋_GB2312" w:eastAsia="仿宋_GB2312" w:cs="仿宋_GB2312"/>
          <w:sz w:val="32"/>
          <w:szCs w:val="32"/>
          <w:highlight w:val="none"/>
          <w:lang w:val="en-US" w:eastAsia="zh-CN"/>
        </w:rPr>
        <w:t>》详细规定</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lang w:val="en-US" w:eastAsia="zh-CN"/>
        </w:rPr>
        <w:t>DIP的目录策略、病种分值形成、分值付费标准等</w:t>
      </w:r>
      <w:r>
        <w:rPr>
          <w:rFonts w:hint="eastAsia" w:ascii="仿宋_GB2312" w:hAnsi="仿宋_GB2312" w:eastAsia="仿宋_GB2312" w:cs="仿宋_GB2312"/>
          <w:kern w:val="2"/>
          <w:sz w:val="32"/>
          <w:szCs w:val="32"/>
          <w:highlight w:val="none"/>
          <w:lang w:val="en-US" w:eastAsia="zh-CN" w:bidi="ar-SA"/>
        </w:rPr>
        <w:t>；国家和省《按病种分值付费（DIP）医疗保障经办管理规程（试行）》明确了</w:t>
      </w:r>
      <w:r>
        <w:rPr>
          <w:rFonts w:hint="eastAsia" w:ascii="仿宋_GB2312" w:hAnsi="仿宋_GB2312" w:eastAsia="仿宋_GB2312" w:cs="仿宋_GB2312"/>
          <w:sz w:val="32"/>
          <w:szCs w:val="32"/>
          <w:highlight w:val="none"/>
          <w:lang w:val="en-US" w:eastAsia="zh-CN"/>
        </w:rPr>
        <w:t>DIP付费方式在预算管理、病种确定、审核结算、考核评价、协议谈判等的具体要求；《DRG/DIP支付方式改革三年行动计划》，要求2022到2024年，全面完成DRG/DIP付费方式改革任务，推动医保高质量发展</w:t>
      </w:r>
      <w:r>
        <w:rPr>
          <w:rFonts w:hint="eastAsia" w:ascii="仿宋_GB2312" w:hAnsi="仿宋_GB2312" w:eastAsia="仿宋_GB2312" w:cs="仿宋_GB2312"/>
          <w:kern w:val="2"/>
          <w:sz w:val="32"/>
          <w:szCs w:val="32"/>
          <w:highlight w:val="none"/>
          <w:lang w:val="en-US" w:eastAsia="zh-CN" w:bidi="ar-SA"/>
        </w:rPr>
        <w:t>），部分原有政策条款已不适用，需要予以调整以符合最新文件精神。</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eastAsia" w:ascii="楷体_GB2312" w:hAnsi="楷体_GB2312" w:eastAsia="楷体_GB2312" w:cs="楷体_GB2312"/>
          <w:b/>
          <w:bCs/>
          <w:kern w:val="0"/>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rPr>
        <w:t>（二）推进门诊统筹协同改革需要。</w:t>
      </w: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广东省人民政府办公厅关于印发广东省职工基本医疗保险门诊共济保障实施办法的通知》（粤府办〔2021〕56号）等文件要求，我市于2022年12月1日起落地实施，在现有基本医疗保险一档门诊待遇保持不变的基础上，对参保人发生的普通门诊费用通过统筹基金给予保障。为适应我市门诊统筹政策，需同步开展门诊支付方式改革。</w:t>
      </w: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rPr>
        <w:t>（三）解决现实问题需要。</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《支付办法》实施2年多以来，</w:t>
      </w:r>
      <w:r>
        <w:rPr>
          <w:rFonts w:hint="default" w:ascii="仿宋_GB2312" w:hAnsi="仿宋_GB2312" w:eastAsia="仿宋_GB2312" w:cs="仿宋_GB2312"/>
          <w:sz w:val="32"/>
          <w:szCs w:val="32"/>
          <w:highlight w:val="none"/>
          <w:lang w:val="en-US" w:eastAsia="zh-CN"/>
        </w:rPr>
        <w:t>也</w:t>
      </w:r>
      <w:r>
        <w:rPr>
          <w:rFonts w:hint="eastAsia" w:ascii="仿宋_GB2312" w:hAnsi="仿宋_GB2312" w:eastAsia="仿宋_GB2312" w:cs="仿宋_GB2312"/>
          <w:sz w:val="32"/>
          <w:szCs w:val="32"/>
          <w:highlight w:val="none"/>
          <w:lang w:val="en-US" w:eastAsia="zh-CN"/>
        </w:rPr>
        <w:t>发现存在一些问题，需要修改完善：</w:t>
      </w:r>
      <w:r>
        <w:rPr>
          <w:rFonts w:hint="eastAsia" w:eastAsia="仿宋_GB2312" w:cs="仿宋_GB2312"/>
          <w:bCs w:val="0"/>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年度可分配总额管理与年度基金支出预算脱钩，且缺乏调整机制，未考虑疫情及重大政策调整需要。二</w:t>
      </w:r>
      <w:r>
        <w:rPr>
          <w:rFonts w:hint="eastAsia" w:eastAsia="仿宋_GB2312" w:cs="仿宋_GB2312"/>
          <w:b/>
          <w:bCs/>
          <w:sz w:val="32"/>
          <w:szCs w:val="32"/>
          <w:highlight w:val="none"/>
          <w:lang w:eastAsia="zh-CN"/>
        </w:rPr>
        <w:t>是</w:t>
      </w:r>
      <w:r>
        <w:rPr>
          <w:rFonts w:hint="eastAsia" w:eastAsia="仿宋_GB2312" w:cs="仿宋_GB2312" w:asciiTheme="minorHAnsi" w:hAnsiTheme="minorHAnsi"/>
          <w:bCs w:val="0"/>
          <w:sz w:val="32"/>
          <w:szCs w:val="32"/>
          <w:highlight w:val="none"/>
          <w:lang w:val="en-US" w:eastAsia="zh-CN"/>
        </w:rPr>
        <w:t>原来部分医疗机构</w:t>
      </w:r>
      <w:r>
        <w:rPr>
          <w:rFonts w:hint="eastAsia" w:eastAsia="仿宋_GB2312" w:cs="仿宋_GB2312"/>
          <w:bCs w:val="0"/>
          <w:sz w:val="32"/>
          <w:szCs w:val="32"/>
          <w:highlight w:val="none"/>
          <w:lang w:val="en-US" w:eastAsia="zh-CN"/>
        </w:rPr>
        <w:t>开展</w:t>
      </w:r>
      <w:r>
        <w:rPr>
          <w:rFonts w:hint="eastAsia" w:ascii="仿宋_GB2312" w:hAnsi="仿宋_GB2312" w:eastAsia="仿宋_GB2312" w:cs="仿宋_GB2312"/>
          <w:bCs w:val="0"/>
          <w:sz w:val="32"/>
          <w:szCs w:val="32"/>
          <w:highlight w:val="none"/>
          <w:lang w:val="en-US" w:eastAsia="zh-CN"/>
        </w:rPr>
        <w:t>的C-DRG试点不符合国家医保局改</w:t>
      </w:r>
      <w:r>
        <w:rPr>
          <w:rFonts w:hint="eastAsia" w:ascii="仿宋_GB2312" w:hAnsi="仿宋_GB2312" w:eastAsia="仿宋_GB2312" w:cs="仿宋_GB2312"/>
          <w:b w:val="0"/>
          <w:bCs w:val="0"/>
          <w:sz w:val="32"/>
          <w:szCs w:val="32"/>
          <w:highlight w:val="none"/>
          <w:lang w:val="en-US" w:eastAsia="zh-CN"/>
        </w:rPr>
        <w:t>革方向，需要予以统一规范。</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kern w:val="2"/>
          <w:sz w:val="32"/>
          <w:szCs w:val="32"/>
          <w:highlight w:val="none"/>
          <w:lang w:val="en-US" w:eastAsia="zh-CN" w:bidi="ar-SA"/>
        </w:rPr>
        <w:t>是</w:t>
      </w:r>
      <w:r>
        <w:rPr>
          <w:rFonts w:hint="eastAsia" w:ascii="仿宋_GB2312" w:hAnsi="仿宋_GB2312" w:eastAsia="仿宋_GB2312" w:cs="仿宋_GB2312"/>
          <w:b w:val="0"/>
          <w:bCs w:val="0"/>
          <w:kern w:val="2"/>
          <w:sz w:val="32"/>
          <w:szCs w:val="32"/>
          <w:highlight w:val="none"/>
          <w:lang w:val="en-US" w:eastAsia="zh-CN" w:bidi="ar-SA"/>
        </w:rPr>
        <w:t>预付款管理机制不够完善，存在一定基金风险。</w:t>
      </w:r>
      <w:r>
        <w:rPr>
          <w:rFonts w:hint="eastAsia" w:ascii="仿宋_GB2312" w:hAnsi="仿宋_GB2312" w:eastAsia="仿宋_GB2312" w:cs="仿宋_GB2312"/>
          <w:b/>
          <w:bCs/>
          <w:kern w:val="2"/>
          <w:sz w:val="32"/>
          <w:szCs w:val="32"/>
          <w:highlight w:val="none"/>
          <w:lang w:val="en-US" w:eastAsia="zh-CN" w:bidi="ar-SA"/>
        </w:rPr>
        <w:t>四是</w:t>
      </w:r>
      <w:r>
        <w:rPr>
          <w:rFonts w:hint="eastAsia" w:ascii="仿宋_GB2312" w:hAnsi="仿宋_GB2312" w:eastAsia="仿宋_GB2312" w:cs="仿宋_GB2312"/>
          <w:b w:val="0"/>
          <w:bCs w:val="0"/>
          <w:kern w:val="2"/>
          <w:sz w:val="32"/>
          <w:szCs w:val="32"/>
          <w:highlight w:val="none"/>
          <w:lang w:val="en-US" w:eastAsia="zh-CN" w:bidi="ar-SA"/>
        </w:rPr>
        <w:t>月度结算方式以月预结算费用为基数按一定比例拨付，存在多拨付追款难问题。</w:t>
      </w:r>
      <w:r>
        <w:rPr>
          <w:rFonts w:hint="eastAsia" w:ascii="仿宋_GB2312" w:hAnsi="仿宋_GB2312" w:eastAsia="仿宋_GB2312" w:cs="仿宋_GB2312"/>
          <w:b/>
          <w:bCs/>
          <w:kern w:val="2"/>
          <w:sz w:val="32"/>
          <w:szCs w:val="32"/>
          <w:highlight w:val="none"/>
          <w:lang w:val="en-US" w:eastAsia="zh-CN" w:bidi="ar-SA"/>
        </w:rPr>
        <w:t>五</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sz w:val="32"/>
          <w:szCs w:val="32"/>
          <w:highlight w:val="none"/>
          <w:lang w:val="en-US" w:eastAsia="zh-CN"/>
        </w:rPr>
        <w:t>经办机构与定点</w:t>
      </w:r>
      <w:r>
        <w:rPr>
          <w:rFonts w:hint="eastAsia" w:ascii="仿宋_GB2312" w:hAnsi="仿宋_GB2312" w:eastAsia="仿宋_GB2312" w:cs="仿宋_GB2312"/>
          <w:sz w:val="32"/>
          <w:szCs w:val="32"/>
          <w:highlight w:val="none"/>
        </w:rPr>
        <w:t>医疗机构之间协商谈判机制</w:t>
      </w:r>
      <w:r>
        <w:rPr>
          <w:rFonts w:hint="eastAsia" w:ascii="仿宋_GB2312" w:hAnsi="仿宋_GB2312" w:eastAsia="仿宋_GB2312" w:cs="仿宋_GB2312"/>
          <w:sz w:val="32"/>
          <w:szCs w:val="32"/>
          <w:highlight w:val="none"/>
          <w:lang w:eastAsia="zh-CN"/>
        </w:rPr>
        <w:t>和争议处理机制不够完善</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因此</w:t>
      </w:r>
      <w:r>
        <w:rPr>
          <w:rFonts w:hint="eastAsia" w:ascii="仿宋_GB2312" w:hAnsi="仿宋_GB2312" w:eastAsia="仿宋_GB2312" w:cs="仿宋_GB2312"/>
          <w:sz w:val="32"/>
          <w:szCs w:val="32"/>
          <w:highlight w:val="none"/>
          <w:lang w:val="en-US" w:eastAsia="zh-CN"/>
        </w:rPr>
        <w:t>，有必要通过《支付办法》对部分做法进行优化、明确。</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、主要内容</w:t>
      </w:r>
      <w:r>
        <w:rPr>
          <w:rFonts w:hint="eastAsia" w:ascii="黑体" w:hAnsi="黑体" w:eastAsia="黑体" w:cs="黑体"/>
          <w:sz w:val="32"/>
          <w:szCs w:val="32"/>
          <w:highlight w:val="none"/>
          <w:lang w:eastAsia="zh-CN"/>
        </w:rPr>
        <w:t>及</w:t>
      </w:r>
      <w:r>
        <w:rPr>
          <w:rFonts w:hint="eastAsia" w:ascii="黑体" w:hAnsi="黑体" w:eastAsia="黑体" w:cs="黑体"/>
          <w:sz w:val="32"/>
          <w:szCs w:val="32"/>
          <w:highlight w:val="none"/>
          <w:lang w:val="en-US" w:eastAsia="zh-CN"/>
        </w:rPr>
        <w:t>修改点</w:t>
      </w: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lang w:val="en-US" w:eastAsia="zh-CN"/>
        </w:rPr>
        <w:t>《支付办法》（征求意见稿）共分为6章22条，</w:t>
      </w:r>
      <w:r>
        <w:rPr>
          <w:rFonts w:hint="eastAsia" w:ascii="仿宋_GB2312" w:hAnsi="仿宋_GB2312" w:eastAsia="仿宋_GB2312" w:cs="仿宋_GB2312"/>
          <w:b/>
          <w:bCs/>
          <w:sz w:val="32"/>
          <w:szCs w:val="32"/>
          <w:lang w:val="en-US" w:eastAsia="zh-CN"/>
        </w:rPr>
        <w:t>第一章为总则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明确</w:t>
      </w:r>
      <w:r>
        <w:rPr>
          <w:rFonts w:hint="eastAsia" w:ascii="仿宋_GB2312" w:hAnsi="仿宋_GB2312" w:eastAsia="仿宋_GB2312" w:cs="仿宋_GB2312"/>
          <w:b w:val="0"/>
          <w:bCs w:val="0"/>
          <w:color w:val="auto"/>
          <w:sz w:val="32"/>
          <w:szCs w:val="32"/>
          <w:highlight w:val="none"/>
        </w:rPr>
        <w:t>目的依据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适用范围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总体原则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支付制度框架、</w:t>
      </w:r>
      <w:r>
        <w:rPr>
          <w:rFonts w:hint="eastAsia" w:ascii="仿宋_GB2312" w:hAnsi="仿宋_GB2312" w:eastAsia="仿宋_GB2312" w:cs="仿宋_GB2312"/>
          <w:b w:val="0"/>
          <w:bCs w:val="0"/>
          <w:color w:val="auto"/>
          <w:sz w:val="32"/>
          <w:szCs w:val="32"/>
          <w:highlight w:val="none"/>
        </w:rPr>
        <w:t>职责划分</w:t>
      </w:r>
      <w:r>
        <w:rPr>
          <w:rFonts w:hint="eastAsia" w:ascii="仿宋_GB2312" w:hAnsi="仿宋_GB2312" w:eastAsia="仿宋_GB2312" w:cs="仿宋_GB2312"/>
          <w:b w:val="0"/>
          <w:bCs w:val="0"/>
          <w:color w:val="auto"/>
          <w:sz w:val="32"/>
          <w:szCs w:val="32"/>
          <w:highlight w:val="none"/>
          <w:lang w:val="en-US" w:eastAsia="zh-CN"/>
        </w:rPr>
        <w:t>等内容</w:t>
      </w:r>
      <w:r>
        <w:rPr>
          <w:rFonts w:hint="eastAsia" w:ascii="仿宋_GB2312" w:hAnsi="仿宋_GB2312" w:eastAsia="仿宋_GB2312" w:cs="仿宋_GB2312"/>
          <w:b/>
          <w:color w:val="auto"/>
          <w:sz w:val="32"/>
          <w:szCs w:val="32"/>
          <w:highlight w:val="none"/>
          <w:lang w:val="en-US" w:eastAsia="zh-CN"/>
        </w:rPr>
        <w:t>。第二章为总额预算管理，</w:t>
      </w:r>
      <w:r>
        <w:rPr>
          <w:rFonts w:hint="eastAsia" w:ascii="仿宋_GB2312" w:hAnsi="仿宋_GB2312" w:eastAsia="仿宋_GB2312" w:cs="仿宋_GB2312"/>
          <w:b w:val="0"/>
          <w:bCs/>
          <w:color w:val="auto"/>
          <w:sz w:val="32"/>
          <w:szCs w:val="32"/>
          <w:highlight w:val="none"/>
          <w:lang w:val="en-US" w:eastAsia="zh-CN"/>
        </w:rPr>
        <w:t>将基金支出预算和年度可分配总额做好衔接。</w:t>
      </w:r>
      <w:r>
        <w:rPr>
          <w:rFonts w:hint="eastAsia" w:ascii="仿宋_GB2312" w:hAnsi="仿宋_GB2312" w:eastAsia="仿宋_GB2312" w:cs="仿宋_GB2312"/>
          <w:b/>
          <w:bCs/>
          <w:sz w:val="32"/>
          <w:szCs w:val="32"/>
          <w:highlight w:val="none"/>
          <w:lang w:val="en-US" w:eastAsia="zh-CN"/>
        </w:rPr>
        <w:t>第三章为总额预算下的支付方式</w:t>
      </w:r>
      <w:r>
        <w:rPr>
          <w:rFonts w:hint="eastAsia" w:ascii="仿宋_GB2312" w:hAnsi="仿宋_GB2312" w:eastAsia="仿宋_GB2312" w:cs="仿宋_GB2312"/>
          <w:sz w:val="32"/>
          <w:szCs w:val="32"/>
          <w:highlight w:val="none"/>
          <w:lang w:val="en-US" w:eastAsia="zh-CN"/>
        </w:rPr>
        <w:t>，明确住院支付、门诊支付、</w:t>
      </w:r>
      <w:r>
        <w:rPr>
          <w:rFonts w:hint="eastAsia" w:ascii="仿宋_GB2312" w:hAnsi="仿宋_GB2312" w:eastAsia="仿宋_GB2312" w:cs="仿宋_GB2312"/>
          <w:b w:val="0"/>
          <w:bCs/>
          <w:color w:val="auto"/>
          <w:sz w:val="32"/>
          <w:szCs w:val="32"/>
          <w:highlight w:val="none"/>
          <w:lang w:val="en-US" w:eastAsia="zh-CN"/>
        </w:rPr>
        <w:t>医疗集团总额付费、</w:t>
      </w:r>
      <w:r>
        <w:rPr>
          <w:rFonts w:hint="eastAsia" w:ascii="仿宋_GB2312" w:hAnsi="仿宋_GB2312" w:eastAsia="仿宋_GB2312" w:cs="仿宋_GB2312"/>
          <w:b w:val="0"/>
          <w:bCs/>
          <w:color w:val="auto"/>
          <w:sz w:val="32"/>
          <w:szCs w:val="32"/>
          <w:highlight w:val="none"/>
          <w:lang w:eastAsia="zh-CN"/>
        </w:rPr>
        <w:t>考核评价</w:t>
      </w:r>
      <w:r>
        <w:rPr>
          <w:rFonts w:hint="eastAsia" w:ascii="仿宋_GB2312" w:hAnsi="仿宋_GB2312" w:eastAsia="仿宋_GB2312" w:cs="仿宋_GB2312"/>
          <w:b w:val="0"/>
          <w:bCs/>
          <w:color w:val="auto"/>
          <w:sz w:val="32"/>
          <w:szCs w:val="32"/>
          <w:highlight w:val="none"/>
          <w:lang w:val="en-US" w:eastAsia="zh-CN"/>
        </w:rPr>
        <w:t>等内容。</w:t>
      </w:r>
      <w:r>
        <w:rPr>
          <w:rFonts w:hint="eastAsia" w:ascii="仿宋_GB2312" w:hAnsi="仿宋_GB2312" w:eastAsia="仿宋_GB2312" w:cs="仿宋_GB2312"/>
          <w:b/>
          <w:bCs w:val="0"/>
          <w:sz w:val="32"/>
          <w:szCs w:val="32"/>
          <w:lang w:val="en-US" w:eastAsia="zh-CN"/>
        </w:rPr>
        <w:t>第四章为费用结算</w:t>
      </w:r>
      <w:r>
        <w:rPr>
          <w:rFonts w:hint="eastAsia" w:ascii="仿宋_GB2312" w:hAnsi="仿宋_GB2312" w:eastAsia="仿宋_GB2312" w:cs="仿宋_GB2312"/>
          <w:bCs/>
          <w:sz w:val="32"/>
          <w:szCs w:val="32"/>
          <w:lang w:val="en-US" w:eastAsia="zh-CN"/>
        </w:rPr>
        <w:t>，明确年初预付、按月结算、年终清算流程及时限等相关经办层面内容。</w:t>
      </w:r>
      <w:r>
        <w:rPr>
          <w:rFonts w:hint="eastAsia" w:ascii="仿宋_GB2312" w:hAnsi="仿宋_GB2312" w:eastAsia="仿宋_GB2312" w:cs="仿宋_GB2312"/>
          <w:b/>
          <w:bCs w:val="0"/>
          <w:sz w:val="32"/>
          <w:szCs w:val="32"/>
          <w:lang w:val="en-US" w:eastAsia="zh-CN"/>
        </w:rPr>
        <w:t>第五章为</w:t>
      </w:r>
      <w:r>
        <w:rPr>
          <w:rFonts w:hint="eastAsia" w:ascii="仿宋_GB2312" w:hAnsi="仿宋_GB2312" w:eastAsia="仿宋_GB2312" w:cs="仿宋_GB2312"/>
          <w:b/>
          <w:bCs w:val="0"/>
          <w:sz w:val="32"/>
          <w:szCs w:val="32"/>
          <w:lang w:eastAsia="zh-CN"/>
        </w:rPr>
        <w:t>协商</w:t>
      </w:r>
      <w:r>
        <w:rPr>
          <w:rFonts w:hint="eastAsia" w:ascii="仿宋_GB2312" w:hAnsi="仿宋_GB2312" w:eastAsia="仿宋_GB2312" w:cs="仿宋_GB2312"/>
          <w:b/>
          <w:sz w:val="32"/>
          <w:szCs w:val="32"/>
          <w:lang w:eastAsia="zh-CN"/>
        </w:rPr>
        <w:t>谈判与争议处理，</w:t>
      </w:r>
      <w:r>
        <w:rPr>
          <w:rFonts w:hint="eastAsia" w:ascii="仿宋_GB2312" w:hAnsi="仿宋_GB2312" w:eastAsia="仿宋_GB2312" w:cs="仿宋_GB2312"/>
          <w:bCs/>
          <w:sz w:val="32"/>
          <w:szCs w:val="32"/>
          <w:lang w:val="en-US" w:eastAsia="zh-CN"/>
        </w:rPr>
        <w:t>明确评议组织、协商谈判、调整机制等内容。</w:t>
      </w:r>
      <w:r>
        <w:rPr>
          <w:rFonts w:hint="eastAsia" w:ascii="仿宋_GB2312" w:hAnsi="仿宋_GB2312" w:eastAsia="仿宋_GB2312" w:cs="仿宋_GB2312"/>
          <w:b/>
          <w:bCs w:val="0"/>
          <w:sz w:val="32"/>
          <w:szCs w:val="32"/>
          <w:lang w:val="en-US" w:eastAsia="zh-CN"/>
        </w:rPr>
        <w:t>最后一章为附则</w:t>
      </w:r>
      <w:r>
        <w:rPr>
          <w:rFonts w:hint="eastAsia" w:ascii="仿宋_GB2312" w:hAnsi="仿宋_GB2312" w:eastAsia="仿宋_GB2312" w:cs="仿宋_GB2312"/>
          <w:bCs/>
          <w:sz w:val="32"/>
          <w:szCs w:val="32"/>
          <w:lang w:val="en-US" w:eastAsia="zh-CN"/>
        </w:rPr>
        <w:t>，明确管理要求、违规行为监督、突发事件、兜底条款、实施时间等内容。</w:t>
      </w:r>
    </w:p>
    <w:p>
      <w:pPr>
        <w:pStyle w:val="2"/>
        <w:keepNext w:val="0"/>
        <w:keepLines w:val="0"/>
        <w:pageBreakBefore w:val="0"/>
        <w:widowControl w:val="0"/>
        <w:kinsoku/>
        <w:wordWrap/>
        <w:overflowPunct/>
        <w:topLinePunct w:val="0"/>
        <w:bidi w:val="0"/>
        <w:adjustRightInd/>
        <w:spacing w:line="560" w:lineRule="exact"/>
        <w:ind w:firstLine="64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（一）完善总额预算管理机制。</w:t>
      </w:r>
    </w:p>
    <w:p>
      <w:pPr>
        <w:pStyle w:val="2"/>
        <w:keepNext w:val="0"/>
        <w:keepLines w:val="0"/>
        <w:pageBreakBefore w:val="0"/>
        <w:widowControl/>
        <w:kinsoku/>
        <w:wordWrap/>
        <w:overflowPunct/>
        <w:topLinePunct w:val="0"/>
        <w:bidi w:val="0"/>
        <w:adjustRightInd/>
        <w:spacing w:line="560" w:lineRule="exact"/>
        <w:ind w:left="0" w:firstLine="640" w:firstLineChars="200"/>
        <w:textAlignment w:val="auto"/>
        <w:rPr>
          <w:rFonts w:hint="default" w:eastAsia="仿宋_GB2312" w:cs="仿宋_GB2312"/>
          <w:b/>
          <w:bCs/>
          <w:kern w:val="2"/>
          <w:sz w:val="32"/>
          <w:szCs w:val="32"/>
          <w:highlight w:val="none"/>
          <w:lang w:val="en-US" w:eastAsia="zh-CN"/>
        </w:rPr>
      </w:pPr>
      <w:r>
        <w:rPr>
          <w:rFonts w:hint="eastAsia" w:eastAsia="仿宋_GB2312" w:cs="仿宋_GB2312"/>
          <w:kern w:val="2"/>
          <w:sz w:val="32"/>
          <w:szCs w:val="32"/>
          <w:highlight w:val="none"/>
          <w:lang w:val="en-US" w:eastAsia="zh-CN"/>
        </w:rPr>
        <w:t>落实国家、省DIP经办规程要求。</w:t>
      </w:r>
      <w:r>
        <w:rPr>
          <w:rFonts w:hint="eastAsia" w:eastAsia="仿宋_GB2312" w:cs="仿宋_GB2312"/>
          <w:b/>
          <w:bCs/>
          <w:color w:val="000000"/>
          <w:sz w:val="32"/>
          <w:szCs w:val="32"/>
          <w:highlight w:val="none"/>
          <w:lang w:val="en-US" w:eastAsia="zh-CN"/>
        </w:rPr>
        <w:t>一是将基金支出预算与年度可分配总额有效衔接。</w:t>
      </w:r>
      <w:r>
        <w:rPr>
          <w:rFonts w:hint="eastAsia" w:eastAsia="仿宋_GB2312" w:cs="仿宋_GB2312"/>
          <w:kern w:val="2"/>
          <w:sz w:val="32"/>
          <w:szCs w:val="32"/>
          <w:highlight w:val="none"/>
          <w:lang w:val="en-US" w:eastAsia="zh-CN"/>
        </w:rPr>
        <w:t>年度可分配总额以基金支出预算为依据确定，符合DIP经办规程中年度DIP总额预算以年度住院医保基金预算支出为基础的要求。</w:t>
      </w:r>
      <w:r>
        <w:rPr>
          <w:rFonts w:hint="eastAsia" w:ascii="仿宋_GB2312" w:hAnsi="仿宋_GB2312" w:eastAsia="仿宋_GB2312" w:cs="仿宋_GB2312"/>
          <w:kern w:val="2"/>
          <w:sz w:val="32"/>
          <w:szCs w:val="32"/>
          <w:highlight w:val="none"/>
        </w:rPr>
        <w:t>基金支出预算以上年度基金实际支出为基础</w:t>
      </w:r>
      <w:r>
        <w:rPr>
          <w:rFonts w:hint="eastAsia" w:eastAsia="仿宋_GB2312" w:cs="仿宋_GB2312"/>
          <w:kern w:val="2"/>
          <w:sz w:val="32"/>
          <w:szCs w:val="32"/>
          <w:highlight w:val="none"/>
          <w:lang w:eastAsia="zh-CN"/>
        </w:rPr>
        <w:t>，</w:t>
      </w:r>
      <w:r>
        <w:rPr>
          <w:rFonts w:hint="eastAsia" w:eastAsia="仿宋_GB2312" w:cs="仿宋_GB2312"/>
          <w:kern w:val="2"/>
          <w:sz w:val="32"/>
          <w:szCs w:val="32"/>
          <w:highlight w:val="none"/>
          <w:lang w:val="en-US" w:eastAsia="zh-CN"/>
        </w:rPr>
        <w:t>综合考虑基金收入、参保人群变动、医保政策调整、物价水平等因素，避免了之前总额预算考虑因素较为单一的问题。天津、广州、厦门、杭州、南京等地基金支出总额均以上年度（或前三年）</w:t>
      </w:r>
      <w:r>
        <w:rPr>
          <w:rFonts w:hint="eastAsia" w:ascii="仿宋_GB2312" w:hAnsi="仿宋_GB2312" w:eastAsia="仿宋_GB2312" w:cs="仿宋_GB2312"/>
          <w:sz w:val="32"/>
          <w:szCs w:val="32"/>
          <w:highlight w:val="none"/>
          <w:lang w:val="en-US" w:eastAsia="zh-CN"/>
        </w:rPr>
        <w:t>实际支出总额</w:t>
      </w:r>
      <w:r>
        <w:rPr>
          <w:rFonts w:hint="eastAsia" w:eastAsia="仿宋_GB2312" w:cs="仿宋_GB2312"/>
          <w:sz w:val="32"/>
          <w:szCs w:val="32"/>
          <w:highlight w:val="none"/>
          <w:lang w:val="en-US" w:eastAsia="zh-CN"/>
        </w:rPr>
        <w:t>（或决算总额）为基础，结合</w:t>
      </w:r>
      <w:r>
        <w:rPr>
          <w:rFonts w:hint="eastAsia" w:ascii="仿宋_GB2312" w:hAnsi="仿宋_GB2312" w:eastAsia="仿宋_GB2312" w:cs="仿宋_GB2312"/>
          <w:sz w:val="32"/>
          <w:szCs w:val="32"/>
          <w:highlight w:val="none"/>
          <w:lang w:val="en-US" w:eastAsia="zh-CN"/>
        </w:rPr>
        <w:t>住院就医人数增长</w:t>
      </w:r>
      <w:r>
        <w:rPr>
          <w:rFonts w:hint="eastAsia"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医疗保健消费价格同比增长</w:t>
      </w:r>
      <w:r>
        <w:rPr>
          <w:rFonts w:hint="eastAsia" w:eastAsia="仿宋_GB2312" w:cs="仿宋_GB2312"/>
          <w:sz w:val="32"/>
          <w:szCs w:val="32"/>
          <w:highlight w:val="none"/>
          <w:lang w:val="en-US" w:eastAsia="zh-CN"/>
        </w:rPr>
        <w:t>、</w:t>
      </w:r>
      <w:r>
        <w:rPr>
          <w:rFonts w:hint="eastAsia" w:eastAsia="仿宋_GB2312"/>
          <w:sz w:val="32"/>
          <w:highlight w:val="none"/>
          <w:lang w:eastAsia="zh-CN"/>
        </w:rPr>
        <w:t>医保基金收支预算增幅</w:t>
      </w:r>
      <w:r>
        <w:rPr>
          <w:rFonts w:hint="eastAsia" w:eastAsia="仿宋_GB2312" w:cs="仿宋_GB2312"/>
          <w:sz w:val="32"/>
          <w:szCs w:val="32"/>
          <w:highlight w:val="none"/>
          <w:lang w:val="en-US" w:eastAsia="zh-CN"/>
        </w:rPr>
        <w:t>、重大政策调整等因素确定基金支出增长率。</w:t>
      </w:r>
      <w:r>
        <w:rPr>
          <w:rFonts w:hint="eastAsia" w:eastAsia="仿宋_GB2312" w:cs="仿宋_GB2312"/>
          <w:b/>
          <w:bCs/>
          <w:sz w:val="32"/>
          <w:szCs w:val="32"/>
          <w:highlight w:val="none"/>
          <w:lang w:val="en-US" w:eastAsia="zh-CN"/>
        </w:rPr>
        <w:t>二是设立调节金。</w:t>
      </w:r>
      <w:r>
        <w:rPr>
          <w:rFonts w:hint="eastAsia" w:eastAsia="仿宋_GB2312" w:cs="仿宋_GB2312"/>
          <w:i w:val="0"/>
          <w:iCs w:val="0"/>
          <w:caps w:val="0"/>
          <w:color w:val="auto"/>
          <w:spacing w:val="0"/>
          <w:kern w:val="2"/>
          <w:sz w:val="32"/>
          <w:szCs w:val="32"/>
          <w:highlight w:val="none"/>
          <w:shd w:val="clear"/>
          <w:lang w:val="en-US" w:eastAsia="zh-CN" w:bidi="ar"/>
        </w:rPr>
        <w:t>从年度</w:t>
      </w:r>
      <w:r>
        <w:rPr>
          <w:rFonts w:hint="eastAsia" w:eastAsia="仿宋_GB2312"/>
          <w:color w:val="auto"/>
          <w:sz w:val="32"/>
          <w:highlight w:val="none"/>
          <w:lang w:val="en-US" w:eastAsia="zh-CN"/>
        </w:rPr>
        <w:t>可分配总额划分出</w:t>
      </w:r>
      <w:r>
        <w:rPr>
          <w:rFonts w:hint="eastAsia" w:eastAsia="仿宋_GB2312" w:cs="仿宋_GB2312"/>
          <w:i w:val="0"/>
          <w:iCs w:val="0"/>
          <w:caps w:val="0"/>
          <w:color w:val="auto"/>
          <w:spacing w:val="0"/>
          <w:kern w:val="2"/>
          <w:sz w:val="32"/>
          <w:szCs w:val="32"/>
          <w:highlight w:val="none"/>
          <w:shd w:val="clear"/>
          <w:lang w:val="en-US" w:eastAsia="zh-CN" w:bidi="ar"/>
        </w:rPr>
        <w:t>一定比例金额，</w:t>
      </w:r>
      <w:r>
        <w:rPr>
          <w:rFonts w:hint="eastAsia" w:ascii="仿宋_GB2312" w:hAnsi="仿宋_GB2312" w:eastAsia="仿宋_GB2312" w:cs="仿宋_GB2312"/>
          <w:i w:val="0"/>
          <w:iCs w:val="0"/>
          <w:caps w:val="0"/>
          <w:color w:val="auto"/>
          <w:spacing w:val="0"/>
          <w:kern w:val="2"/>
          <w:sz w:val="32"/>
          <w:szCs w:val="32"/>
          <w:highlight w:val="none"/>
          <w:shd w:val="clear"/>
          <w:lang w:val="en-US" w:eastAsia="zh-CN" w:bidi="ar"/>
        </w:rPr>
        <w:t>设立年度</w:t>
      </w:r>
      <w:r>
        <w:rPr>
          <w:rFonts w:hint="eastAsia" w:eastAsia="仿宋_GB2312"/>
          <w:color w:val="auto"/>
          <w:sz w:val="32"/>
          <w:highlight w:val="none"/>
          <w:lang w:val="en-US" w:eastAsia="zh-CN"/>
        </w:rPr>
        <w:t>住院、门诊不同支付方式的</w:t>
      </w:r>
      <w:r>
        <w:rPr>
          <w:rFonts w:hint="eastAsia" w:ascii="仿宋_GB2312" w:hAnsi="仿宋_GB2312" w:eastAsia="仿宋_GB2312" w:cs="仿宋_GB2312"/>
          <w:i w:val="0"/>
          <w:iCs w:val="0"/>
          <w:caps w:val="0"/>
          <w:color w:val="auto"/>
          <w:spacing w:val="0"/>
          <w:kern w:val="2"/>
          <w:sz w:val="32"/>
          <w:szCs w:val="32"/>
          <w:highlight w:val="none"/>
          <w:shd w:val="clear"/>
          <w:lang w:val="en-US" w:eastAsia="zh-CN" w:bidi="ar"/>
        </w:rPr>
        <w:t>调节金，主要用于年度清算时合理超支分担</w:t>
      </w:r>
      <w:r>
        <w:rPr>
          <w:rFonts w:hint="eastAsia" w:eastAsia="仿宋_GB2312" w:cs="仿宋_GB2312"/>
          <w:i w:val="0"/>
          <w:iCs w:val="0"/>
          <w:caps w:val="0"/>
          <w:color w:val="auto"/>
          <w:spacing w:val="0"/>
          <w:kern w:val="2"/>
          <w:sz w:val="32"/>
          <w:szCs w:val="32"/>
          <w:highlight w:val="none"/>
          <w:shd w:val="clear"/>
          <w:lang w:val="en-US" w:eastAsia="zh-CN" w:bidi="ar"/>
        </w:rPr>
        <w:t>，充分保障医疗机构因收治重症病人导致费用超标的费用补偿。</w:t>
      </w:r>
      <w:r>
        <w:rPr>
          <w:rFonts w:hint="eastAsia" w:eastAsia="仿宋_GB2312" w:cs="仿宋_GB2312"/>
          <w:kern w:val="2"/>
          <w:sz w:val="32"/>
          <w:szCs w:val="32"/>
          <w:highlight w:val="none"/>
          <w:lang w:val="en-US" w:eastAsia="zh-CN"/>
        </w:rPr>
        <w:t>广州、厦门也按经办规程要求设立了调节金。</w:t>
      </w:r>
    </w:p>
    <w:p>
      <w:pPr>
        <w:pStyle w:val="2"/>
        <w:keepNext w:val="0"/>
        <w:keepLines w:val="0"/>
        <w:pageBreakBefore w:val="0"/>
        <w:widowControl w:val="0"/>
        <w:kinsoku/>
        <w:wordWrap/>
        <w:overflowPunct/>
        <w:topLinePunct w:val="0"/>
        <w:bidi w:val="0"/>
        <w:adjustRightInd/>
        <w:spacing w:line="560" w:lineRule="exact"/>
        <w:ind w:firstLine="64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（二）规范住院支付方式。</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outlineLvl w:val="9"/>
        <w:rPr>
          <w:rFonts w:hint="default"/>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全市统一开展DIP支付方式改革。</w:t>
      </w:r>
      <w:r>
        <w:rPr>
          <w:rFonts w:hint="eastAsia" w:ascii="仿宋_GB2312" w:hAnsi="仿宋_GB2312" w:eastAsia="仿宋_GB2312" w:cs="仿宋_GB2312"/>
          <w:b w:val="0"/>
          <w:bCs w:val="0"/>
          <w:color w:val="auto"/>
          <w:sz w:val="32"/>
          <w:szCs w:val="32"/>
          <w:highlight w:val="none"/>
          <w:lang w:val="en-US" w:eastAsia="zh-CN"/>
        </w:rPr>
        <w:t>我市于2019年开始在部分医院开展C-DRG支付方式改革。2019年底，国家医疗保障局印发《疾病诊断相关分组（DRG）付费国家试点技术规范和分组方案》，启动CHS-DRG支付方式改革。C-DRG</w:t>
      </w:r>
      <w:r>
        <w:rPr>
          <w:rFonts w:hint="eastAsia" w:ascii="仿宋_GB2312" w:hAnsi="仿宋_GB2312" w:eastAsia="仿宋_GB2312"/>
          <w:b w:val="0"/>
          <w:bCs/>
          <w:sz w:val="32"/>
          <w:highlight w:val="none"/>
          <w:lang w:val="en-US" w:eastAsia="zh-CN"/>
        </w:rPr>
        <w:t>与国家医保局支付方式改革方向不一致</w:t>
      </w:r>
      <w:r>
        <w:rPr>
          <w:rFonts w:hint="eastAsia" w:ascii="仿宋_GB2312" w:hAnsi="仿宋_GB2312" w:eastAsia="仿宋_GB2312" w:cs="仿宋_GB2312"/>
          <w:b w:val="0"/>
          <w:bCs w:val="0"/>
          <w:sz w:val="32"/>
          <w:szCs w:val="32"/>
          <w:highlight w:val="none"/>
          <w:lang w:val="en-US" w:eastAsia="zh-CN"/>
        </w:rPr>
        <w:t>，需要予以统一规范。考虑到目前信息化水平尚不足以支撑我市直接从C-DRG转型为</w:t>
      </w:r>
      <w:r>
        <w:rPr>
          <w:rFonts w:hint="eastAsia" w:ascii="仿宋_GB2312" w:hAnsi="仿宋_GB2312" w:eastAsia="仿宋_GB2312" w:cs="仿宋_GB2312"/>
          <w:kern w:val="2"/>
          <w:sz w:val="32"/>
          <w:szCs w:val="32"/>
          <w:highlight w:val="none"/>
          <w:lang w:val="en-US" w:eastAsia="zh-CN" w:bidi="ar-SA"/>
        </w:rPr>
        <w:t>CHS-DRG，而我市从</w:t>
      </w:r>
      <w:r>
        <w:rPr>
          <w:rFonts w:hint="eastAsia" w:ascii="仿宋_GB2312" w:hAnsi="仿宋_GB2312" w:eastAsia="仿宋_GB2312" w:cs="仿宋_GB2312"/>
          <w:bCs w:val="0"/>
          <w:sz w:val="32"/>
          <w:szCs w:val="32"/>
          <w:highlight w:val="none"/>
          <w:lang w:val="en-US" w:eastAsia="zh-CN"/>
        </w:rPr>
        <w:t>2020年开</w:t>
      </w:r>
      <w:r>
        <w:rPr>
          <w:rFonts w:hint="eastAsia" w:ascii="Times New Roman" w:hAnsi="Times New Roman" w:eastAsia="仿宋_GB2312" w:cs="仿宋_GB2312"/>
          <w:w w:val="105"/>
          <w:kern w:val="2"/>
          <w:sz w:val="32"/>
          <w:szCs w:val="32"/>
          <w:highlight w:val="none"/>
          <w:lang w:val="en-US" w:eastAsia="zh-CN"/>
        </w:rPr>
        <w:t>始成为国家</w:t>
      </w:r>
      <w:r>
        <w:rPr>
          <w:rFonts w:hint="eastAsia" w:ascii="仿宋_GB2312" w:hAnsi="仿宋_GB2312" w:eastAsia="仿宋_GB2312" w:cs="仿宋_GB2312"/>
          <w:kern w:val="2"/>
          <w:sz w:val="32"/>
          <w:szCs w:val="32"/>
          <w:highlight w:val="none"/>
          <w:lang w:val="en-US" w:eastAsia="zh-CN" w:bidi="ar-SA"/>
        </w:rPr>
        <w:t>DIP试点城市，相关工作获得国家、省医保局肯定。</w:t>
      </w:r>
      <w:r>
        <w:rPr>
          <w:rFonts w:hint="eastAsia" w:ascii="仿宋_GB2312" w:hAnsi="仿宋_GB2312" w:eastAsia="仿宋_GB2312"/>
          <w:b w:val="0"/>
          <w:bCs/>
          <w:sz w:val="32"/>
          <w:lang w:val="en-US" w:eastAsia="zh-CN"/>
        </w:rPr>
        <w:t>为与国家医保局支付方式改革方向保持一致，现按照上级有关文件精神，全市统一实行</w:t>
      </w:r>
      <w:r>
        <w:rPr>
          <w:rFonts w:hint="eastAsia" w:ascii="仿宋_GB2312" w:hAnsi="仿宋_GB2312" w:eastAsia="仿宋_GB2312" w:cstheme="minorBidi"/>
          <w:b w:val="0"/>
          <w:bCs/>
          <w:sz w:val="32"/>
          <w:szCs w:val="24"/>
          <w:lang w:val="en-US" w:eastAsia="zh-CN"/>
        </w:rPr>
        <w:t>按DIP付费。全市实行同一年度可分配总额下同一套分配工具，更具公平性。</w:t>
      </w:r>
      <w:r>
        <w:rPr>
          <w:rFonts w:hint="eastAsia" w:ascii="仿宋_GB2312" w:hAnsi="仿宋_GB2312" w:eastAsia="仿宋_GB2312" w:cstheme="minorBidi"/>
          <w:b/>
          <w:bCs w:val="0"/>
          <w:sz w:val="32"/>
          <w:szCs w:val="24"/>
          <w:lang w:val="en-US" w:eastAsia="zh-CN"/>
        </w:rPr>
        <w:t>二是</w:t>
      </w:r>
      <w:r>
        <w:rPr>
          <w:rFonts w:hint="eastAsia" w:ascii="仿宋_GB2312" w:hAnsi="仿宋_GB2312" w:eastAsia="仿宋_GB2312" w:cstheme="minorBidi"/>
          <w:b w:val="0"/>
          <w:bCs/>
          <w:sz w:val="32"/>
          <w:szCs w:val="24"/>
          <w:highlight w:val="none"/>
          <w:lang w:val="en-US" w:eastAsia="zh-CN"/>
        </w:rPr>
        <w:t>规范住院按病种分值付费适用范围。</w:t>
      </w:r>
      <w:r>
        <w:rPr>
          <w:rFonts w:hint="eastAsia" w:eastAsia="仿宋_GB2312" w:cs="仿宋_GB2312"/>
          <w:b w:val="0"/>
          <w:bCs w:val="0"/>
          <w:color w:val="000000"/>
          <w:sz w:val="32"/>
          <w:szCs w:val="32"/>
          <w:highlight w:val="none"/>
          <w:lang w:val="en-US" w:eastAsia="zh-CN"/>
        </w:rPr>
        <w:t>将</w:t>
      </w:r>
      <w:r>
        <w:rPr>
          <w:rFonts w:hint="eastAsia" w:ascii="仿宋_GB2312" w:hAnsi="仿宋_GB2312" w:eastAsia="仿宋_GB2312" w:cs="仿宋_GB2312"/>
          <w:bCs/>
          <w:color w:val="auto"/>
          <w:sz w:val="32"/>
          <w:szCs w:val="32"/>
          <w:highlight w:val="none"/>
        </w:rPr>
        <w:t>康复医疗、医疗护理</w:t>
      </w:r>
      <w:r>
        <w:rPr>
          <w:rFonts w:hint="eastAsia" w:ascii="仿宋_GB2312" w:hAnsi="仿宋_GB2312" w:eastAsia="仿宋_GB2312" w:cs="仿宋_GB2312"/>
          <w:bCs/>
          <w:color w:val="auto"/>
          <w:sz w:val="32"/>
          <w:szCs w:val="32"/>
          <w:highlight w:val="none"/>
          <w:lang w:eastAsia="zh-CN"/>
        </w:rPr>
        <w:t>等长期住院</w:t>
      </w:r>
      <w:r>
        <w:rPr>
          <w:rFonts w:hint="eastAsia" w:ascii="仿宋_GB2312" w:hAnsi="仿宋_GB2312" w:eastAsia="仿宋_GB2312" w:cs="仿宋_GB2312"/>
          <w:bCs/>
          <w:color w:val="auto"/>
          <w:sz w:val="32"/>
          <w:szCs w:val="32"/>
          <w:highlight w:val="none"/>
        </w:rPr>
        <w:t>的住院医疗费用按床日付费</w:t>
      </w:r>
      <w:r>
        <w:rPr>
          <w:rFonts w:hint="eastAsia" w:ascii="仿宋_GB2312" w:hAnsi="仿宋_GB2312" w:eastAsia="仿宋_GB2312" w:cs="仿宋_GB2312"/>
          <w:bCs/>
          <w:color w:val="auto"/>
          <w:sz w:val="32"/>
          <w:szCs w:val="32"/>
          <w:highlight w:val="none"/>
          <w:lang w:eastAsia="zh-CN"/>
        </w:rPr>
        <w:t>，打包收费病种等按相应支付标准折算分值，纳入总额管理下</w:t>
      </w:r>
      <w:r>
        <w:rPr>
          <w:rFonts w:hint="eastAsia" w:ascii="仿宋_GB2312" w:hAnsi="仿宋_GB2312" w:eastAsia="仿宋_GB2312" w:cs="仿宋_GB2312"/>
          <w:color w:val="auto"/>
          <w:sz w:val="32"/>
          <w:szCs w:val="32"/>
          <w:highlight w:val="none"/>
        </w:rPr>
        <w:t>按病种分值</w:t>
      </w:r>
      <w:r>
        <w:rPr>
          <w:rFonts w:hint="eastAsia" w:ascii="仿宋_GB2312" w:hAnsi="仿宋_GB2312" w:eastAsia="仿宋_GB2312" w:cs="仿宋_GB2312"/>
          <w:bCs/>
          <w:color w:val="auto"/>
          <w:sz w:val="32"/>
          <w:szCs w:val="32"/>
          <w:highlight w:val="none"/>
          <w:lang w:val="en-US" w:eastAsia="zh-CN"/>
        </w:rPr>
        <w:t>付费方式结算管理，确保基金支出在总额范围内平稳可控。</w:t>
      </w:r>
    </w:p>
    <w:p>
      <w:pPr>
        <w:pStyle w:val="2"/>
        <w:keepNext w:val="0"/>
        <w:keepLines w:val="0"/>
        <w:pageBreakBefore w:val="0"/>
        <w:widowControl w:val="0"/>
        <w:kinsoku/>
        <w:wordWrap/>
        <w:overflowPunct/>
        <w:topLinePunct w:val="0"/>
        <w:bidi w:val="0"/>
        <w:adjustRightInd/>
        <w:spacing w:line="560" w:lineRule="exact"/>
        <w:ind w:firstLine="642" w:firstLineChars="200"/>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（三）增加门诊支付方式内容</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topLinePunct w:val="0"/>
        <w:bidi w:val="0"/>
        <w:adjustRightInd/>
        <w:spacing w:line="560" w:lineRule="exact"/>
        <w:ind w:left="0" w:firstLine="64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将门诊按人头付费范围从我市二三档参保人扩大至包含一档</w:t>
      </w:r>
      <w:r>
        <w:rPr>
          <w:rFonts w:hint="eastAsia" w:ascii="仿宋_GB2312" w:hAnsi="仿宋_GB2312" w:eastAsia="仿宋_GB2312" w:cs="仿宋_GB2312"/>
          <w:sz w:val="32"/>
          <w:highlight w:val="none"/>
          <w:lang w:eastAsia="zh-CN"/>
        </w:rPr>
        <w:t>参保人在内的在基层医疗机构的门诊费用</w:t>
      </w:r>
      <w:r>
        <w:rPr>
          <w:rFonts w:hint="eastAsia" w:ascii="仿宋_GB2312" w:hAnsi="仿宋_GB2312" w:eastAsia="仿宋_GB2312" w:cs="仿宋_GB2312"/>
          <w:sz w:val="32"/>
          <w:szCs w:val="32"/>
          <w:highlight w:val="none"/>
          <w:lang w:val="en-US" w:eastAsia="zh-CN"/>
        </w:rPr>
        <w:t>，契合国家、省门诊共济保障政策精神。</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color w:val="000000"/>
          <w:sz w:val="32"/>
          <w:szCs w:val="32"/>
          <w:highlight w:val="none"/>
          <w:lang w:val="en-US" w:eastAsia="zh-CN"/>
        </w:rPr>
        <w:t>增加按门诊病例分组付费（APG）内容。为与我市门诊共济保障政策相衔接，参考国外和部分国内地市成熟做法，探索</w:t>
      </w:r>
      <w:r>
        <w:rPr>
          <w:rFonts w:hint="eastAsia" w:ascii="仿宋_GB2312" w:hAnsi="仿宋_GB2312" w:eastAsia="仿宋_GB2312" w:cs="仿宋_GB2312"/>
          <w:b w:val="0"/>
          <w:bCs w:val="0"/>
          <w:color w:val="auto"/>
          <w:sz w:val="32"/>
          <w:szCs w:val="32"/>
          <w:highlight w:val="none"/>
          <w:lang w:val="en-US" w:eastAsia="zh-CN"/>
        </w:rPr>
        <w:t>开展门诊按病例分组（APG）付费</w:t>
      </w:r>
      <w:r>
        <w:rPr>
          <w:rFonts w:hint="eastAsia" w:ascii="仿宋_GB2312" w:hAnsi="仿宋_GB2312" w:eastAsia="仿宋_GB2312" w:cs="仿宋_GB2312"/>
          <w:color w:val="000000"/>
          <w:sz w:val="32"/>
          <w:szCs w:val="32"/>
          <w:highlight w:val="none"/>
          <w:lang w:val="en-US" w:eastAsia="zh-CN"/>
        </w:rPr>
        <w:t>。分组原则、医院系数、点数计算方法、极端病例、月结、年终清算、结余留用和超支补偿比例等</w:t>
      </w:r>
      <w:r>
        <w:rPr>
          <w:rFonts w:hint="eastAsia" w:ascii="仿宋_GB2312" w:hAnsi="仿宋_GB2312" w:eastAsia="仿宋_GB2312" w:cs="仿宋_GB2312"/>
          <w:color w:val="auto"/>
          <w:sz w:val="32"/>
          <w:highlight w:val="none"/>
          <w:lang w:val="en-US" w:eastAsia="zh-CN"/>
        </w:rPr>
        <w:t>具体实施细则另行制定</w:t>
      </w:r>
      <w:r>
        <w:rPr>
          <w:rFonts w:hint="eastAsia" w:ascii="仿宋_GB2312" w:hAnsi="仿宋_GB2312" w:eastAsia="仿宋_GB2312" w:cs="仿宋_GB2312"/>
          <w:color w:val="000000"/>
          <w:sz w:val="32"/>
          <w:szCs w:val="32"/>
          <w:highlight w:val="none"/>
          <w:lang w:val="en-US" w:eastAsia="zh-CN"/>
        </w:rPr>
        <w:t>。浙江金华于2020年开始在全市推行门诊“APG点数法”付费改革，被列为浙江省级试点。《</w:t>
      </w:r>
      <w:r>
        <w:rPr>
          <w:rFonts w:hint="eastAsia" w:ascii="仿宋_GB2312" w:hAnsi="仿宋_GB2312" w:eastAsia="仿宋_GB2312" w:cs="仿宋_GB2312"/>
          <w:color w:val="000000"/>
          <w:sz w:val="32"/>
          <w:highlight w:val="none"/>
          <w:lang w:eastAsia="zh-CN"/>
        </w:rPr>
        <w:t>浙江省全面推进医保支付方式改革三年行动计划</w:t>
      </w:r>
      <w:r>
        <w:rPr>
          <w:rFonts w:hint="eastAsia" w:ascii="仿宋_GB2312" w:hAnsi="仿宋_GB2312" w:eastAsia="仿宋_GB2312" w:cs="仿宋_GB2312"/>
          <w:color w:val="000000"/>
          <w:sz w:val="32"/>
          <w:szCs w:val="32"/>
          <w:highlight w:val="none"/>
          <w:lang w:val="en-US" w:eastAsia="zh-CN"/>
        </w:rPr>
        <w:t>》明确2023年底，</w:t>
      </w:r>
      <w:r>
        <w:rPr>
          <w:rFonts w:hint="eastAsia" w:ascii="仿宋_GB2312" w:hAnsi="仿宋_GB2312" w:eastAsia="仿宋_GB2312" w:cs="仿宋_GB2312"/>
          <w:color w:val="000000"/>
          <w:sz w:val="32"/>
          <w:highlight w:val="none"/>
          <w:lang w:eastAsia="zh-CN"/>
        </w:rPr>
        <w:t>浙江省</w:t>
      </w:r>
      <w:r>
        <w:rPr>
          <w:rFonts w:hint="eastAsia" w:ascii="仿宋_GB2312" w:hAnsi="仿宋_GB2312" w:eastAsia="仿宋_GB2312" w:cs="仿宋_GB2312"/>
          <w:color w:val="000000"/>
          <w:sz w:val="32"/>
          <w:szCs w:val="32"/>
          <w:highlight w:val="none"/>
          <w:lang w:val="en-US" w:eastAsia="zh-CN"/>
        </w:rPr>
        <w:t>全省所有统筹地区全面实施门诊按人头包干结合门诊病例分组支付方式改革。</w:t>
      </w:r>
    </w:p>
    <w:p>
      <w:pPr>
        <w:pStyle w:val="2"/>
        <w:keepNext w:val="0"/>
        <w:keepLines w:val="0"/>
        <w:pageBreakBefore w:val="0"/>
        <w:widowControl w:val="0"/>
        <w:kinsoku/>
        <w:wordWrap/>
        <w:overflowPunct/>
        <w:topLinePunct w:val="0"/>
        <w:bidi w:val="0"/>
        <w:adjustRightInd/>
        <w:spacing w:line="560" w:lineRule="exact"/>
        <w:ind w:firstLine="640"/>
        <w:textAlignment w:val="auto"/>
        <w:rPr>
          <w:rFonts w:hint="eastAsia" w:eastAsia="仿宋_GB2312" w:cs="仿宋_GB2312"/>
          <w:b/>
          <w:bCs/>
          <w:color w:val="00000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 xml:space="preserve">（四）优化费用结算方法。        </w:t>
      </w:r>
      <w:r>
        <w:rPr>
          <w:rFonts w:hint="eastAsia" w:eastAsia="仿宋_GB2312" w:cs="仿宋_GB2312"/>
          <w:sz w:val="32"/>
          <w:szCs w:val="32"/>
          <w:highlight w:val="none"/>
          <w:lang w:val="en-US" w:eastAsia="zh-CN"/>
        </w:rPr>
        <w:t xml:space="preserve">                                                                                                                                </w:t>
      </w:r>
    </w:p>
    <w:p>
      <w:pPr>
        <w:pStyle w:val="2"/>
        <w:spacing w:line="560" w:lineRule="exact"/>
        <w:ind w:firstLine="642" w:firstLineChars="200"/>
        <w:rPr>
          <w:rFonts w:hint="default" w:eastAsia="宋体" w:cs="仿宋_GB2312"/>
          <w:color w:val="auto"/>
          <w:sz w:val="22"/>
          <w:szCs w:val="32"/>
          <w:highlight w:val="none"/>
          <w:lang w:val="en-US" w:eastAsia="zh-CN"/>
        </w:rPr>
      </w:pPr>
      <w:r>
        <w:rPr>
          <w:rFonts w:hint="eastAsia" w:eastAsia="仿宋_GB2312" w:cs="仿宋_GB2312"/>
          <w:b/>
          <w:bCs/>
          <w:color w:val="000000"/>
          <w:sz w:val="32"/>
          <w:szCs w:val="32"/>
          <w:highlight w:val="none"/>
          <w:lang w:val="en-US" w:eastAsia="zh-CN"/>
        </w:rPr>
        <w:t>一是完善周转金和</w:t>
      </w:r>
      <w:r>
        <w:rPr>
          <w:rFonts w:hint="eastAsia" w:ascii="仿宋_GB2312" w:hAnsi="仿宋_GB2312" w:eastAsia="仿宋_GB2312" w:cs="仿宋_GB2312"/>
          <w:b/>
          <w:bCs/>
          <w:color w:val="000000"/>
          <w:sz w:val="32"/>
          <w:szCs w:val="32"/>
          <w:highlight w:val="none"/>
          <w:lang w:val="en-US" w:eastAsia="zh-CN"/>
        </w:rPr>
        <w:t>月结支付方式</w:t>
      </w:r>
      <w:r>
        <w:rPr>
          <w:rFonts w:hint="eastAsia" w:eastAsia="仿宋_GB2312" w:cs="仿宋_GB2312"/>
          <w:b/>
          <w:bCs/>
          <w:color w:val="000000"/>
          <w:sz w:val="32"/>
          <w:szCs w:val="32"/>
          <w:highlight w:val="none"/>
          <w:lang w:val="en-US" w:eastAsia="zh-CN"/>
        </w:rPr>
        <w:t>。</w:t>
      </w:r>
      <w:r>
        <w:rPr>
          <w:rFonts w:hint="eastAsia" w:eastAsia="仿宋_GB2312" w:cs="仿宋_GB2312"/>
          <w:b w:val="0"/>
          <w:bCs w:val="0"/>
          <w:color w:val="000000"/>
          <w:sz w:val="32"/>
          <w:szCs w:val="32"/>
          <w:highlight w:val="none"/>
          <w:lang w:val="en-US" w:eastAsia="zh-CN"/>
        </w:rPr>
        <w:t>为进一步保障医保基金安全，</w:t>
      </w:r>
      <w:r>
        <w:rPr>
          <w:rFonts w:hint="eastAsia" w:eastAsia="仿宋_GB2312"/>
          <w:b w:val="0"/>
          <w:bCs w:val="0"/>
          <w:color w:val="000000"/>
          <w:sz w:val="32"/>
          <w:highlight w:val="none"/>
          <w:lang w:eastAsia="zh-CN"/>
        </w:rPr>
        <w:t>明确只对开通医保住院服务的定点医疗机构拨付周转金，并取消对定点零售药店预拨资金。月结时将按分值计算的应付费用和实际记账费用取低值支付，改变之前按应付费用支付的做法，避免月结多拨付带来基金损失风险。杭州、金华、南京及苏州等地也采用月预清算费用与实际记账费用限高就低支付的做法。</w:t>
      </w:r>
      <w:r>
        <w:rPr>
          <w:rFonts w:hint="eastAsia" w:eastAsia="仿宋_GB2312"/>
          <w:b/>
          <w:bCs/>
          <w:color w:val="000000"/>
          <w:sz w:val="32"/>
          <w:szCs w:val="32"/>
          <w:highlight w:val="none"/>
          <w:lang w:val="en-US" w:eastAsia="zh-CN"/>
        </w:rPr>
        <w:t>二是</w:t>
      </w:r>
      <w:r>
        <w:rPr>
          <w:rFonts w:hint="eastAsia" w:ascii="仿宋_GB2312" w:hAnsi="仿宋_GB2312" w:eastAsia="仿宋_GB2312" w:cs="仿宋_GB2312"/>
          <w:b/>
          <w:bCs/>
          <w:sz w:val="32"/>
          <w:szCs w:val="32"/>
          <w:highlight w:val="none"/>
          <w:lang w:val="en-US" w:eastAsia="zh-CN"/>
        </w:rPr>
        <w:t>明确</w:t>
      </w:r>
      <w:r>
        <w:rPr>
          <w:rFonts w:hint="eastAsia" w:eastAsia="仿宋_GB2312" w:cs="仿宋_GB2312"/>
          <w:b/>
          <w:bCs/>
          <w:sz w:val="32"/>
          <w:szCs w:val="32"/>
          <w:highlight w:val="none"/>
          <w:lang w:val="en-US" w:eastAsia="zh-CN"/>
        </w:rPr>
        <w:t>周转金</w:t>
      </w:r>
      <w:r>
        <w:rPr>
          <w:rFonts w:hint="eastAsia" w:ascii="仿宋_GB2312" w:hAnsi="仿宋_GB2312" w:eastAsia="仿宋_GB2312" w:cs="仿宋_GB2312"/>
          <w:b/>
          <w:bCs/>
          <w:sz w:val="32"/>
          <w:szCs w:val="32"/>
          <w:highlight w:val="none"/>
          <w:lang w:val="en-US" w:eastAsia="zh-CN"/>
        </w:rPr>
        <w:t>、质量保证金</w:t>
      </w:r>
      <w:r>
        <w:rPr>
          <w:rFonts w:hint="eastAsia" w:eastAsia="仿宋_GB2312" w:cs="仿宋_GB2312"/>
          <w:b/>
          <w:bCs/>
          <w:sz w:val="32"/>
          <w:szCs w:val="32"/>
          <w:highlight w:val="none"/>
          <w:lang w:val="en-US" w:eastAsia="zh-CN"/>
        </w:rPr>
        <w:t>拨付比例的依据</w:t>
      </w:r>
      <w:r>
        <w:rPr>
          <w:rFonts w:hint="eastAsia" w:ascii="仿宋_GB2312" w:hAnsi="仿宋_GB2312" w:eastAsia="仿宋_GB2312" w:cs="仿宋_GB2312"/>
          <w:b/>
          <w:bCs/>
          <w:sz w:val="32"/>
          <w:szCs w:val="32"/>
          <w:highlight w:val="none"/>
          <w:lang w:val="en-US" w:eastAsia="zh-CN"/>
        </w:rPr>
        <w:t>。</w:t>
      </w:r>
      <w:r>
        <w:rPr>
          <w:rFonts w:hint="eastAsia" w:eastAsia="仿宋_GB2312" w:cs="仿宋_GB2312"/>
          <w:b w:val="0"/>
          <w:bCs w:val="0"/>
          <w:sz w:val="32"/>
          <w:szCs w:val="32"/>
          <w:highlight w:val="none"/>
          <w:lang w:val="en-US" w:eastAsia="zh-CN"/>
        </w:rPr>
        <w:t>建立绩效考核机制，</w:t>
      </w:r>
      <w:r>
        <w:rPr>
          <w:rFonts w:hint="eastAsia" w:eastAsia="仿宋_GB2312" w:cs="仿宋_GB2312"/>
          <w:b w:val="0"/>
          <w:bCs w:val="0"/>
          <w:color w:val="000000"/>
          <w:sz w:val="32"/>
          <w:szCs w:val="32"/>
          <w:highlight w:val="none"/>
          <w:lang w:val="en-US" w:eastAsia="zh-CN"/>
        </w:rPr>
        <w:t>明确</w:t>
      </w:r>
      <w:r>
        <w:rPr>
          <w:rFonts w:hint="eastAsia" w:eastAsia="仿宋_GB2312" w:cs="仿宋_GB2312"/>
          <w:b w:val="0"/>
          <w:bCs w:val="0"/>
          <w:color w:val="000000"/>
          <w:sz w:val="32"/>
          <w:szCs w:val="32"/>
          <w:highlight w:val="none"/>
          <w:lang w:eastAsia="zh-CN"/>
        </w:rPr>
        <w:t>周转金、</w:t>
      </w:r>
      <w:r>
        <w:rPr>
          <w:rFonts w:hint="eastAsia" w:eastAsia="仿宋_GB2312" w:cs="仿宋_GB2312"/>
          <w:b w:val="0"/>
          <w:bCs w:val="0"/>
          <w:color w:val="000000"/>
          <w:sz w:val="32"/>
          <w:szCs w:val="32"/>
          <w:highlight w:val="none"/>
          <w:lang w:val="en-US" w:eastAsia="zh-CN"/>
        </w:rPr>
        <w:t>质量保证金</w:t>
      </w:r>
      <w:r>
        <w:rPr>
          <w:rFonts w:hint="eastAsia" w:ascii="仿宋_GB2312" w:hAnsi="仿宋_GB2312" w:eastAsia="仿宋_GB2312" w:cs="仿宋_GB2312"/>
          <w:b w:val="0"/>
          <w:bCs w:val="0"/>
          <w:color w:val="000000"/>
          <w:sz w:val="32"/>
          <w:szCs w:val="32"/>
          <w:highlight w:val="none"/>
        </w:rPr>
        <w:t>支付比例与绩效考核结果挂钩，具体比例通过协议书约定。</w:t>
      </w:r>
      <w:r>
        <w:rPr>
          <w:rFonts w:hint="eastAsia" w:eastAsia="仿宋_GB2312" w:cs="仿宋_GB2312"/>
          <w:b/>
          <w:bCs/>
          <w:color w:val="000000"/>
          <w:sz w:val="32"/>
          <w:szCs w:val="32"/>
          <w:highlight w:val="none"/>
          <w:lang w:eastAsia="zh-CN"/>
        </w:rPr>
        <w:t>三是删除门诊药品零加成新增诊金、住院药品零加成新增诊查费相关条款</w:t>
      </w:r>
      <w:r>
        <w:rPr>
          <w:rFonts w:hint="eastAsia" w:eastAsia="仿宋_GB2312" w:cs="仿宋_GB2312"/>
          <w:color w:val="000000"/>
          <w:sz w:val="32"/>
          <w:szCs w:val="32"/>
          <w:highlight w:val="none"/>
          <w:lang w:eastAsia="zh-CN"/>
        </w:rPr>
        <w:t>。</w:t>
      </w:r>
    </w:p>
    <w:p>
      <w:pPr>
        <w:pStyle w:val="2"/>
        <w:keepNext w:val="0"/>
        <w:keepLines w:val="0"/>
        <w:pageBreakBefore w:val="0"/>
        <w:widowControl w:val="0"/>
        <w:kinsoku/>
        <w:wordWrap/>
        <w:overflowPunct/>
        <w:topLinePunct w:val="0"/>
        <w:bidi w:val="0"/>
        <w:adjustRightInd/>
        <w:spacing w:line="560" w:lineRule="exact"/>
        <w:ind w:left="0" w:firstLine="640" w:firstLineChars="0"/>
        <w:textAlignment w:val="auto"/>
        <w:rPr>
          <w:rFonts w:hint="eastAsia" w:ascii="楷体_GB2312" w:hAnsi="楷体_GB2312" w:eastAsia="楷体_GB2312" w:cs="楷体_GB2312"/>
          <w:b/>
          <w:bCs/>
          <w:kern w:val="2"/>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（五）</w:t>
      </w:r>
      <w:r>
        <w:rPr>
          <w:rFonts w:hint="eastAsia" w:ascii="楷体_GB2312" w:hAnsi="楷体_GB2312" w:eastAsia="楷体_GB2312" w:cs="楷体_GB2312"/>
          <w:b/>
          <w:bCs/>
          <w:kern w:val="2"/>
          <w:sz w:val="32"/>
          <w:szCs w:val="32"/>
          <w:highlight w:val="none"/>
          <w:lang w:val="en-US" w:eastAsia="zh-CN"/>
        </w:rPr>
        <w:t>建立协商谈判机制。</w:t>
      </w:r>
    </w:p>
    <w:p>
      <w:pPr>
        <w:pStyle w:val="2"/>
        <w:keepNext w:val="0"/>
        <w:keepLines w:val="0"/>
        <w:pageBreakBefore w:val="0"/>
        <w:widowControl w:val="0"/>
        <w:kinsoku/>
        <w:wordWrap/>
        <w:overflowPunct/>
        <w:topLinePunct w:val="0"/>
        <w:bidi w:val="0"/>
        <w:adjustRightInd/>
        <w:spacing w:line="560" w:lineRule="exact"/>
        <w:ind w:left="0" w:firstLine="640" w:firstLineChars="0"/>
        <w:textAlignment w:val="auto"/>
        <w:rPr>
          <w:rFonts w:hint="eastAsia" w:eastAsia="仿宋_GB2312"/>
          <w:color w:val="auto"/>
          <w:sz w:val="32"/>
          <w:highlight w:val="none"/>
          <w:lang w:val="en-US" w:eastAsia="zh-CN"/>
        </w:rPr>
      </w:pPr>
      <w:r>
        <w:rPr>
          <w:rFonts w:hint="eastAsia" w:eastAsia="仿宋_GB2312" w:cs="仿宋_GB2312"/>
          <w:b w:val="0"/>
          <w:bCs w:val="0"/>
          <w:kern w:val="2"/>
          <w:sz w:val="32"/>
          <w:szCs w:val="32"/>
          <w:highlight w:val="none"/>
          <w:lang w:val="en-US" w:eastAsia="zh-CN"/>
        </w:rPr>
        <w:t>按照国家、省DIP经办管理规程，医保部门应建立协商谈判机制。通过明确</w:t>
      </w:r>
      <w:r>
        <w:rPr>
          <w:rFonts w:hint="default" w:eastAsia="仿宋_GB2312" w:cs="仿宋_GB2312"/>
          <w:b w:val="0"/>
          <w:bCs w:val="0"/>
          <w:kern w:val="2"/>
          <w:sz w:val="32"/>
          <w:szCs w:val="32"/>
          <w:highlight w:val="none"/>
          <w:lang w:val="en" w:eastAsia="zh-CN"/>
        </w:rPr>
        <w:t>年度可分配总额、</w:t>
      </w:r>
      <w:r>
        <w:rPr>
          <w:rFonts w:hint="eastAsia" w:eastAsia="仿宋_GB2312" w:cs="仿宋_GB2312"/>
          <w:kern w:val="2"/>
          <w:sz w:val="32"/>
          <w:szCs w:val="32"/>
          <w:highlight w:val="none"/>
          <w:lang w:val="en-US" w:eastAsia="zh-CN"/>
        </w:rPr>
        <w:t>DIP</w:t>
      </w:r>
      <w:r>
        <w:rPr>
          <w:rFonts w:hint="default" w:eastAsia="仿宋_GB2312" w:cs="仿宋_GB2312"/>
          <w:b w:val="0"/>
          <w:bCs w:val="0"/>
          <w:kern w:val="2"/>
          <w:sz w:val="32"/>
          <w:szCs w:val="32"/>
          <w:highlight w:val="none"/>
          <w:lang w:val="en" w:eastAsia="zh-CN"/>
        </w:rPr>
        <w:t>病种目录库</w:t>
      </w:r>
      <w:r>
        <w:rPr>
          <w:rFonts w:hint="eastAsia" w:eastAsia="仿宋_GB2312"/>
          <w:color w:val="auto"/>
          <w:sz w:val="32"/>
          <w:highlight w:val="none"/>
          <w:lang w:val="en-US" w:eastAsia="zh-CN"/>
        </w:rPr>
        <w:t>由市医疗保障</w:t>
      </w:r>
      <w:r>
        <w:rPr>
          <w:rFonts w:hint="default" w:eastAsia="仿宋_GB2312"/>
          <w:color w:val="auto"/>
          <w:sz w:val="32"/>
          <w:highlight w:val="none"/>
          <w:lang w:val="en" w:eastAsia="zh-CN"/>
        </w:rPr>
        <w:t>部门</w:t>
      </w:r>
      <w:r>
        <w:rPr>
          <w:rFonts w:hint="eastAsia" w:eastAsia="仿宋_GB2312"/>
          <w:color w:val="auto"/>
          <w:sz w:val="32"/>
          <w:highlight w:val="none"/>
          <w:lang w:val="en-US" w:eastAsia="zh-CN"/>
        </w:rPr>
        <w:t>与定点医疗机构协商谈判后确定，</w:t>
      </w:r>
      <w:r>
        <w:rPr>
          <w:rFonts w:hint="eastAsia" w:ascii="仿宋_GB2312" w:eastAsia="仿宋_GB2312" w:cs="仿宋_GB2312"/>
          <w:kern w:val="0"/>
          <w:sz w:val="32"/>
          <w:szCs w:val="32"/>
          <w:highlight w:val="none"/>
          <w:lang w:val="en-US" w:eastAsia="zh-CN"/>
        </w:rPr>
        <w:t>使</w:t>
      </w:r>
      <w:r>
        <w:rPr>
          <w:rFonts w:hint="default" w:eastAsia="仿宋_GB2312" w:cs="仿宋_GB2312"/>
          <w:b w:val="0"/>
          <w:bCs w:val="0"/>
          <w:kern w:val="2"/>
          <w:sz w:val="32"/>
          <w:szCs w:val="32"/>
          <w:highlight w:val="none"/>
          <w:lang w:val="en" w:eastAsia="zh-CN"/>
        </w:rPr>
        <w:t>年度可分配总额、</w:t>
      </w:r>
      <w:r>
        <w:rPr>
          <w:rFonts w:hint="eastAsia" w:eastAsia="仿宋_GB2312" w:cs="仿宋_GB2312"/>
          <w:kern w:val="2"/>
          <w:sz w:val="32"/>
          <w:szCs w:val="32"/>
          <w:highlight w:val="none"/>
          <w:lang w:val="en-US" w:eastAsia="zh-CN"/>
        </w:rPr>
        <w:t>DIP</w:t>
      </w:r>
      <w:r>
        <w:rPr>
          <w:rFonts w:hint="default" w:eastAsia="仿宋_GB2312" w:cs="仿宋_GB2312"/>
          <w:b w:val="0"/>
          <w:bCs w:val="0"/>
          <w:kern w:val="2"/>
          <w:sz w:val="32"/>
          <w:szCs w:val="32"/>
          <w:highlight w:val="none"/>
          <w:lang w:val="en" w:eastAsia="zh-CN"/>
        </w:rPr>
        <w:t>病种目录库</w:t>
      </w:r>
      <w:r>
        <w:rPr>
          <w:rFonts w:hint="eastAsia" w:ascii="仿宋_GB2312" w:eastAsia="仿宋_GB2312" w:cs="仿宋_GB2312"/>
          <w:kern w:val="0"/>
          <w:sz w:val="32"/>
          <w:szCs w:val="32"/>
          <w:highlight w:val="none"/>
          <w:lang w:val="en-US" w:eastAsia="zh-CN"/>
        </w:rPr>
        <w:t>更加科学合理</w:t>
      </w:r>
      <w:r>
        <w:rPr>
          <w:rFonts w:hint="eastAsia" w:eastAsia="仿宋_GB2312" w:cs="仿宋_GB2312"/>
          <w:kern w:val="0"/>
          <w:sz w:val="32"/>
          <w:szCs w:val="32"/>
          <w:highlight w:val="none"/>
          <w:lang w:val="en-US" w:eastAsia="zh-CN"/>
        </w:rPr>
        <w:t>，</w:t>
      </w:r>
      <w:r>
        <w:rPr>
          <w:rFonts w:hint="eastAsia" w:eastAsia="仿宋_GB2312" w:cs="仿宋_GB2312"/>
          <w:kern w:val="2"/>
          <w:sz w:val="32"/>
          <w:szCs w:val="32"/>
          <w:highlight w:val="none"/>
          <w:lang w:val="en-US" w:eastAsia="zh-CN"/>
        </w:rPr>
        <w:t>符合DIP经办规程中DIP病种目录、分值动态调整等相关标准制定中，逐步建立并完善医保协商谈判机制，</w:t>
      </w:r>
      <w:r>
        <w:rPr>
          <w:rFonts w:hint="eastAsia" w:eastAsia="仿宋_GB2312"/>
          <w:color w:val="auto"/>
          <w:sz w:val="32"/>
          <w:highlight w:val="none"/>
          <w:lang w:val="en-US" w:eastAsia="zh-CN"/>
        </w:rPr>
        <w:t>促进定点医疗机构集体协商</w:t>
      </w:r>
      <w:r>
        <w:rPr>
          <w:rFonts w:hint="eastAsia" w:eastAsia="仿宋_GB2312" w:cs="仿宋_GB2312"/>
          <w:kern w:val="2"/>
          <w:sz w:val="32"/>
          <w:szCs w:val="32"/>
          <w:highlight w:val="none"/>
          <w:lang w:val="en-US" w:eastAsia="zh-CN"/>
        </w:rPr>
        <w:t>的要求。厦门、杭州等地已建立协商谈判机制，明确医保基金支出增长率、病种目录、分值动态及调整系数由医保部门组织医疗机构及专家进行协商谈判确定。</w:t>
      </w:r>
    </w:p>
    <w:p>
      <w:pPr>
        <w:ind w:firstLine="640"/>
        <w:rPr>
          <w:rFonts w:hint="eastAsia" w:ascii="楷体_GB2312" w:hAnsi="楷体_GB2312" w:eastAsia="楷体_GB2312" w:cs="楷体_GB2312"/>
          <w:b/>
          <w:bCs/>
          <w:color w:val="auto"/>
          <w:kern w:val="2"/>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rPr>
        <w:t>（六）增加核心要素调整机制。</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明确</w:t>
      </w:r>
      <w:r>
        <w:rPr>
          <w:rFonts w:hint="eastAsia" w:ascii="仿宋_GB2312" w:hAnsi="仿宋_GB2312" w:eastAsia="仿宋_GB2312" w:cs="仿宋_GB2312"/>
          <w:kern w:val="2"/>
          <w:sz w:val="32"/>
          <w:szCs w:val="32"/>
          <w:highlight w:val="none"/>
          <w:lang w:val="en-US" w:eastAsia="zh-CN"/>
        </w:rPr>
        <w:t>相关重大政策调整、重大公共卫生事件、自然灾害等特殊情形发生时，</w:t>
      </w:r>
      <w:r>
        <w:rPr>
          <w:rFonts w:hint="eastAsia" w:ascii="仿宋_GB2312" w:hAnsi="仿宋_GB2312" w:eastAsia="仿宋_GB2312" w:cs="仿宋_GB2312"/>
          <w:sz w:val="32"/>
          <w:szCs w:val="32"/>
          <w:highlight w:val="none"/>
        </w:rPr>
        <w:t>市医疗保障</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lang w:val="en-US" w:eastAsia="zh-CN"/>
        </w:rPr>
        <w:t>可以根据实际情况调整年度可分配总额，门诊按人头付费标准、</w:t>
      </w:r>
      <w:r>
        <w:rPr>
          <w:rFonts w:hint="eastAsia" w:ascii="仿宋_GB2312" w:hAnsi="仿宋_GB2312" w:eastAsia="仿宋_GB2312" w:cs="仿宋_GB2312"/>
          <w:b w:val="0"/>
          <w:bCs w:val="0"/>
          <w:sz w:val="32"/>
          <w:szCs w:val="32"/>
          <w:highlight w:val="none"/>
          <w:lang w:val="en-US" w:eastAsia="zh-CN"/>
        </w:rPr>
        <w:t>APG</w:t>
      </w:r>
      <w:r>
        <w:rPr>
          <w:rFonts w:hint="eastAsia" w:ascii="仿宋_GB2312" w:hAnsi="仿宋_GB2312" w:eastAsia="仿宋_GB2312" w:cs="仿宋_GB2312"/>
          <w:sz w:val="32"/>
          <w:szCs w:val="32"/>
          <w:highlight w:val="none"/>
          <w:lang w:val="en-US" w:eastAsia="zh-CN"/>
        </w:rPr>
        <w:t>点数，住院病种分值、按床日付费标准等指标</w:t>
      </w:r>
      <w:r>
        <w:rPr>
          <w:rFonts w:hint="eastAsia" w:ascii="仿宋_GB2312" w:hAnsi="仿宋_GB2312" w:eastAsia="仿宋_GB2312" w:cs="仿宋_GB2312"/>
          <w:kern w:val="2"/>
          <w:sz w:val="32"/>
          <w:szCs w:val="32"/>
          <w:highlight w:val="none"/>
          <w:lang w:val="en-US" w:eastAsia="zh-CN"/>
        </w:rPr>
        <w:t>，通过增加自主权提高改革效率。国家、省DIP经办规程中提出，</w:t>
      </w:r>
      <w:r>
        <w:rPr>
          <w:rFonts w:hint="eastAsia" w:ascii="仿宋_GB2312" w:hAnsi="仿宋_GB2312" w:eastAsia="仿宋_GB2312" w:cs="仿宋_GB2312"/>
          <w:sz w:val="32"/>
          <w:szCs w:val="32"/>
          <w:highlight w:val="none"/>
          <w:lang w:eastAsia="zh-CN"/>
        </w:rPr>
        <w:t>特殊情形发生需要调整</w:t>
      </w:r>
      <w:r>
        <w:rPr>
          <w:rFonts w:hint="eastAsia" w:ascii="仿宋_GB2312" w:hAnsi="仿宋_GB2312" w:eastAsia="仿宋_GB2312" w:cs="仿宋_GB2312"/>
          <w:b w:val="0"/>
          <w:bCs w:val="0"/>
          <w:kern w:val="2"/>
          <w:sz w:val="32"/>
          <w:szCs w:val="32"/>
          <w:highlight w:val="none"/>
          <w:lang w:val="en-US" w:eastAsia="zh-CN"/>
        </w:rPr>
        <w:t>总额预算</w:t>
      </w:r>
      <w:r>
        <w:rPr>
          <w:rFonts w:hint="eastAsia" w:ascii="仿宋_GB2312" w:hAnsi="仿宋_GB2312" w:eastAsia="仿宋_GB2312" w:cs="仿宋_GB2312"/>
          <w:sz w:val="32"/>
          <w:szCs w:val="32"/>
          <w:highlight w:val="none"/>
          <w:lang w:eastAsia="zh-CN"/>
        </w:rPr>
        <w:t>的，由统筹地区根据实际情况调整。厦门、杭州等地均已按</w:t>
      </w:r>
      <w:r>
        <w:rPr>
          <w:rFonts w:hint="eastAsia" w:ascii="仿宋_GB2312" w:hAnsi="仿宋_GB2312" w:eastAsia="仿宋_GB2312" w:cs="仿宋_GB2312"/>
          <w:kern w:val="2"/>
          <w:sz w:val="32"/>
          <w:szCs w:val="32"/>
          <w:highlight w:val="none"/>
          <w:lang w:val="en-US" w:eastAsia="zh-CN"/>
        </w:rPr>
        <w:t>经办规程要求</w:t>
      </w:r>
      <w:r>
        <w:rPr>
          <w:rFonts w:hint="eastAsia" w:ascii="仿宋_GB2312" w:hAnsi="仿宋_GB2312" w:eastAsia="仿宋_GB2312" w:cs="仿宋_GB2312"/>
          <w:sz w:val="32"/>
          <w:szCs w:val="32"/>
          <w:highlight w:val="none"/>
          <w:lang w:eastAsia="zh-CN"/>
        </w:rPr>
        <w:t>建立总额预算调整机制。</w:t>
      </w:r>
    </w:p>
    <w:p>
      <w:pPr>
        <w:pStyle w:val="2"/>
        <w:keepNext w:val="0"/>
        <w:keepLines w:val="0"/>
        <w:pageBreakBefore w:val="0"/>
        <w:widowControl w:val="0"/>
        <w:kinsoku/>
        <w:wordWrap/>
        <w:overflowPunct/>
        <w:topLinePunct w:val="0"/>
        <w:bidi w:val="0"/>
        <w:adjustRightInd/>
        <w:spacing w:line="560" w:lineRule="exact"/>
        <w:ind w:left="0" w:firstLine="64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（七）优化职责分工，明确重要时限。</w:t>
      </w:r>
    </w:p>
    <w:p>
      <w:pPr>
        <w:pStyle w:val="2"/>
        <w:keepNext w:val="0"/>
        <w:keepLines w:val="0"/>
        <w:pageBreakBefore w:val="0"/>
        <w:widowControl w:val="0"/>
        <w:kinsoku/>
        <w:wordWrap/>
        <w:overflowPunct/>
        <w:topLinePunct w:val="0"/>
        <w:bidi w:val="0"/>
        <w:adjustRightInd/>
        <w:spacing w:line="560" w:lineRule="exact"/>
        <w:ind w:firstLine="640" w:firstLineChars="0"/>
        <w:textAlignment w:val="auto"/>
        <w:rPr>
          <w:rFonts w:hint="eastAsia" w:eastAsia="仿宋_GB2312" w:cs="仿宋_GB2312"/>
          <w:color w:val="000000"/>
          <w:sz w:val="32"/>
          <w:szCs w:val="32"/>
          <w:highlight w:val="none"/>
          <w:lang w:val="en-US" w:eastAsia="zh-CN"/>
        </w:rPr>
      </w:pPr>
      <w:r>
        <w:rPr>
          <w:rFonts w:hint="eastAsia" w:eastAsia="仿宋_GB2312" w:cs="仿宋_GB2312"/>
          <w:b/>
          <w:bCs/>
          <w:sz w:val="32"/>
          <w:szCs w:val="32"/>
          <w:highlight w:val="none"/>
          <w:lang w:val="en-US" w:eastAsia="zh-CN"/>
        </w:rPr>
        <w:t>一是优化行政部门与经办机构职责分工。</w:t>
      </w:r>
      <w:r>
        <w:rPr>
          <w:rFonts w:hint="eastAsia" w:eastAsia="仿宋_GB2312" w:cs="仿宋_GB2312"/>
          <w:sz w:val="32"/>
          <w:szCs w:val="32"/>
          <w:highlight w:val="none"/>
          <w:lang w:val="en-US" w:eastAsia="zh-CN"/>
        </w:rPr>
        <w:t>修订后行政部门负责制定并完善支付相关制度和办法，负责周期性调标，负责审核年度可分配总额。经办机构负责经办管理及运行情况分析；负责与医疗机构协商谈判，拟定基金预算支出总额和年度可分配总额；负责周期内调标。按照国家经办规程要求，将年度可分配总额测算及协商谈判职责下放到经办机构，使基金预算支出总额和年度可分配总额测算工作更加协同。天津、杭州、金华等地的年度可分配总额测算由经办机构完成。</w:t>
      </w:r>
      <w:r>
        <w:rPr>
          <w:rFonts w:hint="eastAsia" w:eastAsia="仿宋_GB2312"/>
          <w:b/>
          <w:bCs/>
          <w:color w:val="000000"/>
          <w:sz w:val="32"/>
          <w:szCs w:val="32"/>
          <w:highlight w:val="none"/>
          <w:lang w:val="en-US" w:eastAsia="zh-CN"/>
        </w:rPr>
        <w:t>二是明确年终清算时限。</w:t>
      </w:r>
      <w:r>
        <w:rPr>
          <w:rFonts w:hint="eastAsia" w:eastAsia="仿宋_GB2312"/>
          <w:b w:val="0"/>
          <w:bCs w:val="0"/>
          <w:color w:val="000000"/>
          <w:sz w:val="32"/>
          <w:szCs w:val="32"/>
          <w:highlight w:val="none"/>
          <w:lang w:val="en-US" w:eastAsia="zh-CN"/>
        </w:rPr>
        <w:t>根据审计部门意见，</w:t>
      </w:r>
      <w:r>
        <w:rPr>
          <w:rFonts w:hint="eastAsia" w:eastAsia="仿宋_GB2312" w:cs="仿宋_GB2312"/>
          <w:color w:val="000000"/>
          <w:sz w:val="32"/>
          <w:szCs w:val="32"/>
          <w:highlight w:val="none"/>
          <w:lang w:val="en-US" w:eastAsia="zh-CN"/>
        </w:rPr>
        <w:t>修订稿中</w:t>
      </w:r>
      <w:r>
        <w:rPr>
          <w:rFonts w:hint="eastAsia" w:eastAsia="仿宋_GB2312"/>
          <w:b w:val="0"/>
          <w:bCs w:val="0"/>
          <w:color w:val="000000"/>
          <w:sz w:val="32"/>
          <w:szCs w:val="32"/>
          <w:highlight w:val="none"/>
          <w:lang w:val="en-US" w:eastAsia="zh-CN"/>
        </w:rPr>
        <w:t>增</w:t>
      </w:r>
      <w:r>
        <w:rPr>
          <w:rFonts w:hint="eastAsia" w:eastAsia="仿宋_GB2312"/>
          <w:color w:val="000000"/>
          <w:sz w:val="32"/>
          <w:szCs w:val="32"/>
          <w:highlight w:val="none"/>
          <w:lang w:val="en-US" w:eastAsia="zh-CN"/>
        </w:rPr>
        <w:t>加年终清算完成时限</w:t>
      </w:r>
      <w:r>
        <w:rPr>
          <w:rFonts w:hint="eastAsia" w:eastAsia="仿宋_GB2312" w:cs="仿宋_GB2312"/>
          <w:color w:val="000000"/>
          <w:sz w:val="32"/>
          <w:szCs w:val="32"/>
          <w:highlight w:val="none"/>
          <w:lang w:eastAsia="zh-CN"/>
        </w:rPr>
        <w:t>，</w:t>
      </w:r>
      <w:r>
        <w:rPr>
          <w:rFonts w:hint="eastAsia" w:eastAsia="仿宋_GB2312" w:cs="仿宋_GB2312"/>
          <w:color w:val="000000"/>
          <w:sz w:val="32"/>
          <w:szCs w:val="32"/>
          <w:highlight w:val="none"/>
          <w:lang w:val="en-US" w:eastAsia="zh-CN"/>
        </w:rPr>
        <w:t>明确</w:t>
      </w:r>
      <w:r>
        <w:rPr>
          <w:rFonts w:hint="eastAsia" w:ascii="仿宋_GB2312" w:hAnsi="仿宋_GB2312" w:eastAsia="仿宋_GB2312" w:cs="仿宋_GB2312"/>
          <w:color w:val="000000"/>
          <w:sz w:val="32"/>
          <w:szCs w:val="32"/>
          <w:highlight w:val="none"/>
        </w:rPr>
        <w:t>经办机构应当于次年上半年前完成与定点医药机构本年度的年终清算</w:t>
      </w:r>
      <w:r>
        <w:rPr>
          <w:rFonts w:hint="eastAsia" w:eastAsia="仿宋_GB2312" w:cs="仿宋_GB2312"/>
          <w:color w:val="000000"/>
          <w:sz w:val="32"/>
          <w:szCs w:val="32"/>
          <w:highlight w:val="none"/>
          <w:lang w:eastAsia="zh-CN"/>
        </w:rPr>
        <w:t>，压实经办机构责任。广州、厦门、杭州及金华均对</w:t>
      </w:r>
      <w:r>
        <w:rPr>
          <w:rFonts w:hint="eastAsia" w:eastAsia="仿宋_GB2312"/>
          <w:b w:val="0"/>
          <w:bCs w:val="0"/>
          <w:color w:val="000000"/>
          <w:sz w:val="32"/>
          <w:szCs w:val="32"/>
          <w:highlight w:val="none"/>
          <w:lang w:val="en-US" w:eastAsia="zh-CN"/>
        </w:rPr>
        <w:t>年终清算时限做了明确要求。</w:t>
      </w:r>
    </w:p>
    <w:p>
      <w:pPr>
        <w:pStyle w:val="2"/>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eastAsia" w:ascii="仿宋_GB2312" w:hAnsi="仿宋_GB2312" w:eastAsia="仿宋_GB2312" w:cs="仿宋_GB2312"/>
          <w:sz w:val="32"/>
          <w:szCs w:val="32"/>
          <w:highlight w:val="none"/>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NzQyMzczMjgxN2YxMmM0OGZkOTU5MGUwY2FhMDUifQ=="/>
  </w:docVars>
  <w:rsids>
    <w:rsidRoot w:val="00172A27"/>
    <w:rsid w:val="00030630"/>
    <w:rsid w:val="00052A18"/>
    <w:rsid w:val="000B77AE"/>
    <w:rsid w:val="00172A27"/>
    <w:rsid w:val="001A6EA8"/>
    <w:rsid w:val="001D4FD8"/>
    <w:rsid w:val="001E5686"/>
    <w:rsid w:val="002140A7"/>
    <w:rsid w:val="00270821"/>
    <w:rsid w:val="00422D94"/>
    <w:rsid w:val="00426BF6"/>
    <w:rsid w:val="00525624"/>
    <w:rsid w:val="00687263"/>
    <w:rsid w:val="006E7E4D"/>
    <w:rsid w:val="00737935"/>
    <w:rsid w:val="0081071A"/>
    <w:rsid w:val="00833884"/>
    <w:rsid w:val="008727F4"/>
    <w:rsid w:val="00932358"/>
    <w:rsid w:val="00987AB3"/>
    <w:rsid w:val="00AD4DDB"/>
    <w:rsid w:val="00B16FD3"/>
    <w:rsid w:val="00BB5597"/>
    <w:rsid w:val="00BF2BAB"/>
    <w:rsid w:val="00C07801"/>
    <w:rsid w:val="00C55510"/>
    <w:rsid w:val="00C86E23"/>
    <w:rsid w:val="00E714A8"/>
    <w:rsid w:val="00F272D6"/>
    <w:rsid w:val="00FC25FC"/>
    <w:rsid w:val="00FF29F1"/>
    <w:rsid w:val="010D0B5F"/>
    <w:rsid w:val="013C3AC2"/>
    <w:rsid w:val="014D17D4"/>
    <w:rsid w:val="018C5537"/>
    <w:rsid w:val="01DD53D3"/>
    <w:rsid w:val="02025B27"/>
    <w:rsid w:val="02255E9E"/>
    <w:rsid w:val="02E55BC5"/>
    <w:rsid w:val="02F06D01"/>
    <w:rsid w:val="03300793"/>
    <w:rsid w:val="0342681D"/>
    <w:rsid w:val="038209E2"/>
    <w:rsid w:val="03962283"/>
    <w:rsid w:val="04146F12"/>
    <w:rsid w:val="0467217F"/>
    <w:rsid w:val="047D1138"/>
    <w:rsid w:val="04BE356C"/>
    <w:rsid w:val="04EF08C3"/>
    <w:rsid w:val="04EF75F1"/>
    <w:rsid w:val="05090369"/>
    <w:rsid w:val="052F3C13"/>
    <w:rsid w:val="05341FA4"/>
    <w:rsid w:val="05545D2F"/>
    <w:rsid w:val="056E3476"/>
    <w:rsid w:val="057BF1E7"/>
    <w:rsid w:val="057C76FF"/>
    <w:rsid w:val="05A24493"/>
    <w:rsid w:val="05AF2334"/>
    <w:rsid w:val="05D14000"/>
    <w:rsid w:val="06061324"/>
    <w:rsid w:val="061762B4"/>
    <w:rsid w:val="062517A7"/>
    <w:rsid w:val="067714ED"/>
    <w:rsid w:val="06A04E9F"/>
    <w:rsid w:val="06DF5E37"/>
    <w:rsid w:val="06DF78C3"/>
    <w:rsid w:val="06E935E4"/>
    <w:rsid w:val="06FB3DCB"/>
    <w:rsid w:val="073943F6"/>
    <w:rsid w:val="07437EC6"/>
    <w:rsid w:val="075A2394"/>
    <w:rsid w:val="075A2576"/>
    <w:rsid w:val="07706EA0"/>
    <w:rsid w:val="0778732A"/>
    <w:rsid w:val="079562A7"/>
    <w:rsid w:val="07BE421D"/>
    <w:rsid w:val="07E74C45"/>
    <w:rsid w:val="08217073"/>
    <w:rsid w:val="08253734"/>
    <w:rsid w:val="087A1B6B"/>
    <w:rsid w:val="087E481C"/>
    <w:rsid w:val="0888210A"/>
    <w:rsid w:val="08B50BDA"/>
    <w:rsid w:val="08B51248"/>
    <w:rsid w:val="08D90573"/>
    <w:rsid w:val="08F73FDD"/>
    <w:rsid w:val="08FDC99D"/>
    <w:rsid w:val="093C1834"/>
    <w:rsid w:val="09884013"/>
    <w:rsid w:val="098A3FD0"/>
    <w:rsid w:val="09E0599D"/>
    <w:rsid w:val="0A0F49D0"/>
    <w:rsid w:val="0A396634"/>
    <w:rsid w:val="0A3C7870"/>
    <w:rsid w:val="0A4B63F3"/>
    <w:rsid w:val="0A5C720D"/>
    <w:rsid w:val="0A84714E"/>
    <w:rsid w:val="0AA56CC2"/>
    <w:rsid w:val="0AAE262A"/>
    <w:rsid w:val="0ABB75F1"/>
    <w:rsid w:val="0AD0791D"/>
    <w:rsid w:val="0AD872F4"/>
    <w:rsid w:val="0AE00DD2"/>
    <w:rsid w:val="0AEA1C12"/>
    <w:rsid w:val="0B4D732A"/>
    <w:rsid w:val="0B5C3348"/>
    <w:rsid w:val="0B6A3859"/>
    <w:rsid w:val="0B6B175F"/>
    <w:rsid w:val="0B7F3FCD"/>
    <w:rsid w:val="0BA705E4"/>
    <w:rsid w:val="0BC30F31"/>
    <w:rsid w:val="0BD30C67"/>
    <w:rsid w:val="0BE975AB"/>
    <w:rsid w:val="0C054F1D"/>
    <w:rsid w:val="0C095F61"/>
    <w:rsid w:val="0C215C45"/>
    <w:rsid w:val="0C293C42"/>
    <w:rsid w:val="0C2D34F0"/>
    <w:rsid w:val="0C396B95"/>
    <w:rsid w:val="0C3D0FC0"/>
    <w:rsid w:val="0C4E3ECE"/>
    <w:rsid w:val="0C7732C6"/>
    <w:rsid w:val="0C7F434A"/>
    <w:rsid w:val="0CAA0920"/>
    <w:rsid w:val="0CAD187D"/>
    <w:rsid w:val="0CF83B5A"/>
    <w:rsid w:val="0D200440"/>
    <w:rsid w:val="0D2C6548"/>
    <w:rsid w:val="0D422127"/>
    <w:rsid w:val="0D4D0AEF"/>
    <w:rsid w:val="0D732FC6"/>
    <w:rsid w:val="0DA362C1"/>
    <w:rsid w:val="0DE90C0F"/>
    <w:rsid w:val="0DEB1385"/>
    <w:rsid w:val="0E0A4299"/>
    <w:rsid w:val="0E5100E6"/>
    <w:rsid w:val="0E9F05EF"/>
    <w:rsid w:val="0EC31D6F"/>
    <w:rsid w:val="0EC37816"/>
    <w:rsid w:val="0F015BCA"/>
    <w:rsid w:val="0F123571"/>
    <w:rsid w:val="0F454E7D"/>
    <w:rsid w:val="0F7911D6"/>
    <w:rsid w:val="0F9268E6"/>
    <w:rsid w:val="0F9EFA52"/>
    <w:rsid w:val="0FBF410C"/>
    <w:rsid w:val="0FCB52FC"/>
    <w:rsid w:val="0FCC18D0"/>
    <w:rsid w:val="0FFD0502"/>
    <w:rsid w:val="10195F0C"/>
    <w:rsid w:val="10284D13"/>
    <w:rsid w:val="106A5AE3"/>
    <w:rsid w:val="10BF723E"/>
    <w:rsid w:val="10C66A21"/>
    <w:rsid w:val="10E33B4C"/>
    <w:rsid w:val="1105549E"/>
    <w:rsid w:val="11291DB9"/>
    <w:rsid w:val="114A3D05"/>
    <w:rsid w:val="116E1B9D"/>
    <w:rsid w:val="11E3274B"/>
    <w:rsid w:val="11E57097"/>
    <w:rsid w:val="11EF6BD9"/>
    <w:rsid w:val="11FB4C05"/>
    <w:rsid w:val="11FBDC62"/>
    <w:rsid w:val="122A51EE"/>
    <w:rsid w:val="123A75C9"/>
    <w:rsid w:val="124711EC"/>
    <w:rsid w:val="124E06DB"/>
    <w:rsid w:val="12733345"/>
    <w:rsid w:val="12C3360F"/>
    <w:rsid w:val="12C80001"/>
    <w:rsid w:val="130E625E"/>
    <w:rsid w:val="132A39C6"/>
    <w:rsid w:val="136866AF"/>
    <w:rsid w:val="13BEE7E2"/>
    <w:rsid w:val="13EC32BB"/>
    <w:rsid w:val="142223E9"/>
    <w:rsid w:val="14363477"/>
    <w:rsid w:val="143E2A94"/>
    <w:rsid w:val="14497CEB"/>
    <w:rsid w:val="14535397"/>
    <w:rsid w:val="148443FC"/>
    <w:rsid w:val="14AE793A"/>
    <w:rsid w:val="14D24071"/>
    <w:rsid w:val="14DB3516"/>
    <w:rsid w:val="14F80C77"/>
    <w:rsid w:val="156106B3"/>
    <w:rsid w:val="1564131B"/>
    <w:rsid w:val="1586064C"/>
    <w:rsid w:val="159D8010"/>
    <w:rsid w:val="15B0600B"/>
    <w:rsid w:val="15C22C73"/>
    <w:rsid w:val="15E12F53"/>
    <w:rsid w:val="15E233BC"/>
    <w:rsid w:val="15F19BF0"/>
    <w:rsid w:val="15FA553B"/>
    <w:rsid w:val="15FB0B4A"/>
    <w:rsid w:val="16150EF7"/>
    <w:rsid w:val="16162FCF"/>
    <w:rsid w:val="161F1171"/>
    <w:rsid w:val="16375968"/>
    <w:rsid w:val="16402B9E"/>
    <w:rsid w:val="166A2BBF"/>
    <w:rsid w:val="167E72C6"/>
    <w:rsid w:val="16834F67"/>
    <w:rsid w:val="169BC948"/>
    <w:rsid w:val="16A46006"/>
    <w:rsid w:val="16CB4599"/>
    <w:rsid w:val="16EE13FD"/>
    <w:rsid w:val="170B5787"/>
    <w:rsid w:val="17313E63"/>
    <w:rsid w:val="173A4944"/>
    <w:rsid w:val="17980BC4"/>
    <w:rsid w:val="17B925E5"/>
    <w:rsid w:val="17CC713D"/>
    <w:rsid w:val="17DC45D5"/>
    <w:rsid w:val="17E1792C"/>
    <w:rsid w:val="17FBA969"/>
    <w:rsid w:val="17FF024B"/>
    <w:rsid w:val="17FFD1AE"/>
    <w:rsid w:val="181B47A9"/>
    <w:rsid w:val="182A41C7"/>
    <w:rsid w:val="18403EB4"/>
    <w:rsid w:val="186216BB"/>
    <w:rsid w:val="186C227A"/>
    <w:rsid w:val="18A339B7"/>
    <w:rsid w:val="18AD6609"/>
    <w:rsid w:val="18BC260E"/>
    <w:rsid w:val="18E138E1"/>
    <w:rsid w:val="191574AD"/>
    <w:rsid w:val="192920E4"/>
    <w:rsid w:val="19613C07"/>
    <w:rsid w:val="198D6B5B"/>
    <w:rsid w:val="19BA55BD"/>
    <w:rsid w:val="19C740D5"/>
    <w:rsid w:val="1A1D2FDA"/>
    <w:rsid w:val="1A403E19"/>
    <w:rsid w:val="1A5225A4"/>
    <w:rsid w:val="1A6B1A4F"/>
    <w:rsid w:val="1A9C3D4C"/>
    <w:rsid w:val="1ABB06D8"/>
    <w:rsid w:val="1ABB2EBF"/>
    <w:rsid w:val="1ABE2E87"/>
    <w:rsid w:val="1B2718E2"/>
    <w:rsid w:val="1B3154DB"/>
    <w:rsid w:val="1B4B3E04"/>
    <w:rsid w:val="1B83341D"/>
    <w:rsid w:val="1B9F2F8C"/>
    <w:rsid w:val="1BA1735F"/>
    <w:rsid w:val="1BA82B47"/>
    <w:rsid w:val="1BAC50F5"/>
    <w:rsid w:val="1BC966FD"/>
    <w:rsid w:val="1BFD8A2D"/>
    <w:rsid w:val="1BFEB321"/>
    <w:rsid w:val="1BFF7CC1"/>
    <w:rsid w:val="1C141503"/>
    <w:rsid w:val="1C1C6A5C"/>
    <w:rsid w:val="1C416BCD"/>
    <w:rsid w:val="1C510A2A"/>
    <w:rsid w:val="1CB82E8F"/>
    <w:rsid w:val="1CEFCC26"/>
    <w:rsid w:val="1CF51D9D"/>
    <w:rsid w:val="1D052FF5"/>
    <w:rsid w:val="1D061D40"/>
    <w:rsid w:val="1D0D39C7"/>
    <w:rsid w:val="1D24545F"/>
    <w:rsid w:val="1D27FE8F"/>
    <w:rsid w:val="1D5704AB"/>
    <w:rsid w:val="1D5C44C0"/>
    <w:rsid w:val="1D6D13DD"/>
    <w:rsid w:val="1DAFE524"/>
    <w:rsid w:val="1DB72300"/>
    <w:rsid w:val="1DC7564D"/>
    <w:rsid w:val="1DDF8396"/>
    <w:rsid w:val="1DF76449"/>
    <w:rsid w:val="1E09B0EC"/>
    <w:rsid w:val="1E0C2AE3"/>
    <w:rsid w:val="1E136936"/>
    <w:rsid w:val="1E1B0032"/>
    <w:rsid w:val="1E20121D"/>
    <w:rsid w:val="1E5870E5"/>
    <w:rsid w:val="1E8E7CC8"/>
    <w:rsid w:val="1EFF481F"/>
    <w:rsid w:val="1F043FBA"/>
    <w:rsid w:val="1F392D45"/>
    <w:rsid w:val="1F5F5C9B"/>
    <w:rsid w:val="1F6F72C1"/>
    <w:rsid w:val="1F7E375F"/>
    <w:rsid w:val="1F9D811B"/>
    <w:rsid w:val="1FA50B4C"/>
    <w:rsid w:val="1FD674B4"/>
    <w:rsid w:val="1FD6806C"/>
    <w:rsid w:val="1FD7EEAC"/>
    <w:rsid w:val="1FDE26A8"/>
    <w:rsid w:val="1FF609E3"/>
    <w:rsid w:val="1FF6CDF3"/>
    <w:rsid w:val="1FF724F6"/>
    <w:rsid w:val="1FFF0D70"/>
    <w:rsid w:val="201029CB"/>
    <w:rsid w:val="202510B1"/>
    <w:rsid w:val="206022B9"/>
    <w:rsid w:val="206530A0"/>
    <w:rsid w:val="209F0797"/>
    <w:rsid w:val="20F83F5D"/>
    <w:rsid w:val="217A539D"/>
    <w:rsid w:val="219C34AA"/>
    <w:rsid w:val="22053E70"/>
    <w:rsid w:val="222B5E80"/>
    <w:rsid w:val="227F1205"/>
    <w:rsid w:val="22954AAC"/>
    <w:rsid w:val="229972C4"/>
    <w:rsid w:val="22C874B0"/>
    <w:rsid w:val="22CA7ADA"/>
    <w:rsid w:val="22CC06EB"/>
    <w:rsid w:val="22D3079E"/>
    <w:rsid w:val="22E17B3F"/>
    <w:rsid w:val="22F64367"/>
    <w:rsid w:val="23172279"/>
    <w:rsid w:val="2324539A"/>
    <w:rsid w:val="23363D99"/>
    <w:rsid w:val="23967D6C"/>
    <w:rsid w:val="23B668AE"/>
    <w:rsid w:val="23CC65D7"/>
    <w:rsid w:val="23EA46E8"/>
    <w:rsid w:val="23FD2538"/>
    <w:rsid w:val="240436BD"/>
    <w:rsid w:val="241F7A02"/>
    <w:rsid w:val="2442396C"/>
    <w:rsid w:val="24983288"/>
    <w:rsid w:val="24A455F2"/>
    <w:rsid w:val="24C4207D"/>
    <w:rsid w:val="24E34983"/>
    <w:rsid w:val="258C28B6"/>
    <w:rsid w:val="25EE13D8"/>
    <w:rsid w:val="26191AE1"/>
    <w:rsid w:val="263A0CB3"/>
    <w:rsid w:val="26576F08"/>
    <w:rsid w:val="266C0DC8"/>
    <w:rsid w:val="267FC5F3"/>
    <w:rsid w:val="269D7EF1"/>
    <w:rsid w:val="26CE4CA7"/>
    <w:rsid w:val="26D86FF4"/>
    <w:rsid w:val="26DB4DDE"/>
    <w:rsid w:val="26E2746F"/>
    <w:rsid w:val="26E57965"/>
    <w:rsid w:val="27645344"/>
    <w:rsid w:val="27AB2D8A"/>
    <w:rsid w:val="27CE3587"/>
    <w:rsid w:val="27D32791"/>
    <w:rsid w:val="27E26019"/>
    <w:rsid w:val="27E76C6D"/>
    <w:rsid w:val="27EA2624"/>
    <w:rsid w:val="27FC27CF"/>
    <w:rsid w:val="282F60AE"/>
    <w:rsid w:val="285008F3"/>
    <w:rsid w:val="28621950"/>
    <w:rsid w:val="287622EF"/>
    <w:rsid w:val="28EA419D"/>
    <w:rsid w:val="292359AA"/>
    <w:rsid w:val="29455AA0"/>
    <w:rsid w:val="29641A06"/>
    <w:rsid w:val="296874D8"/>
    <w:rsid w:val="296F2D3F"/>
    <w:rsid w:val="29BB5D58"/>
    <w:rsid w:val="29D8459B"/>
    <w:rsid w:val="29EF0B99"/>
    <w:rsid w:val="2A0A5302"/>
    <w:rsid w:val="2A10175D"/>
    <w:rsid w:val="2A1D0656"/>
    <w:rsid w:val="2A3376F3"/>
    <w:rsid w:val="2A4B6D77"/>
    <w:rsid w:val="2A825E07"/>
    <w:rsid w:val="2A864E3E"/>
    <w:rsid w:val="2AA2465E"/>
    <w:rsid w:val="2ADD4E5E"/>
    <w:rsid w:val="2ADF56FF"/>
    <w:rsid w:val="2AF53036"/>
    <w:rsid w:val="2B190D1B"/>
    <w:rsid w:val="2B1B2315"/>
    <w:rsid w:val="2B3DDDE5"/>
    <w:rsid w:val="2B4D31F2"/>
    <w:rsid w:val="2B524DFD"/>
    <w:rsid w:val="2B535BCB"/>
    <w:rsid w:val="2B670A2D"/>
    <w:rsid w:val="2B6F7B98"/>
    <w:rsid w:val="2B7D2AAB"/>
    <w:rsid w:val="2B7F54FA"/>
    <w:rsid w:val="2BAC5800"/>
    <w:rsid w:val="2BBE2F37"/>
    <w:rsid w:val="2BFFFAE6"/>
    <w:rsid w:val="2C0F5823"/>
    <w:rsid w:val="2C254DD5"/>
    <w:rsid w:val="2C265662"/>
    <w:rsid w:val="2C2C7FC8"/>
    <w:rsid w:val="2C387C08"/>
    <w:rsid w:val="2CB2724A"/>
    <w:rsid w:val="2CDD43F9"/>
    <w:rsid w:val="2CF35A3E"/>
    <w:rsid w:val="2D3B60F0"/>
    <w:rsid w:val="2D6460A6"/>
    <w:rsid w:val="2D9C132B"/>
    <w:rsid w:val="2DA74A30"/>
    <w:rsid w:val="2DC40261"/>
    <w:rsid w:val="2DDB66F6"/>
    <w:rsid w:val="2DDD5C81"/>
    <w:rsid w:val="2DE15DEC"/>
    <w:rsid w:val="2DF78513"/>
    <w:rsid w:val="2E05208F"/>
    <w:rsid w:val="2E257C32"/>
    <w:rsid w:val="2E5B568C"/>
    <w:rsid w:val="2E5D306D"/>
    <w:rsid w:val="2E6B3F20"/>
    <w:rsid w:val="2EA178A1"/>
    <w:rsid w:val="2EB65153"/>
    <w:rsid w:val="2EF701A6"/>
    <w:rsid w:val="2EFA6136"/>
    <w:rsid w:val="2F173E5F"/>
    <w:rsid w:val="2F2D64EB"/>
    <w:rsid w:val="2F3E3C10"/>
    <w:rsid w:val="2F3EE384"/>
    <w:rsid w:val="2F407E2C"/>
    <w:rsid w:val="2F5226BD"/>
    <w:rsid w:val="2F694A71"/>
    <w:rsid w:val="2F6F47AB"/>
    <w:rsid w:val="2F710E47"/>
    <w:rsid w:val="2F9C4908"/>
    <w:rsid w:val="2FDE4DE6"/>
    <w:rsid w:val="2FDF6601"/>
    <w:rsid w:val="2FE364C3"/>
    <w:rsid w:val="2FEBCC06"/>
    <w:rsid w:val="2FFBF50C"/>
    <w:rsid w:val="2FFF69D3"/>
    <w:rsid w:val="30275B29"/>
    <w:rsid w:val="30404964"/>
    <w:rsid w:val="305B1514"/>
    <w:rsid w:val="30674E3D"/>
    <w:rsid w:val="307A4FBE"/>
    <w:rsid w:val="30B3776F"/>
    <w:rsid w:val="30BC1BE8"/>
    <w:rsid w:val="30D57160"/>
    <w:rsid w:val="30D5726A"/>
    <w:rsid w:val="30E3277E"/>
    <w:rsid w:val="30FA4FC1"/>
    <w:rsid w:val="310E5A85"/>
    <w:rsid w:val="313A6D3C"/>
    <w:rsid w:val="314834B8"/>
    <w:rsid w:val="314C2766"/>
    <w:rsid w:val="317A60B1"/>
    <w:rsid w:val="31937A28"/>
    <w:rsid w:val="31AC3E03"/>
    <w:rsid w:val="31D33DD9"/>
    <w:rsid w:val="32231D42"/>
    <w:rsid w:val="323BCADD"/>
    <w:rsid w:val="324A36FE"/>
    <w:rsid w:val="325D6C84"/>
    <w:rsid w:val="3260786A"/>
    <w:rsid w:val="32AF1637"/>
    <w:rsid w:val="32B66D3C"/>
    <w:rsid w:val="32C56CD3"/>
    <w:rsid w:val="3306060E"/>
    <w:rsid w:val="331251EA"/>
    <w:rsid w:val="332B14F1"/>
    <w:rsid w:val="333B629C"/>
    <w:rsid w:val="333F4355"/>
    <w:rsid w:val="334C1B0C"/>
    <w:rsid w:val="33534E30"/>
    <w:rsid w:val="33936A47"/>
    <w:rsid w:val="33B1421A"/>
    <w:rsid w:val="33BD4EFF"/>
    <w:rsid w:val="33DE56A1"/>
    <w:rsid w:val="33DE5DF3"/>
    <w:rsid w:val="33DF19AF"/>
    <w:rsid w:val="33E82B8D"/>
    <w:rsid w:val="33F71B69"/>
    <w:rsid w:val="3402506F"/>
    <w:rsid w:val="34212325"/>
    <w:rsid w:val="34735323"/>
    <w:rsid w:val="347F1D30"/>
    <w:rsid w:val="348B612F"/>
    <w:rsid w:val="34A579B9"/>
    <w:rsid w:val="3500239B"/>
    <w:rsid w:val="35041E81"/>
    <w:rsid w:val="352C6F62"/>
    <w:rsid w:val="353FB4A2"/>
    <w:rsid w:val="35710C57"/>
    <w:rsid w:val="35784EA8"/>
    <w:rsid w:val="359F0A93"/>
    <w:rsid w:val="35ED6735"/>
    <w:rsid w:val="35F6768E"/>
    <w:rsid w:val="35FD31CF"/>
    <w:rsid w:val="360A1039"/>
    <w:rsid w:val="3617C1F7"/>
    <w:rsid w:val="36552F40"/>
    <w:rsid w:val="366A3DEE"/>
    <w:rsid w:val="36BA4741"/>
    <w:rsid w:val="36EEF91A"/>
    <w:rsid w:val="37045C23"/>
    <w:rsid w:val="37182BC0"/>
    <w:rsid w:val="37346A6D"/>
    <w:rsid w:val="374BD0C7"/>
    <w:rsid w:val="375B022B"/>
    <w:rsid w:val="375E738E"/>
    <w:rsid w:val="37754F09"/>
    <w:rsid w:val="377571A5"/>
    <w:rsid w:val="377704A6"/>
    <w:rsid w:val="379B2B01"/>
    <w:rsid w:val="37B6108D"/>
    <w:rsid w:val="37BF2CD5"/>
    <w:rsid w:val="37C504CF"/>
    <w:rsid w:val="37D7A718"/>
    <w:rsid w:val="37E53EEC"/>
    <w:rsid w:val="381D1207"/>
    <w:rsid w:val="38570E41"/>
    <w:rsid w:val="389C1CD2"/>
    <w:rsid w:val="38B61B56"/>
    <w:rsid w:val="39022119"/>
    <w:rsid w:val="39030A60"/>
    <w:rsid w:val="39076148"/>
    <w:rsid w:val="390E3D2C"/>
    <w:rsid w:val="398561CC"/>
    <w:rsid w:val="399116C5"/>
    <w:rsid w:val="39EEA77C"/>
    <w:rsid w:val="39F519B1"/>
    <w:rsid w:val="3A4E1C73"/>
    <w:rsid w:val="3A4E2F90"/>
    <w:rsid w:val="3A8F8EE0"/>
    <w:rsid w:val="3AFEE115"/>
    <w:rsid w:val="3B0C3690"/>
    <w:rsid w:val="3B36726B"/>
    <w:rsid w:val="3B3FBDF6"/>
    <w:rsid w:val="3B4D1B1E"/>
    <w:rsid w:val="3B501737"/>
    <w:rsid w:val="3B516C90"/>
    <w:rsid w:val="3B6346EB"/>
    <w:rsid w:val="3B7A18C4"/>
    <w:rsid w:val="3B9F52C8"/>
    <w:rsid w:val="3BA65693"/>
    <w:rsid w:val="3BDF6DB3"/>
    <w:rsid w:val="3BE6DB56"/>
    <w:rsid w:val="3BF08402"/>
    <w:rsid w:val="3BFDB751"/>
    <w:rsid w:val="3BFE6D36"/>
    <w:rsid w:val="3C1D43A0"/>
    <w:rsid w:val="3C38060D"/>
    <w:rsid w:val="3C421555"/>
    <w:rsid w:val="3C464F3F"/>
    <w:rsid w:val="3C4D1EDC"/>
    <w:rsid w:val="3C7BC02E"/>
    <w:rsid w:val="3CD57C0B"/>
    <w:rsid w:val="3D3A5678"/>
    <w:rsid w:val="3D3E6560"/>
    <w:rsid w:val="3D415158"/>
    <w:rsid w:val="3D415D26"/>
    <w:rsid w:val="3D5834CA"/>
    <w:rsid w:val="3D632118"/>
    <w:rsid w:val="3D720A64"/>
    <w:rsid w:val="3D800E84"/>
    <w:rsid w:val="3D961F09"/>
    <w:rsid w:val="3DAB10BE"/>
    <w:rsid w:val="3DBDCFA3"/>
    <w:rsid w:val="3DD7E6EA"/>
    <w:rsid w:val="3DE6BF08"/>
    <w:rsid w:val="3DFF621E"/>
    <w:rsid w:val="3E020531"/>
    <w:rsid w:val="3E3D2293"/>
    <w:rsid w:val="3E577ED8"/>
    <w:rsid w:val="3E581A49"/>
    <w:rsid w:val="3EB5078B"/>
    <w:rsid w:val="3EE95A93"/>
    <w:rsid w:val="3EF0896E"/>
    <w:rsid w:val="3EF50010"/>
    <w:rsid w:val="3EFB0591"/>
    <w:rsid w:val="3EFB4EFB"/>
    <w:rsid w:val="3EFE2876"/>
    <w:rsid w:val="3EFF5567"/>
    <w:rsid w:val="3EFF9579"/>
    <w:rsid w:val="3F217E02"/>
    <w:rsid w:val="3F34ADA9"/>
    <w:rsid w:val="3F5BF1C1"/>
    <w:rsid w:val="3F6E7233"/>
    <w:rsid w:val="3F7904CF"/>
    <w:rsid w:val="3F7F305E"/>
    <w:rsid w:val="3F7FAC4C"/>
    <w:rsid w:val="3F886675"/>
    <w:rsid w:val="3F949B41"/>
    <w:rsid w:val="3FBFEC30"/>
    <w:rsid w:val="3FCE2557"/>
    <w:rsid w:val="3FDB31BE"/>
    <w:rsid w:val="3FE5293E"/>
    <w:rsid w:val="3FECB497"/>
    <w:rsid w:val="3FEDB360"/>
    <w:rsid w:val="3FEF68FE"/>
    <w:rsid w:val="3FF3696C"/>
    <w:rsid w:val="3FFA3EE6"/>
    <w:rsid w:val="3FFCE021"/>
    <w:rsid w:val="3FFF02B9"/>
    <w:rsid w:val="3FFF2DC5"/>
    <w:rsid w:val="3FFF5486"/>
    <w:rsid w:val="3FFF7D94"/>
    <w:rsid w:val="3FFF88D2"/>
    <w:rsid w:val="3FFFF87C"/>
    <w:rsid w:val="40041968"/>
    <w:rsid w:val="40177C29"/>
    <w:rsid w:val="402E51E4"/>
    <w:rsid w:val="405E23BE"/>
    <w:rsid w:val="407E2B0D"/>
    <w:rsid w:val="40AC5C94"/>
    <w:rsid w:val="40BC26F8"/>
    <w:rsid w:val="40DD4289"/>
    <w:rsid w:val="414736D0"/>
    <w:rsid w:val="41765417"/>
    <w:rsid w:val="41A32EF7"/>
    <w:rsid w:val="41BE05BD"/>
    <w:rsid w:val="41DB5290"/>
    <w:rsid w:val="41E13517"/>
    <w:rsid w:val="42091B7D"/>
    <w:rsid w:val="42095650"/>
    <w:rsid w:val="420A4B1B"/>
    <w:rsid w:val="4219254B"/>
    <w:rsid w:val="421D0E9B"/>
    <w:rsid w:val="422A2DB4"/>
    <w:rsid w:val="422F4AF1"/>
    <w:rsid w:val="427D2C96"/>
    <w:rsid w:val="42824325"/>
    <w:rsid w:val="428B67D2"/>
    <w:rsid w:val="42E24180"/>
    <w:rsid w:val="43080B38"/>
    <w:rsid w:val="431A0408"/>
    <w:rsid w:val="43484EA1"/>
    <w:rsid w:val="435838FE"/>
    <w:rsid w:val="43622A56"/>
    <w:rsid w:val="436C3AA3"/>
    <w:rsid w:val="4385502F"/>
    <w:rsid w:val="43986FED"/>
    <w:rsid w:val="43B23CA0"/>
    <w:rsid w:val="43B4B42C"/>
    <w:rsid w:val="43B835F7"/>
    <w:rsid w:val="43CA31A1"/>
    <w:rsid w:val="43CC3623"/>
    <w:rsid w:val="43D078A2"/>
    <w:rsid w:val="43D62B1D"/>
    <w:rsid w:val="43F3FAA4"/>
    <w:rsid w:val="43F9557F"/>
    <w:rsid w:val="43FE4BC1"/>
    <w:rsid w:val="440323D5"/>
    <w:rsid w:val="44BD5608"/>
    <w:rsid w:val="44CE2578"/>
    <w:rsid w:val="44EA09AF"/>
    <w:rsid w:val="45216F3D"/>
    <w:rsid w:val="452730A7"/>
    <w:rsid w:val="457F59F4"/>
    <w:rsid w:val="45826B18"/>
    <w:rsid w:val="4589754E"/>
    <w:rsid w:val="458D03FD"/>
    <w:rsid w:val="458E75A3"/>
    <w:rsid w:val="45967968"/>
    <w:rsid w:val="459F7E3C"/>
    <w:rsid w:val="45A45D28"/>
    <w:rsid w:val="45C20B4E"/>
    <w:rsid w:val="46162FA5"/>
    <w:rsid w:val="463F48ED"/>
    <w:rsid w:val="464602BB"/>
    <w:rsid w:val="46A349D6"/>
    <w:rsid w:val="46C81B5D"/>
    <w:rsid w:val="46EFA9D4"/>
    <w:rsid w:val="475F452C"/>
    <w:rsid w:val="477D7778"/>
    <w:rsid w:val="478D54D1"/>
    <w:rsid w:val="479B8889"/>
    <w:rsid w:val="47AF7F4E"/>
    <w:rsid w:val="47AFFFD6"/>
    <w:rsid w:val="47BF3243"/>
    <w:rsid w:val="47C40866"/>
    <w:rsid w:val="47CF485F"/>
    <w:rsid w:val="47E7F06F"/>
    <w:rsid w:val="47FD2EC0"/>
    <w:rsid w:val="480038E5"/>
    <w:rsid w:val="482A58F9"/>
    <w:rsid w:val="4830568B"/>
    <w:rsid w:val="48326CE8"/>
    <w:rsid w:val="483F7DD3"/>
    <w:rsid w:val="48707D26"/>
    <w:rsid w:val="48925068"/>
    <w:rsid w:val="48A9784C"/>
    <w:rsid w:val="48F10CE8"/>
    <w:rsid w:val="49241EE6"/>
    <w:rsid w:val="49633C3F"/>
    <w:rsid w:val="49780191"/>
    <w:rsid w:val="49A62484"/>
    <w:rsid w:val="49F34C69"/>
    <w:rsid w:val="4A0B5A7D"/>
    <w:rsid w:val="4A125446"/>
    <w:rsid w:val="4A591C65"/>
    <w:rsid w:val="4A9F6378"/>
    <w:rsid w:val="4AA56A36"/>
    <w:rsid w:val="4AAFDC8F"/>
    <w:rsid w:val="4AC10947"/>
    <w:rsid w:val="4AEF44CF"/>
    <w:rsid w:val="4AF7E3F7"/>
    <w:rsid w:val="4B2F0BE9"/>
    <w:rsid w:val="4B347FE1"/>
    <w:rsid w:val="4B374709"/>
    <w:rsid w:val="4B3D2637"/>
    <w:rsid w:val="4B49377E"/>
    <w:rsid w:val="4B5F3B2E"/>
    <w:rsid w:val="4B80545A"/>
    <w:rsid w:val="4BBD37B9"/>
    <w:rsid w:val="4BC369C6"/>
    <w:rsid w:val="4BC47BAE"/>
    <w:rsid w:val="4BDC604B"/>
    <w:rsid w:val="4BEB79B3"/>
    <w:rsid w:val="4BFB04C8"/>
    <w:rsid w:val="4C543020"/>
    <w:rsid w:val="4CFA269E"/>
    <w:rsid w:val="4D5F0B58"/>
    <w:rsid w:val="4D7B32B4"/>
    <w:rsid w:val="4DCC732E"/>
    <w:rsid w:val="4E2E45EC"/>
    <w:rsid w:val="4E6DD419"/>
    <w:rsid w:val="4E7F5666"/>
    <w:rsid w:val="4EBD356C"/>
    <w:rsid w:val="4ED81871"/>
    <w:rsid w:val="4EE26907"/>
    <w:rsid w:val="4EE658A6"/>
    <w:rsid w:val="4EF52B74"/>
    <w:rsid w:val="4EFDFAC5"/>
    <w:rsid w:val="4F012BA1"/>
    <w:rsid w:val="4F12101B"/>
    <w:rsid w:val="4F7F7009"/>
    <w:rsid w:val="4FAE01EC"/>
    <w:rsid w:val="4FB99BA5"/>
    <w:rsid w:val="4FBD7F5F"/>
    <w:rsid w:val="4FC7AD37"/>
    <w:rsid w:val="4FD3ACF1"/>
    <w:rsid w:val="4FEC8102"/>
    <w:rsid w:val="4FFF789D"/>
    <w:rsid w:val="5004642A"/>
    <w:rsid w:val="50093CC5"/>
    <w:rsid w:val="503F4B21"/>
    <w:rsid w:val="50503858"/>
    <w:rsid w:val="506B60BE"/>
    <w:rsid w:val="507E44A2"/>
    <w:rsid w:val="50E83C8E"/>
    <w:rsid w:val="50F80027"/>
    <w:rsid w:val="513702E5"/>
    <w:rsid w:val="515C0137"/>
    <w:rsid w:val="516060D9"/>
    <w:rsid w:val="517B3D96"/>
    <w:rsid w:val="518441F6"/>
    <w:rsid w:val="5198A5A0"/>
    <w:rsid w:val="519F7C31"/>
    <w:rsid w:val="51A5704F"/>
    <w:rsid w:val="51D76E7D"/>
    <w:rsid w:val="51E21786"/>
    <w:rsid w:val="52064201"/>
    <w:rsid w:val="525B583A"/>
    <w:rsid w:val="5292626E"/>
    <w:rsid w:val="52A868F6"/>
    <w:rsid w:val="52C2407E"/>
    <w:rsid w:val="533C2107"/>
    <w:rsid w:val="535ADED0"/>
    <w:rsid w:val="535F4A57"/>
    <w:rsid w:val="536B75C6"/>
    <w:rsid w:val="537D2028"/>
    <w:rsid w:val="53831136"/>
    <w:rsid w:val="539BED8B"/>
    <w:rsid w:val="53BE3AE7"/>
    <w:rsid w:val="53CF56CB"/>
    <w:rsid w:val="53D53B6B"/>
    <w:rsid w:val="53D812DF"/>
    <w:rsid w:val="53D9243B"/>
    <w:rsid w:val="53DF4AD6"/>
    <w:rsid w:val="53FB7EE5"/>
    <w:rsid w:val="54520905"/>
    <w:rsid w:val="54764213"/>
    <w:rsid w:val="547DBEA8"/>
    <w:rsid w:val="54854E7D"/>
    <w:rsid w:val="54B74A2E"/>
    <w:rsid w:val="54BE46C6"/>
    <w:rsid w:val="54E64C91"/>
    <w:rsid w:val="552145EC"/>
    <w:rsid w:val="554B2843"/>
    <w:rsid w:val="554B55B5"/>
    <w:rsid w:val="55E73A16"/>
    <w:rsid w:val="55F01C17"/>
    <w:rsid w:val="55FB4C76"/>
    <w:rsid w:val="55FD832A"/>
    <w:rsid w:val="562A3E20"/>
    <w:rsid w:val="563E3B8C"/>
    <w:rsid w:val="56681182"/>
    <w:rsid w:val="56925A60"/>
    <w:rsid w:val="56D71503"/>
    <w:rsid w:val="56F77716"/>
    <w:rsid w:val="56FDDA02"/>
    <w:rsid w:val="56FF17C2"/>
    <w:rsid w:val="570F6030"/>
    <w:rsid w:val="578A73F8"/>
    <w:rsid w:val="5793BE0E"/>
    <w:rsid w:val="579A40C5"/>
    <w:rsid w:val="579F076F"/>
    <w:rsid w:val="57A95D24"/>
    <w:rsid w:val="57F041CF"/>
    <w:rsid w:val="57FE6316"/>
    <w:rsid w:val="58090E7C"/>
    <w:rsid w:val="580D3238"/>
    <w:rsid w:val="580E2CAC"/>
    <w:rsid w:val="58251935"/>
    <w:rsid w:val="5839147C"/>
    <w:rsid w:val="583D40B8"/>
    <w:rsid w:val="5841155E"/>
    <w:rsid w:val="58426D6F"/>
    <w:rsid w:val="58784F71"/>
    <w:rsid w:val="58A47CB2"/>
    <w:rsid w:val="58BE45DC"/>
    <w:rsid w:val="58CC240A"/>
    <w:rsid w:val="58D55F53"/>
    <w:rsid w:val="58F83E46"/>
    <w:rsid w:val="590B6CD8"/>
    <w:rsid w:val="591D0286"/>
    <w:rsid w:val="59295392"/>
    <w:rsid w:val="592D1176"/>
    <w:rsid w:val="59312E2B"/>
    <w:rsid w:val="596334BB"/>
    <w:rsid w:val="597E5A22"/>
    <w:rsid w:val="59813F6B"/>
    <w:rsid w:val="59CD22E4"/>
    <w:rsid w:val="59E32715"/>
    <w:rsid w:val="59ED0DBE"/>
    <w:rsid w:val="59FBF149"/>
    <w:rsid w:val="5A113E6F"/>
    <w:rsid w:val="5A1946A2"/>
    <w:rsid w:val="5A4DBBFF"/>
    <w:rsid w:val="5A5D112E"/>
    <w:rsid w:val="5A6E7F21"/>
    <w:rsid w:val="5A7C53EA"/>
    <w:rsid w:val="5A9167DA"/>
    <w:rsid w:val="5AD8415A"/>
    <w:rsid w:val="5AD94F9E"/>
    <w:rsid w:val="5AE7B2FA"/>
    <w:rsid w:val="5AEE4DFE"/>
    <w:rsid w:val="5AFE64C0"/>
    <w:rsid w:val="5B1DCD6F"/>
    <w:rsid w:val="5B217162"/>
    <w:rsid w:val="5B2261DE"/>
    <w:rsid w:val="5B7664B8"/>
    <w:rsid w:val="5B851651"/>
    <w:rsid w:val="5B9F8CDC"/>
    <w:rsid w:val="5BA6A890"/>
    <w:rsid w:val="5BB58D98"/>
    <w:rsid w:val="5BBA59A3"/>
    <w:rsid w:val="5BCF60A3"/>
    <w:rsid w:val="5BD5B58F"/>
    <w:rsid w:val="5BD630D3"/>
    <w:rsid w:val="5BDC01B5"/>
    <w:rsid w:val="5BDD349E"/>
    <w:rsid w:val="5BED6164"/>
    <w:rsid w:val="5BF30CB8"/>
    <w:rsid w:val="5BF9B165"/>
    <w:rsid w:val="5BFD5509"/>
    <w:rsid w:val="5BFF6CDE"/>
    <w:rsid w:val="5BFFE5C7"/>
    <w:rsid w:val="5C287DC5"/>
    <w:rsid w:val="5C46110F"/>
    <w:rsid w:val="5C6C7AAD"/>
    <w:rsid w:val="5CAF4C67"/>
    <w:rsid w:val="5CBACA83"/>
    <w:rsid w:val="5CBB2A2E"/>
    <w:rsid w:val="5CE70EDA"/>
    <w:rsid w:val="5CFD062F"/>
    <w:rsid w:val="5CFF00D4"/>
    <w:rsid w:val="5D183FCC"/>
    <w:rsid w:val="5D27727E"/>
    <w:rsid w:val="5D27A1C5"/>
    <w:rsid w:val="5D373DBC"/>
    <w:rsid w:val="5D44232B"/>
    <w:rsid w:val="5D703272"/>
    <w:rsid w:val="5D79543D"/>
    <w:rsid w:val="5D8C1FDC"/>
    <w:rsid w:val="5DB1EE35"/>
    <w:rsid w:val="5DBD2B97"/>
    <w:rsid w:val="5DED0F9D"/>
    <w:rsid w:val="5DF3C1B9"/>
    <w:rsid w:val="5DF3D148"/>
    <w:rsid w:val="5E2253F0"/>
    <w:rsid w:val="5E3D6A00"/>
    <w:rsid w:val="5E772D34"/>
    <w:rsid w:val="5E8052E9"/>
    <w:rsid w:val="5EA30B1D"/>
    <w:rsid w:val="5EBA9F6C"/>
    <w:rsid w:val="5ED91979"/>
    <w:rsid w:val="5EE7EF61"/>
    <w:rsid w:val="5EF7E798"/>
    <w:rsid w:val="5F062238"/>
    <w:rsid w:val="5F17285C"/>
    <w:rsid w:val="5F2457F0"/>
    <w:rsid w:val="5F4027A4"/>
    <w:rsid w:val="5F4FBED7"/>
    <w:rsid w:val="5F5D447E"/>
    <w:rsid w:val="5F7C1684"/>
    <w:rsid w:val="5F7D60B2"/>
    <w:rsid w:val="5F7D9F85"/>
    <w:rsid w:val="5FAEEA78"/>
    <w:rsid w:val="5FB71C03"/>
    <w:rsid w:val="5FBA0855"/>
    <w:rsid w:val="5FBC21A8"/>
    <w:rsid w:val="5FD62DA3"/>
    <w:rsid w:val="5FD8CD76"/>
    <w:rsid w:val="5FDF0153"/>
    <w:rsid w:val="5FE2650C"/>
    <w:rsid w:val="5FF1BA77"/>
    <w:rsid w:val="5FF371B3"/>
    <w:rsid w:val="5FF744B3"/>
    <w:rsid w:val="5FFC80FE"/>
    <w:rsid w:val="5FFD9ADC"/>
    <w:rsid w:val="5FFDCCA3"/>
    <w:rsid w:val="5FFDD15D"/>
    <w:rsid w:val="5FFF201A"/>
    <w:rsid w:val="5FFFA0DD"/>
    <w:rsid w:val="60281E17"/>
    <w:rsid w:val="603570CA"/>
    <w:rsid w:val="60377D35"/>
    <w:rsid w:val="605876FE"/>
    <w:rsid w:val="6082328B"/>
    <w:rsid w:val="60AC3125"/>
    <w:rsid w:val="60AE2A69"/>
    <w:rsid w:val="60BD0C3E"/>
    <w:rsid w:val="60C35C04"/>
    <w:rsid w:val="60DA6FE5"/>
    <w:rsid w:val="61115E03"/>
    <w:rsid w:val="617231DD"/>
    <w:rsid w:val="61C55EA1"/>
    <w:rsid w:val="61E60CEA"/>
    <w:rsid w:val="61EB0EAA"/>
    <w:rsid w:val="61EC00ED"/>
    <w:rsid w:val="61EFE294"/>
    <w:rsid w:val="61FB4153"/>
    <w:rsid w:val="61FD65CC"/>
    <w:rsid w:val="620D6DA6"/>
    <w:rsid w:val="62574CAC"/>
    <w:rsid w:val="626629D1"/>
    <w:rsid w:val="626740EC"/>
    <w:rsid w:val="627017B7"/>
    <w:rsid w:val="62761DDC"/>
    <w:rsid w:val="627762E5"/>
    <w:rsid w:val="6278190A"/>
    <w:rsid w:val="627B5724"/>
    <w:rsid w:val="62B932BA"/>
    <w:rsid w:val="62C80B12"/>
    <w:rsid w:val="62E5306C"/>
    <w:rsid w:val="630308E3"/>
    <w:rsid w:val="632A55F3"/>
    <w:rsid w:val="632D0922"/>
    <w:rsid w:val="63572770"/>
    <w:rsid w:val="636F0613"/>
    <w:rsid w:val="638719D4"/>
    <w:rsid w:val="639421EA"/>
    <w:rsid w:val="639C1108"/>
    <w:rsid w:val="63A4BD9E"/>
    <w:rsid w:val="63D76C17"/>
    <w:rsid w:val="63EB696F"/>
    <w:rsid w:val="64251783"/>
    <w:rsid w:val="644B1510"/>
    <w:rsid w:val="64705650"/>
    <w:rsid w:val="6490768F"/>
    <w:rsid w:val="64DC6862"/>
    <w:rsid w:val="64DF0840"/>
    <w:rsid w:val="64F81AF8"/>
    <w:rsid w:val="64FC3E3A"/>
    <w:rsid w:val="650C62C2"/>
    <w:rsid w:val="650D3349"/>
    <w:rsid w:val="65156105"/>
    <w:rsid w:val="65177B2A"/>
    <w:rsid w:val="65283A81"/>
    <w:rsid w:val="65373A9B"/>
    <w:rsid w:val="654F3330"/>
    <w:rsid w:val="655C51B5"/>
    <w:rsid w:val="657E2209"/>
    <w:rsid w:val="65AF64BA"/>
    <w:rsid w:val="65C71020"/>
    <w:rsid w:val="65DD4835"/>
    <w:rsid w:val="65E8E5B1"/>
    <w:rsid w:val="65FC5E5C"/>
    <w:rsid w:val="65FCDE6E"/>
    <w:rsid w:val="6617030A"/>
    <w:rsid w:val="6640041F"/>
    <w:rsid w:val="66740990"/>
    <w:rsid w:val="66A74CED"/>
    <w:rsid w:val="66B83E07"/>
    <w:rsid w:val="66F33BB6"/>
    <w:rsid w:val="66FC6A4F"/>
    <w:rsid w:val="66FE7DD9"/>
    <w:rsid w:val="67037522"/>
    <w:rsid w:val="673B7C01"/>
    <w:rsid w:val="676F2A1D"/>
    <w:rsid w:val="6782245D"/>
    <w:rsid w:val="678D4AE7"/>
    <w:rsid w:val="67945466"/>
    <w:rsid w:val="679E0E10"/>
    <w:rsid w:val="67BE217B"/>
    <w:rsid w:val="67EB90AB"/>
    <w:rsid w:val="67FD5C75"/>
    <w:rsid w:val="67FFE78D"/>
    <w:rsid w:val="683D9733"/>
    <w:rsid w:val="68475EE3"/>
    <w:rsid w:val="68532C92"/>
    <w:rsid w:val="685D7576"/>
    <w:rsid w:val="686C298D"/>
    <w:rsid w:val="68754772"/>
    <w:rsid w:val="687A1F5C"/>
    <w:rsid w:val="68937C1E"/>
    <w:rsid w:val="68AC79DE"/>
    <w:rsid w:val="68B10422"/>
    <w:rsid w:val="68D63717"/>
    <w:rsid w:val="690D1EB6"/>
    <w:rsid w:val="69584129"/>
    <w:rsid w:val="69585036"/>
    <w:rsid w:val="69620534"/>
    <w:rsid w:val="69634C6E"/>
    <w:rsid w:val="69900EDA"/>
    <w:rsid w:val="699145DE"/>
    <w:rsid w:val="69946446"/>
    <w:rsid w:val="69990D5F"/>
    <w:rsid w:val="69AC7D8D"/>
    <w:rsid w:val="69BD6C63"/>
    <w:rsid w:val="69BFC977"/>
    <w:rsid w:val="69C277C5"/>
    <w:rsid w:val="69D668C0"/>
    <w:rsid w:val="6A00584C"/>
    <w:rsid w:val="6A1C7A96"/>
    <w:rsid w:val="6A3C3AFA"/>
    <w:rsid w:val="6A846BF6"/>
    <w:rsid w:val="6A92036E"/>
    <w:rsid w:val="6AC77934"/>
    <w:rsid w:val="6ACA731E"/>
    <w:rsid w:val="6ACE2D21"/>
    <w:rsid w:val="6AFD784B"/>
    <w:rsid w:val="6B122F1E"/>
    <w:rsid w:val="6B4366AA"/>
    <w:rsid w:val="6B5D7DA6"/>
    <w:rsid w:val="6B8A783F"/>
    <w:rsid w:val="6BAB75BE"/>
    <w:rsid w:val="6BAD890C"/>
    <w:rsid w:val="6BBF6278"/>
    <w:rsid w:val="6BCB26CB"/>
    <w:rsid w:val="6BE22E17"/>
    <w:rsid w:val="6BFF76C6"/>
    <w:rsid w:val="6C146EB8"/>
    <w:rsid w:val="6C1C7C95"/>
    <w:rsid w:val="6C293B77"/>
    <w:rsid w:val="6C9918B3"/>
    <w:rsid w:val="6CB00D25"/>
    <w:rsid w:val="6CCC48F3"/>
    <w:rsid w:val="6CFC4445"/>
    <w:rsid w:val="6D1E680F"/>
    <w:rsid w:val="6D675CA6"/>
    <w:rsid w:val="6D6C71C1"/>
    <w:rsid w:val="6D7C24D7"/>
    <w:rsid w:val="6D851188"/>
    <w:rsid w:val="6DAD3A79"/>
    <w:rsid w:val="6DB606DB"/>
    <w:rsid w:val="6DBE2469"/>
    <w:rsid w:val="6DDEFCE1"/>
    <w:rsid w:val="6DDF26A4"/>
    <w:rsid w:val="6DF434B4"/>
    <w:rsid w:val="6DFB926C"/>
    <w:rsid w:val="6E1D7A61"/>
    <w:rsid w:val="6E32765F"/>
    <w:rsid w:val="6E451297"/>
    <w:rsid w:val="6E5157A5"/>
    <w:rsid w:val="6E5737D9"/>
    <w:rsid w:val="6E7305AF"/>
    <w:rsid w:val="6E8D27DF"/>
    <w:rsid w:val="6E955AE8"/>
    <w:rsid w:val="6EBE44D0"/>
    <w:rsid w:val="6EC854F1"/>
    <w:rsid w:val="6ED3454C"/>
    <w:rsid w:val="6EE175F6"/>
    <w:rsid w:val="6EEBD147"/>
    <w:rsid w:val="6EEC4019"/>
    <w:rsid w:val="6EF9B84A"/>
    <w:rsid w:val="6F184467"/>
    <w:rsid w:val="6F3A0772"/>
    <w:rsid w:val="6F534940"/>
    <w:rsid w:val="6F5D3F88"/>
    <w:rsid w:val="6F5E44F1"/>
    <w:rsid w:val="6F703B6D"/>
    <w:rsid w:val="6F7A8092"/>
    <w:rsid w:val="6F7D1926"/>
    <w:rsid w:val="6F7F6B79"/>
    <w:rsid w:val="6F8EAC6E"/>
    <w:rsid w:val="6F8F1380"/>
    <w:rsid w:val="6F9E8F4F"/>
    <w:rsid w:val="6FA8DB09"/>
    <w:rsid w:val="6FACF4F0"/>
    <w:rsid w:val="6FAF5BE8"/>
    <w:rsid w:val="6FBF04A0"/>
    <w:rsid w:val="6FD14022"/>
    <w:rsid w:val="6FDB41A5"/>
    <w:rsid w:val="6FDB9B11"/>
    <w:rsid w:val="6FDD6873"/>
    <w:rsid w:val="6FDEE2DE"/>
    <w:rsid w:val="6FED363F"/>
    <w:rsid w:val="6FEE2A29"/>
    <w:rsid w:val="6FF3CE14"/>
    <w:rsid w:val="6FF4DF12"/>
    <w:rsid w:val="6FF5CD5E"/>
    <w:rsid w:val="6FF95CEF"/>
    <w:rsid w:val="6FFB183F"/>
    <w:rsid w:val="6FFB3183"/>
    <w:rsid w:val="6FFBEBCC"/>
    <w:rsid w:val="6FFF0497"/>
    <w:rsid w:val="6FFF75B9"/>
    <w:rsid w:val="700B1A5D"/>
    <w:rsid w:val="700E1E62"/>
    <w:rsid w:val="70241CC4"/>
    <w:rsid w:val="704E46F1"/>
    <w:rsid w:val="70502413"/>
    <w:rsid w:val="70C062F3"/>
    <w:rsid w:val="70C619A4"/>
    <w:rsid w:val="71133A34"/>
    <w:rsid w:val="714F5F96"/>
    <w:rsid w:val="717C4309"/>
    <w:rsid w:val="718F840E"/>
    <w:rsid w:val="719D1DB9"/>
    <w:rsid w:val="71A102C3"/>
    <w:rsid w:val="71BF5A03"/>
    <w:rsid w:val="71CB0A0D"/>
    <w:rsid w:val="71E35E9C"/>
    <w:rsid w:val="72010268"/>
    <w:rsid w:val="72165E15"/>
    <w:rsid w:val="721B2CBF"/>
    <w:rsid w:val="7243395D"/>
    <w:rsid w:val="72523FE6"/>
    <w:rsid w:val="72714558"/>
    <w:rsid w:val="728726A2"/>
    <w:rsid w:val="72C51665"/>
    <w:rsid w:val="72C86F98"/>
    <w:rsid w:val="72DB610A"/>
    <w:rsid w:val="72DE03B3"/>
    <w:rsid w:val="72E2064B"/>
    <w:rsid w:val="72FF6B76"/>
    <w:rsid w:val="73104554"/>
    <w:rsid w:val="732340F1"/>
    <w:rsid w:val="73763CC1"/>
    <w:rsid w:val="7379658B"/>
    <w:rsid w:val="737BBCD9"/>
    <w:rsid w:val="737D1E07"/>
    <w:rsid w:val="73845B9C"/>
    <w:rsid w:val="73906BF1"/>
    <w:rsid w:val="73992151"/>
    <w:rsid w:val="739F29BC"/>
    <w:rsid w:val="73BD2F21"/>
    <w:rsid w:val="73BF2415"/>
    <w:rsid w:val="73CB7311"/>
    <w:rsid w:val="73DCCAAD"/>
    <w:rsid w:val="73DF76A0"/>
    <w:rsid w:val="73F50CA8"/>
    <w:rsid w:val="73F552A3"/>
    <w:rsid w:val="73FB2FB6"/>
    <w:rsid w:val="74551C7A"/>
    <w:rsid w:val="74A06FCE"/>
    <w:rsid w:val="74EC09BD"/>
    <w:rsid w:val="74F4202D"/>
    <w:rsid w:val="753473C8"/>
    <w:rsid w:val="75425792"/>
    <w:rsid w:val="75516A33"/>
    <w:rsid w:val="756A5245"/>
    <w:rsid w:val="757577BA"/>
    <w:rsid w:val="75768B92"/>
    <w:rsid w:val="757E1AB8"/>
    <w:rsid w:val="757F16A5"/>
    <w:rsid w:val="75851417"/>
    <w:rsid w:val="75C63835"/>
    <w:rsid w:val="75C64B67"/>
    <w:rsid w:val="75D276F2"/>
    <w:rsid w:val="75D472D1"/>
    <w:rsid w:val="75D9710C"/>
    <w:rsid w:val="75DC1FEE"/>
    <w:rsid w:val="75ED29C5"/>
    <w:rsid w:val="761F14AC"/>
    <w:rsid w:val="76495212"/>
    <w:rsid w:val="765F18C6"/>
    <w:rsid w:val="767641FF"/>
    <w:rsid w:val="767925E5"/>
    <w:rsid w:val="767F9456"/>
    <w:rsid w:val="76A939BF"/>
    <w:rsid w:val="76B562A7"/>
    <w:rsid w:val="76C91305"/>
    <w:rsid w:val="76D96B56"/>
    <w:rsid w:val="76EFD876"/>
    <w:rsid w:val="76FD26C1"/>
    <w:rsid w:val="76FE7167"/>
    <w:rsid w:val="770247BD"/>
    <w:rsid w:val="77026E44"/>
    <w:rsid w:val="77560455"/>
    <w:rsid w:val="775D317A"/>
    <w:rsid w:val="776D17A7"/>
    <w:rsid w:val="777544B3"/>
    <w:rsid w:val="77766E06"/>
    <w:rsid w:val="777F0341"/>
    <w:rsid w:val="777F2730"/>
    <w:rsid w:val="7794038A"/>
    <w:rsid w:val="77A7C960"/>
    <w:rsid w:val="77AA20D0"/>
    <w:rsid w:val="77AA86AD"/>
    <w:rsid w:val="77B74B5E"/>
    <w:rsid w:val="77B98D11"/>
    <w:rsid w:val="77D264DF"/>
    <w:rsid w:val="77D5CA8F"/>
    <w:rsid w:val="77DBAF3C"/>
    <w:rsid w:val="77E38E4A"/>
    <w:rsid w:val="77EBBE6C"/>
    <w:rsid w:val="77EF450E"/>
    <w:rsid w:val="77FB0070"/>
    <w:rsid w:val="77FE189D"/>
    <w:rsid w:val="77FE5333"/>
    <w:rsid w:val="77FE8A45"/>
    <w:rsid w:val="77FE9109"/>
    <w:rsid w:val="77FFAEF0"/>
    <w:rsid w:val="78030196"/>
    <w:rsid w:val="78145EB3"/>
    <w:rsid w:val="78603E31"/>
    <w:rsid w:val="78757250"/>
    <w:rsid w:val="78807026"/>
    <w:rsid w:val="789A267E"/>
    <w:rsid w:val="78AF5844"/>
    <w:rsid w:val="78BF9D9E"/>
    <w:rsid w:val="78CF69B1"/>
    <w:rsid w:val="78D316C6"/>
    <w:rsid w:val="78DA637A"/>
    <w:rsid w:val="78EBFD55"/>
    <w:rsid w:val="78FF6DAF"/>
    <w:rsid w:val="79014C48"/>
    <w:rsid w:val="7906445A"/>
    <w:rsid w:val="7922696F"/>
    <w:rsid w:val="79532E9E"/>
    <w:rsid w:val="7977DD36"/>
    <w:rsid w:val="799536DD"/>
    <w:rsid w:val="799A2200"/>
    <w:rsid w:val="79B56B89"/>
    <w:rsid w:val="79B9AC77"/>
    <w:rsid w:val="79BB7FD0"/>
    <w:rsid w:val="79D379A0"/>
    <w:rsid w:val="79DB377F"/>
    <w:rsid w:val="79F7DAAD"/>
    <w:rsid w:val="79FD93FC"/>
    <w:rsid w:val="79FF4CA0"/>
    <w:rsid w:val="7A186A6B"/>
    <w:rsid w:val="7A396E33"/>
    <w:rsid w:val="7A5D70A1"/>
    <w:rsid w:val="7A66B620"/>
    <w:rsid w:val="7A6E2E53"/>
    <w:rsid w:val="7A75B919"/>
    <w:rsid w:val="7A7F2675"/>
    <w:rsid w:val="7A864EA8"/>
    <w:rsid w:val="7AA5551F"/>
    <w:rsid w:val="7ADB3D95"/>
    <w:rsid w:val="7ADB3FEF"/>
    <w:rsid w:val="7AFD4A90"/>
    <w:rsid w:val="7AFFA569"/>
    <w:rsid w:val="7AFFCD17"/>
    <w:rsid w:val="7AFFF939"/>
    <w:rsid w:val="7B2D2B2D"/>
    <w:rsid w:val="7B301BF6"/>
    <w:rsid w:val="7B36BC8E"/>
    <w:rsid w:val="7B393826"/>
    <w:rsid w:val="7B6562C5"/>
    <w:rsid w:val="7B6F5BC7"/>
    <w:rsid w:val="7B6F6AA9"/>
    <w:rsid w:val="7B716937"/>
    <w:rsid w:val="7B75D3F3"/>
    <w:rsid w:val="7B78AF01"/>
    <w:rsid w:val="7B95B41C"/>
    <w:rsid w:val="7B9F6C71"/>
    <w:rsid w:val="7BB00D8A"/>
    <w:rsid w:val="7BB308D7"/>
    <w:rsid w:val="7BB91B45"/>
    <w:rsid w:val="7BC6B643"/>
    <w:rsid w:val="7BC94AE7"/>
    <w:rsid w:val="7BE663D3"/>
    <w:rsid w:val="7BEAF3D9"/>
    <w:rsid w:val="7BF3C42B"/>
    <w:rsid w:val="7BF68217"/>
    <w:rsid w:val="7BFAA04F"/>
    <w:rsid w:val="7BFDDAF7"/>
    <w:rsid w:val="7BFF0C29"/>
    <w:rsid w:val="7BFF161E"/>
    <w:rsid w:val="7BFF6147"/>
    <w:rsid w:val="7BFFCAA8"/>
    <w:rsid w:val="7C33FFA3"/>
    <w:rsid w:val="7C3F2476"/>
    <w:rsid w:val="7C581820"/>
    <w:rsid w:val="7C5FA5B1"/>
    <w:rsid w:val="7C6B1F29"/>
    <w:rsid w:val="7C77C891"/>
    <w:rsid w:val="7C8C7D6D"/>
    <w:rsid w:val="7C915EAB"/>
    <w:rsid w:val="7CAC5974"/>
    <w:rsid w:val="7CB0344D"/>
    <w:rsid w:val="7CB44BCA"/>
    <w:rsid w:val="7CDF26FD"/>
    <w:rsid w:val="7CEF2BE2"/>
    <w:rsid w:val="7CEFF641"/>
    <w:rsid w:val="7CFB104D"/>
    <w:rsid w:val="7CFD75F7"/>
    <w:rsid w:val="7D01314A"/>
    <w:rsid w:val="7D0F7789"/>
    <w:rsid w:val="7D127F04"/>
    <w:rsid w:val="7D297997"/>
    <w:rsid w:val="7D2CF3A6"/>
    <w:rsid w:val="7D572123"/>
    <w:rsid w:val="7D651B7C"/>
    <w:rsid w:val="7D71020D"/>
    <w:rsid w:val="7D7640F8"/>
    <w:rsid w:val="7D7FDCC2"/>
    <w:rsid w:val="7D7FE1DB"/>
    <w:rsid w:val="7D91938D"/>
    <w:rsid w:val="7D9F3057"/>
    <w:rsid w:val="7DABA1CF"/>
    <w:rsid w:val="7DBB4FBD"/>
    <w:rsid w:val="7DBBE8EB"/>
    <w:rsid w:val="7DC4E5B0"/>
    <w:rsid w:val="7DCA9CBA"/>
    <w:rsid w:val="7DED49C9"/>
    <w:rsid w:val="7DEF20CD"/>
    <w:rsid w:val="7DF5C8EE"/>
    <w:rsid w:val="7DF7226F"/>
    <w:rsid w:val="7DF92ADC"/>
    <w:rsid w:val="7DFB0BE9"/>
    <w:rsid w:val="7DFB1143"/>
    <w:rsid w:val="7DFB71D0"/>
    <w:rsid w:val="7DFD4D72"/>
    <w:rsid w:val="7DFD633D"/>
    <w:rsid w:val="7DFE2F49"/>
    <w:rsid w:val="7DFF0F6F"/>
    <w:rsid w:val="7DFF333E"/>
    <w:rsid w:val="7DFFB944"/>
    <w:rsid w:val="7DFFBAED"/>
    <w:rsid w:val="7DFFD2D9"/>
    <w:rsid w:val="7E076620"/>
    <w:rsid w:val="7E2BD7F8"/>
    <w:rsid w:val="7E2F0441"/>
    <w:rsid w:val="7E4B423A"/>
    <w:rsid w:val="7E5B64E6"/>
    <w:rsid w:val="7E73B791"/>
    <w:rsid w:val="7E741A61"/>
    <w:rsid w:val="7E7723AD"/>
    <w:rsid w:val="7E8465FF"/>
    <w:rsid w:val="7EABCAAC"/>
    <w:rsid w:val="7EACA0AF"/>
    <w:rsid w:val="7EBCB7C4"/>
    <w:rsid w:val="7EBD4247"/>
    <w:rsid w:val="7ECB57F1"/>
    <w:rsid w:val="7ECF8C49"/>
    <w:rsid w:val="7ED30AF7"/>
    <w:rsid w:val="7EDED7D6"/>
    <w:rsid w:val="7EDF21B0"/>
    <w:rsid w:val="7EE22518"/>
    <w:rsid w:val="7EE4C56E"/>
    <w:rsid w:val="7EE7CFFC"/>
    <w:rsid w:val="7EEB2568"/>
    <w:rsid w:val="7EED8375"/>
    <w:rsid w:val="7EEFA66F"/>
    <w:rsid w:val="7EEFE1E9"/>
    <w:rsid w:val="7EF78F3C"/>
    <w:rsid w:val="7EFB666A"/>
    <w:rsid w:val="7EFE4A63"/>
    <w:rsid w:val="7EFF3BD7"/>
    <w:rsid w:val="7EFF7CD2"/>
    <w:rsid w:val="7EFFD42A"/>
    <w:rsid w:val="7F0D40E0"/>
    <w:rsid w:val="7F1279E1"/>
    <w:rsid w:val="7F188E1C"/>
    <w:rsid w:val="7F1E92A0"/>
    <w:rsid w:val="7F2BBF9A"/>
    <w:rsid w:val="7F2F01A5"/>
    <w:rsid w:val="7F345982"/>
    <w:rsid w:val="7F3516AF"/>
    <w:rsid w:val="7F3A5D3D"/>
    <w:rsid w:val="7F3ABCA1"/>
    <w:rsid w:val="7F4B4F9E"/>
    <w:rsid w:val="7F57FD60"/>
    <w:rsid w:val="7F5C8F9C"/>
    <w:rsid w:val="7F5D1530"/>
    <w:rsid w:val="7F67DC50"/>
    <w:rsid w:val="7F6D436C"/>
    <w:rsid w:val="7F73DC4A"/>
    <w:rsid w:val="7F771272"/>
    <w:rsid w:val="7F771E58"/>
    <w:rsid w:val="7F787CB2"/>
    <w:rsid w:val="7F795D2A"/>
    <w:rsid w:val="7F7B862D"/>
    <w:rsid w:val="7F7BC68F"/>
    <w:rsid w:val="7F7EB1ED"/>
    <w:rsid w:val="7F7EDCD9"/>
    <w:rsid w:val="7F7F40FA"/>
    <w:rsid w:val="7F7F4FEF"/>
    <w:rsid w:val="7F7F715E"/>
    <w:rsid w:val="7F7F7B74"/>
    <w:rsid w:val="7F7FA149"/>
    <w:rsid w:val="7F8A10A6"/>
    <w:rsid w:val="7F8F565D"/>
    <w:rsid w:val="7F8F8924"/>
    <w:rsid w:val="7F9201F8"/>
    <w:rsid w:val="7FA7C098"/>
    <w:rsid w:val="7FB6B963"/>
    <w:rsid w:val="7FB75B0D"/>
    <w:rsid w:val="7FB91CCD"/>
    <w:rsid w:val="7FBA65A4"/>
    <w:rsid w:val="7FBB7973"/>
    <w:rsid w:val="7FBD1AF4"/>
    <w:rsid w:val="7FBDCDBE"/>
    <w:rsid w:val="7FBE0F25"/>
    <w:rsid w:val="7FBEEC66"/>
    <w:rsid w:val="7FBF765A"/>
    <w:rsid w:val="7FBFE27D"/>
    <w:rsid w:val="7FC3BAE5"/>
    <w:rsid w:val="7FCE66BC"/>
    <w:rsid w:val="7FCF118E"/>
    <w:rsid w:val="7FD31C4B"/>
    <w:rsid w:val="7FD92A5E"/>
    <w:rsid w:val="7FD9D8DF"/>
    <w:rsid w:val="7FDD304F"/>
    <w:rsid w:val="7FDF007B"/>
    <w:rsid w:val="7FDF2657"/>
    <w:rsid w:val="7FE2E283"/>
    <w:rsid w:val="7FEA312E"/>
    <w:rsid w:val="7FEBF544"/>
    <w:rsid w:val="7FEF8AF2"/>
    <w:rsid w:val="7FEFFABB"/>
    <w:rsid w:val="7FF3114B"/>
    <w:rsid w:val="7FF49152"/>
    <w:rsid w:val="7FF51012"/>
    <w:rsid w:val="7FF51876"/>
    <w:rsid w:val="7FF7AAEE"/>
    <w:rsid w:val="7FF7C169"/>
    <w:rsid w:val="7FF9D28C"/>
    <w:rsid w:val="7FFA51DE"/>
    <w:rsid w:val="7FFB1A09"/>
    <w:rsid w:val="7FFDA511"/>
    <w:rsid w:val="7FFDA921"/>
    <w:rsid w:val="7FFDAFB9"/>
    <w:rsid w:val="7FFE63F2"/>
    <w:rsid w:val="7FFF2E8B"/>
    <w:rsid w:val="7FFF34D9"/>
    <w:rsid w:val="7FFF45D8"/>
    <w:rsid w:val="7FFF5853"/>
    <w:rsid w:val="7FFF61A6"/>
    <w:rsid w:val="7FFFA13E"/>
    <w:rsid w:val="7FFFABAE"/>
    <w:rsid w:val="7FFFC568"/>
    <w:rsid w:val="7FFFCD80"/>
    <w:rsid w:val="7FFFE5F2"/>
    <w:rsid w:val="875FB35B"/>
    <w:rsid w:val="87FF5BA3"/>
    <w:rsid w:val="8AEE292E"/>
    <w:rsid w:val="8BFD8F56"/>
    <w:rsid w:val="8DFF2AF6"/>
    <w:rsid w:val="8EF75B4D"/>
    <w:rsid w:val="8F7BA395"/>
    <w:rsid w:val="8FA37849"/>
    <w:rsid w:val="8FB72B70"/>
    <w:rsid w:val="8FBF476F"/>
    <w:rsid w:val="8FBFE10F"/>
    <w:rsid w:val="8FD97C47"/>
    <w:rsid w:val="8FDDA35B"/>
    <w:rsid w:val="8FFE3599"/>
    <w:rsid w:val="91FDBE4A"/>
    <w:rsid w:val="939E40C3"/>
    <w:rsid w:val="97B17A46"/>
    <w:rsid w:val="97CF8077"/>
    <w:rsid w:val="97EF8C0A"/>
    <w:rsid w:val="97F63C75"/>
    <w:rsid w:val="97FBCD24"/>
    <w:rsid w:val="9AA7CB23"/>
    <w:rsid w:val="9B7FC1EB"/>
    <w:rsid w:val="9BF706FB"/>
    <w:rsid w:val="9CFD58C4"/>
    <w:rsid w:val="9D4F7139"/>
    <w:rsid w:val="9EEB6956"/>
    <w:rsid w:val="9EF9ADA9"/>
    <w:rsid w:val="9EFFE301"/>
    <w:rsid w:val="9F7F7B33"/>
    <w:rsid w:val="9FF35E14"/>
    <w:rsid w:val="9FF3DD2F"/>
    <w:rsid w:val="9FFFA82B"/>
    <w:rsid w:val="A67F5888"/>
    <w:rsid w:val="A6FF3F2D"/>
    <w:rsid w:val="A77E0FE4"/>
    <w:rsid w:val="A7BE2AE4"/>
    <w:rsid w:val="A7D51693"/>
    <w:rsid w:val="A7EF0F96"/>
    <w:rsid w:val="A7F752F2"/>
    <w:rsid w:val="A8EEBDD7"/>
    <w:rsid w:val="A9FE0E91"/>
    <w:rsid w:val="ABFF2A2E"/>
    <w:rsid w:val="AD1A7B0F"/>
    <w:rsid w:val="AD2E190B"/>
    <w:rsid w:val="AD5FFD08"/>
    <w:rsid w:val="AD6B8B3C"/>
    <w:rsid w:val="ADBF0BE6"/>
    <w:rsid w:val="ADFEB7A8"/>
    <w:rsid w:val="AE7C9576"/>
    <w:rsid w:val="AEEFA0E2"/>
    <w:rsid w:val="AEFDFE08"/>
    <w:rsid w:val="AF7504B3"/>
    <w:rsid w:val="AF7F870E"/>
    <w:rsid w:val="AFADC55E"/>
    <w:rsid w:val="AFB5A212"/>
    <w:rsid w:val="AFB74F26"/>
    <w:rsid w:val="AFDF6515"/>
    <w:rsid w:val="AFF6CEC5"/>
    <w:rsid w:val="B1FF307E"/>
    <w:rsid w:val="B2E3C6CC"/>
    <w:rsid w:val="B3BFF0F4"/>
    <w:rsid w:val="B3FD7111"/>
    <w:rsid w:val="B3FF3731"/>
    <w:rsid w:val="B5BFC0F5"/>
    <w:rsid w:val="B5FB021B"/>
    <w:rsid w:val="B5FECF41"/>
    <w:rsid w:val="B5FFBAC1"/>
    <w:rsid w:val="B5FFD1F0"/>
    <w:rsid w:val="B72D7D90"/>
    <w:rsid w:val="B77B44EE"/>
    <w:rsid w:val="B7E9372C"/>
    <w:rsid w:val="B7F7B3E0"/>
    <w:rsid w:val="B7FB232A"/>
    <w:rsid w:val="B7FFBB70"/>
    <w:rsid w:val="B87D4C92"/>
    <w:rsid w:val="B8E722C1"/>
    <w:rsid w:val="B97DC4A4"/>
    <w:rsid w:val="BAAFB5A6"/>
    <w:rsid w:val="BAEA8F2C"/>
    <w:rsid w:val="BAED9BD2"/>
    <w:rsid w:val="BAFAE191"/>
    <w:rsid w:val="BBB302B3"/>
    <w:rsid w:val="BBBDB833"/>
    <w:rsid w:val="BBEECC91"/>
    <w:rsid w:val="BBEF1FB0"/>
    <w:rsid w:val="BBF78FB0"/>
    <w:rsid w:val="BBFDCDC2"/>
    <w:rsid w:val="BBFE4F21"/>
    <w:rsid w:val="BC1F5380"/>
    <w:rsid w:val="BCFE1337"/>
    <w:rsid w:val="BD4F4AFB"/>
    <w:rsid w:val="BD7AD584"/>
    <w:rsid w:val="BD7F0EC7"/>
    <w:rsid w:val="BDA77BF6"/>
    <w:rsid w:val="BDC7CC1F"/>
    <w:rsid w:val="BDF30F0F"/>
    <w:rsid w:val="BDFBBE9D"/>
    <w:rsid w:val="BE1D3B2A"/>
    <w:rsid w:val="BE7D68C8"/>
    <w:rsid w:val="BEAFCADA"/>
    <w:rsid w:val="BEDEA24E"/>
    <w:rsid w:val="BEEDFDCE"/>
    <w:rsid w:val="BEEF27F1"/>
    <w:rsid w:val="BEFC157C"/>
    <w:rsid w:val="BEFDB7D8"/>
    <w:rsid w:val="BF1A402E"/>
    <w:rsid w:val="BF1F96B4"/>
    <w:rsid w:val="BF2D5007"/>
    <w:rsid w:val="BF2F0D2D"/>
    <w:rsid w:val="BF57B62F"/>
    <w:rsid w:val="BF5DBBE2"/>
    <w:rsid w:val="BF6F69D4"/>
    <w:rsid w:val="BF776D08"/>
    <w:rsid w:val="BF79E7BF"/>
    <w:rsid w:val="BF7F5FF2"/>
    <w:rsid w:val="BF8C884C"/>
    <w:rsid w:val="BFB7C1CF"/>
    <w:rsid w:val="BFBD9B2D"/>
    <w:rsid w:val="BFD4D0F3"/>
    <w:rsid w:val="BFDD6E4B"/>
    <w:rsid w:val="BFDF266C"/>
    <w:rsid w:val="BFF3D932"/>
    <w:rsid w:val="BFF7AA16"/>
    <w:rsid w:val="BFFC7EA3"/>
    <w:rsid w:val="BFFE1C02"/>
    <w:rsid w:val="BFFE498A"/>
    <w:rsid w:val="BFFE8465"/>
    <w:rsid w:val="C27FA13E"/>
    <w:rsid w:val="C2F69CCE"/>
    <w:rsid w:val="C2FF4586"/>
    <w:rsid w:val="C39F6394"/>
    <w:rsid w:val="C3FFEAF0"/>
    <w:rsid w:val="C4ED7245"/>
    <w:rsid w:val="C6DF08E7"/>
    <w:rsid w:val="C87FB707"/>
    <w:rsid w:val="C93FDDD0"/>
    <w:rsid w:val="CBEF9BF8"/>
    <w:rsid w:val="CBFE0E36"/>
    <w:rsid w:val="CDD9C595"/>
    <w:rsid w:val="CDFCC575"/>
    <w:rsid w:val="CE7EF09B"/>
    <w:rsid w:val="CF0BE3BC"/>
    <w:rsid w:val="CF6A54B7"/>
    <w:rsid w:val="CF8C05B9"/>
    <w:rsid w:val="CFA82D76"/>
    <w:rsid w:val="CFB9CA09"/>
    <w:rsid w:val="CFC387F4"/>
    <w:rsid w:val="CFD7F5D0"/>
    <w:rsid w:val="CFFD885A"/>
    <w:rsid w:val="CFFE9D95"/>
    <w:rsid w:val="CFFF8558"/>
    <w:rsid w:val="D19F6C5F"/>
    <w:rsid w:val="D33BF965"/>
    <w:rsid w:val="D34FF3A3"/>
    <w:rsid w:val="D37F0C68"/>
    <w:rsid w:val="D3F59FB6"/>
    <w:rsid w:val="D4CF6A77"/>
    <w:rsid w:val="D4FAC964"/>
    <w:rsid w:val="D57F61E9"/>
    <w:rsid w:val="D5B6F176"/>
    <w:rsid w:val="D5BA4322"/>
    <w:rsid w:val="D5DB325E"/>
    <w:rsid w:val="D6D46DA7"/>
    <w:rsid w:val="D6FDB070"/>
    <w:rsid w:val="D6FEB94F"/>
    <w:rsid w:val="D76B9549"/>
    <w:rsid w:val="D77E5F54"/>
    <w:rsid w:val="D79DDA5F"/>
    <w:rsid w:val="D7BDE9FB"/>
    <w:rsid w:val="D7D91780"/>
    <w:rsid w:val="D7ED4587"/>
    <w:rsid w:val="D7ED8F42"/>
    <w:rsid w:val="D7FBF036"/>
    <w:rsid w:val="D89F64DD"/>
    <w:rsid w:val="D9B5AE86"/>
    <w:rsid w:val="D9FEC572"/>
    <w:rsid w:val="DA7F8B5F"/>
    <w:rsid w:val="DB3DF106"/>
    <w:rsid w:val="DB3FE18D"/>
    <w:rsid w:val="DB6F0783"/>
    <w:rsid w:val="DBB74C5D"/>
    <w:rsid w:val="DBEF1062"/>
    <w:rsid w:val="DBF381CC"/>
    <w:rsid w:val="DBF8B3DE"/>
    <w:rsid w:val="DDEBE877"/>
    <w:rsid w:val="DDFF1E0B"/>
    <w:rsid w:val="DE4F4DE0"/>
    <w:rsid w:val="DE7378FB"/>
    <w:rsid w:val="DEBD5827"/>
    <w:rsid w:val="DEDB0339"/>
    <w:rsid w:val="DEDB4DAA"/>
    <w:rsid w:val="DEE12607"/>
    <w:rsid w:val="DEFB3388"/>
    <w:rsid w:val="DEFFB804"/>
    <w:rsid w:val="DF07BAD7"/>
    <w:rsid w:val="DF1E6265"/>
    <w:rsid w:val="DF3EDEE2"/>
    <w:rsid w:val="DF47DA03"/>
    <w:rsid w:val="DF5F2F81"/>
    <w:rsid w:val="DF5FBF19"/>
    <w:rsid w:val="DF6F5B57"/>
    <w:rsid w:val="DF76047F"/>
    <w:rsid w:val="DF79052C"/>
    <w:rsid w:val="DF7D6417"/>
    <w:rsid w:val="DF7D92F6"/>
    <w:rsid w:val="DF7FA111"/>
    <w:rsid w:val="DFB3311F"/>
    <w:rsid w:val="DFB35991"/>
    <w:rsid w:val="DFBFE31B"/>
    <w:rsid w:val="DFD93C3E"/>
    <w:rsid w:val="DFDF9628"/>
    <w:rsid w:val="DFEBF1B2"/>
    <w:rsid w:val="DFEFFCF0"/>
    <w:rsid w:val="DFF18A42"/>
    <w:rsid w:val="DFF2CAE4"/>
    <w:rsid w:val="DFF5B1C3"/>
    <w:rsid w:val="DFF795F7"/>
    <w:rsid w:val="DFFB1A6D"/>
    <w:rsid w:val="DFFCFEEA"/>
    <w:rsid w:val="DFFE1F61"/>
    <w:rsid w:val="DFFEBAD5"/>
    <w:rsid w:val="E276AADE"/>
    <w:rsid w:val="E37F81DB"/>
    <w:rsid w:val="E3B37B39"/>
    <w:rsid w:val="E3F2B6BE"/>
    <w:rsid w:val="E3F7AC11"/>
    <w:rsid w:val="E46FBA5F"/>
    <w:rsid w:val="E4FCDEE5"/>
    <w:rsid w:val="E5F8FA90"/>
    <w:rsid w:val="E5FF0127"/>
    <w:rsid w:val="E6FF3B67"/>
    <w:rsid w:val="E71F0154"/>
    <w:rsid w:val="E75E06F4"/>
    <w:rsid w:val="E763C3A4"/>
    <w:rsid w:val="E77AB025"/>
    <w:rsid w:val="E77B9DC5"/>
    <w:rsid w:val="E77E46C9"/>
    <w:rsid w:val="E77E5D05"/>
    <w:rsid w:val="E77FF5F5"/>
    <w:rsid w:val="E78D39EE"/>
    <w:rsid w:val="E7AEF45A"/>
    <w:rsid w:val="E7C3C14C"/>
    <w:rsid w:val="E7D7C722"/>
    <w:rsid w:val="E7D7FEA8"/>
    <w:rsid w:val="E7EF6DA0"/>
    <w:rsid w:val="E7EFD264"/>
    <w:rsid w:val="E7F3E95B"/>
    <w:rsid w:val="E7F51F32"/>
    <w:rsid w:val="E7FFCC66"/>
    <w:rsid w:val="E7FFF3DE"/>
    <w:rsid w:val="E8FEA1BA"/>
    <w:rsid w:val="E987091A"/>
    <w:rsid w:val="EA760333"/>
    <w:rsid w:val="EAD5DB89"/>
    <w:rsid w:val="EAEF0F0B"/>
    <w:rsid w:val="EAFF2A3D"/>
    <w:rsid w:val="EB9FEB49"/>
    <w:rsid w:val="EBB7016D"/>
    <w:rsid w:val="EBCD2F5F"/>
    <w:rsid w:val="EBEFF0E5"/>
    <w:rsid w:val="EBFD27C8"/>
    <w:rsid w:val="EBFF001F"/>
    <w:rsid w:val="ECBFE1AA"/>
    <w:rsid w:val="ECED4CE9"/>
    <w:rsid w:val="ED6D096F"/>
    <w:rsid w:val="ED74493F"/>
    <w:rsid w:val="ED7B7274"/>
    <w:rsid w:val="ED7E7216"/>
    <w:rsid w:val="ED7EB415"/>
    <w:rsid w:val="EDB99F00"/>
    <w:rsid w:val="EDBD3FDE"/>
    <w:rsid w:val="EDDB6B5E"/>
    <w:rsid w:val="EDDF06D0"/>
    <w:rsid w:val="EDEEB8F5"/>
    <w:rsid w:val="EDF70103"/>
    <w:rsid w:val="EDF72458"/>
    <w:rsid w:val="EDF7A5BA"/>
    <w:rsid w:val="EDFB9908"/>
    <w:rsid w:val="EDFE7C13"/>
    <w:rsid w:val="EE3F5617"/>
    <w:rsid w:val="EE7F67DC"/>
    <w:rsid w:val="EEB37E6C"/>
    <w:rsid w:val="EEBF5D22"/>
    <w:rsid w:val="EEEF922B"/>
    <w:rsid w:val="EF3E089A"/>
    <w:rsid w:val="EF798EB0"/>
    <w:rsid w:val="EF7E6F8E"/>
    <w:rsid w:val="EF7F2F6A"/>
    <w:rsid w:val="EF7FFF9C"/>
    <w:rsid w:val="EFA9AD7F"/>
    <w:rsid w:val="EFB5B9F4"/>
    <w:rsid w:val="EFBD8D85"/>
    <w:rsid w:val="EFBF08D0"/>
    <w:rsid w:val="EFBF9393"/>
    <w:rsid w:val="EFCBB006"/>
    <w:rsid w:val="EFCF3945"/>
    <w:rsid w:val="EFDA0B06"/>
    <w:rsid w:val="EFE7873F"/>
    <w:rsid w:val="EFEE4553"/>
    <w:rsid w:val="EFF50D5D"/>
    <w:rsid w:val="EFF7C1D7"/>
    <w:rsid w:val="EFFAB992"/>
    <w:rsid w:val="EFFD98CB"/>
    <w:rsid w:val="EFFE6526"/>
    <w:rsid w:val="EFFF45CD"/>
    <w:rsid w:val="F0EE4DA7"/>
    <w:rsid w:val="F1BEA906"/>
    <w:rsid w:val="F1F332D0"/>
    <w:rsid w:val="F27F3F54"/>
    <w:rsid w:val="F2EF4180"/>
    <w:rsid w:val="F37CC231"/>
    <w:rsid w:val="F37E0892"/>
    <w:rsid w:val="F3EBF538"/>
    <w:rsid w:val="F3ED311F"/>
    <w:rsid w:val="F3EF52AA"/>
    <w:rsid w:val="F3FECB4F"/>
    <w:rsid w:val="F3FF9BB3"/>
    <w:rsid w:val="F4EF38C5"/>
    <w:rsid w:val="F4EFCA7F"/>
    <w:rsid w:val="F5529A70"/>
    <w:rsid w:val="F55D228E"/>
    <w:rsid w:val="F577AB50"/>
    <w:rsid w:val="F5A7EB8C"/>
    <w:rsid w:val="F5F33FD9"/>
    <w:rsid w:val="F5FA86E6"/>
    <w:rsid w:val="F63F6C48"/>
    <w:rsid w:val="F6F22E1D"/>
    <w:rsid w:val="F6F71C5A"/>
    <w:rsid w:val="F71DAB38"/>
    <w:rsid w:val="F72B64BA"/>
    <w:rsid w:val="F7372A38"/>
    <w:rsid w:val="F74E40A5"/>
    <w:rsid w:val="F777B891"/>
    <w:rsid w:val="F77F28FA"/>
    <w:rsid w:val="F7AF264E"/>
    <w:rsid w:val="F7B2D36D"/>
    <w:rsid w:val="F7B65688"/>
    <w:rsid w:val="F7BE7B64"/>
    <w:rsid w:val="F7BF81C9"/>
    <w:rsid w:val="F7CB2875"/>
    <w:rsid w:val="F7D3275A"/>
    <w:rsid w:val="F7D33611"/>
    <w:rsid w:val="F7D7B55D"/>
    <w:rsid w:val="F7DE8A08"/>
    <w:rsid w:val="F7DFA9C1"/>
    <w:rsid w:val="F7DFC2FD"/>
    <w:rsid w:val="F7EF08DA"/>
    <w:rsid w:val="F7EFE7D4"/>
    <w:rsid w:val="F7F403BC"/>
    <w:rsid w:val="F7FDFC30"/>
    <w:rsid w:val="F7FF0E09"/>
    <w:rsid w:val="F7FF542F"/>
    <w:rsid w:val="F7FFE9FB"/>
    <w:rsid w:val="F8B75C9C"/>
    <w:rsid w:val="F8DF984A"/>
    <w:rsid w:val="F97B0F95"/>
    <w:rsid w:val="F97C15FD"/>
    <w:rsid w:val="F9AEC375"/>
    <w:rsid w:val="F9F5369D"/>
    <w:rsid w:val="F9FB4B94"/>
    <w:rsid w:val="F9FE976D"/>
    <w:rsid w:val="F9FFB5F3"/>
    <w:rsid w:val="FABF1D0B"/>
    <w:rsid w:val="FAF93E0F"/>
    <w:rsid w:val="FAFBB968"/>
    <w:rsid w:val="FAFE7ED3"/>
    <w:rsid w:val="FB39774E"/>
    <w:rsid w:val="FB4FEF18"/>
    <w:rsid w:val="FB6B2F39"/>
    <w:rsid w:val="FB6D0BF6"/>
    <w:rsid w:val="FB7AEC08"/>
    <w:rsid w:val="FB96237D"/>
    <w:rsid w:val="FB9F0713"/>
    <w:rsid w:val="FBDB3A71"/>
    <w:rsid w:val="FBE717B1"/>
    <w:rsid w:val="FBF57C72"/>
    <w:rsid w:val="FBF7EBE1"/>
    <w:rsid w:val="FBF9BEDB"/>
    <w:rsid w:val="FBFA4DC8"/>
    <w:rsid w:val="FBFACB51"/>
    <w:rsid w:val="FBFEF1A0"/>
    <w:rsid w:val="FBFF0048"/>
    <w:rsid w:val="FBFF12C8"/>
    <w:rsid w:val="FBFF4394"/>
    <w:rsid w:val="FBFFDE37"/>
    <w:rsid w:val="FCDE3E12"/>
    <w:rsid w:val="FCDFF063"/>
    <w:rsid w:val="FCF2545C"/>
    <w:rsid w:val="FCF2814B"/>
    <w:rsid w:val="FCF55388"/>
    <w:rsid w:val="FCF75940"/>
    <w:rsid w:val="FCF778D9"/>
    <w:rsid w:val="FD5FEA8F"/>
    <w:rsid w:val="FD61BFB8"/>
    <w:rsid w:val="FD6B6DA7"/>
    <w:rsid w:val="FD6F9782"/>
    <w:rsid w:val="FD79C390"/>
    <w:rsid w:val="FD7B5FFD"/>
    <w:rsid w:val="FD938056"/>
    <w:rsid w:val="FDAFDC5A"/>
    <w:rsid w:val="FDB59DDC"/>
    <w:rsid w:val="FDDC5DF4"/>
    <w:rsid w:val="FDEB129B"/>
    <w:rsid w:val="FDEB17EC"/>
    <w:rsid w:val="FDEEC572"/>
    <w:rsid w:val="FDF67072"/>
    <w:rsid w:val="FDF6DA5F"/>
    <w:rsid w:val="FDF702A9"/>
    <w:rsid w:val="FDF7231B"/>
    <w:rsid w:val="FDF769B7"/>
    <w:rsid w:val="FDF7E867"/>
    <w:rsid w:val="FDFBD12F"/>
    <w:rsid w:val="FDFE5C2B"/>
    <w:rsid w:val="FDFF05E4"/>
    <w:rsid w:val="FDFF21B6"/>
    <w:rsid w:val="FDFF6064"/>
    <w:rsid w:val="FDFFD7D3"/>
    <w:rsid w:val="FDFFE132"/>
    <w:rsid w:val="FE0BC706"/>
    <w:rsid w:val="FE1D174B"/>
    <w:rsid w:val="FE6B3B79"/>
    <w:rsid w:val="FE6FCC12"/>
    <w:rsid w:val="FE757950"/>
    <w:rsid w:val="FE7D8013"/>
    <w:rsid w:val="FE8D0A28"/>
    <w:rsid w:val="FE8FB303"/>
    <w:rsid w:val="FE965C00"/>
    <w:rsid w:val="FEB9E77A"/>
    <w:rsid w:val="FED8C3D3"/>
    <w:rsid w:val="FEDD5CAD"/>
    <w:rsid w:val="FEDDBE2B"/>
    <w:rsid w:val="FEF70908"/>
    <w:rsid w:val="FEF7C81C"/>
    <w:rsid w:val="FEF7F5E7"/>
    <w:rsid w:val="FEF923B6"/>
    <w:rsid w:val="FEF9730A"/>
    <w:rsid w:val="FEFB247B"/>
    <w:rsid w:val="FEFB93A4"/>
    <w:rsid w:val="FEFBFA0D"/>
    <w:rsid w:val="FEFDC213"/>
    <w:rsid w:val="FEFF4335"/>
    <w:rsid w:val="FEFF8D29"/>
    <w:rsid w:val="FEFFD452"/>
    <w:rsid w:val="FF0910AD"/>
    <w:rsid w:val="FF1B83AE"/>
    <w:rsid w:val="FF1D291F"/>
    <w:rsid w:val="FF1F412E"/>
    <w:rsid w:val="FF2F7E16"/>
    <w:rsid w:val="FF3710A7"/>
    <w:rsid w:val="FF3DB3D0"/>
    <w:rsid w:val="FF598E41"/>
    <w:rsid w:val="FF5AD65A"/>
    <w:rsid w:val="FF5F472F"/>
    <w:rsid w:val="FF5F47A4"/>
    <w:rsid w:val="FF6C9185"/>
    <w:rsid w:val="FF6DEF7E"/>
    <w:rsid w:val="FF6F4812"/>
    <w:rsid w:val="FF6FF08F"/>
    <w:rsid w:val="FF758EE2"/>
    <w:rsid w:val="FF771EC9"/>
    <w:rsid w:val="FF772B7B"/>
    <w:rsid w:val="FF778826"/>
    <w:rsid w:val="FF7A5965"/>
    <w:rsid w:val="FF7D76CC"/>
    <w:rsid w:val="FF7EA7E8"/>
    <w:rsid w:val="FF7F9368"/>
    <w:rsid w:val="FF7FBA76"/>
    <w:rsid w:val="FF8F801C"/>
    <w:rsid w:val="FF9539FF"/>
    <w:rsid w:val="FF958E25"/>
    <w:rsid w:val="FF971F4E"/>
    <w:rsid w:val="FF9F917A"/>
    <w:rsid w:val="FFAF3D8A"/>
    <w:rsid w:val="FFB2D3FE"/>
    <w:rsid w:val="FFB70922"/>
    <w:rsid w:val="FFBDF329"/>
    <w:rsid w:val="FFBF291B"/>
    <w:rsid w:val="FFBF82D6"/>
    <w:rsid w:val="FFBFA6E3"/>
    <w:rsid w:val="FFC5830D"/>
    <w:rsid w:val="FFC66F53"/>
    <w:rsid w:val="FFCDA7AF"/>
    <w:rsid w:val="FFCE2A03"/>
    <w:rsid w:val="FFD5185A"/>
    <w:rsid w:val="FFD7C547"/>
    <w:rsid w:val="FFD7FEAF"/>
    <w:rsid w:val="FFD8B3C0"/>
    <w:rsid w:val="FFDA01D2"/>
    <w:rsid w:val="FFDB7F7E"/>
    <w:rsid w:val="FFDE966E"/>
    <w:rsid w:val="FFDF653A"/>
    <w:rsid w:val="FFDFE184"/>
    <w:rsid w:val="FFEC2237"/>
    <w:rsid w:val="FFEE5280"/>
    <w:rsid w:val="FFEF4E42"/>
    <w:rsid w:val="FFEFE29D"/>
    <w:rsid w:val="FFF27120"/>
    <w:rsid w:val="FFF3D6BC"/>
    <w:rsid w:val="FFF40B4E"/>
    <w:rsid w:val="FFFA4A62"/>
    <w:rsid w:val="FFFAAC20"/>
    <w:rsid w:val="FFFACCB6"/>
    <w:rsid w:val="FFFB5FAC"/>
    <w:rsid w:val="FFFB942D"/>
    <w:rsid w:val="FFFD87E9"/>
    <w:rsid w:val="FFFDCDB2"/>
    <w:rsid w:val="FFFDEEC4"/>
    <w:rsid w:val="FFFEC17B"/>
    <w:rsid w:val="FFFEC913"/>
    <w:rsid w:val="FFFED75C"/>
    <w:rsid w:val="FFFF2A74"/>
    <w:rsid w:val="FFFF4AA3"/>
    <w:rsid w:val="FFFF7AF3"/>
    <w:rsid w:val="FFFF7F7B"/>
    <w:rsid w:val="FFFF8EA2"/>
    <w:rsid w:val="FFFF9A01"/>
    <w:rsid w:val="FFFFC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5032</Words>
  <Characters>5172</Characters>
  <Lines>79</Lines>
  <Paragraphs>22</Paragraphs>
  <TotalTime>2</TotalTime>
  <ScaleCrop>false</ScaleCrop>
  <LinksUpToDate>false</LinksUpToDate>
  <CharactersWithSpaces>5321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Administrator</dc:creator>
  <cp:lastModifiedBy>LZH</cp:lastModifiedBy>
  <cp:lastPrinted>2022-11-10T18:06:00Z</cp:lastPrinted>
  <dcterms:modified xsi:type="dcterms:W3CDTF">2023-04-25T10:05:53Z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609EDB2EE33C4370A0CA4D5273B752D8</vt:lpwstr>
  </property>
</Properties>
</file>