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 w:cs="Times New Roman"/>
          <w:kern w:val="0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</w:t>
      </w:r>
      <w:r>
        <w:rPr>
          <w:rFonts w:hint="default" w:eastAsia="黑体" w:cs="Times New Roman"/>
          <w:sz w:val="32"/>
          <w:szCs w:val="32"/>
          <w:lang w:eastAsia="zh-CN"/>
        </w:rPr>
        <w:t>件</w:t>
      </w:r>
    </w:p>
    <w:p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学校卫生执法检查表</w:t>
      </w:r>
    </w:p>
    <w:p>
      <w:pPr>
        <w:tabs>
          <w:tab w:val="left" w:pos="3615"/>
        </w:tabs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一、执法检查内容</w:t>
      </w:r>
    </w:p>
    <w:tbl>
      <w:tblPr>
        <w:tblStyle w:val="3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567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167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bCs/>
                <w:kern w:val="0"/>
                <w:sz w:val="22"/>
              </w:rPr>
            </w:pPr>
            <w:r>
              <w:rPr>
                <w:rFonts w:eastAsia="黑体" w:cs="Times New Roman"/>
                <w:bCs/>
                <w:kern w:val="0"/>
                <w:sz w:val="22"/>
              </w:rPr>
              <w:t>项目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bCs/>
                <w:kern w:val="0"/>
                <w:sz w:val="22"/>
              </w:rPr>
            </w:pPr>
            <w:r>
              <w:rPr>
                <w:rFonts w:eastAsia="黑体" w:cs="Times New Roman"/>
                <w:bCs/>
                <w:kern w:val="0"/>
                <w:sz w:val="22"/>
              </w:rPr>
              <w:t>重点检查内容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bCs/>
                <w:kern w:val="0"/>
                <w:sz w:val="22"/>
              </w:rPr>
            </w:pPr>
            <w:r>
              <w:rPr>
                <w:rFonts w:eastAsia="黑体" w:cs="Times New Roman"/>
                <w:bCs/>
                <w:kern w:val="0"/>
                <w:sz w:val="22"/>
              </w:rPr>
              <w:t>检查对象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  <w:r>
              <w:rPr>
                <w:rFonts w:eastAsia="仿宋_GB2312" w:cs="Times New Roman"/>
                <w:bCs/>
                <w:kern w:val="0"/>
                <w:sz w:val="22"/>
              </w:rPr>
              <w:t>基本情况</w:t>
            </w: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校内辅助设施（公共浴室、游泳场馆、图书馆、体育馆）设置情况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各类学校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学校主要供水方式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学生</w:t>
            </w:r>
            <w:r>
              <w:rPr>
                <w:rFonts w:hint="default" w:eastAsia="仿宋_GB2312" w:cs="Times New Roman"/>
                <w:spacing w:val="-6"/>
                <w:sz w:val="22"/>
                <w:lang w:eastAsia="zh-CN"/>
              </w:rPr>
              <w:t>在校期间</w:t>
            </w:r>
            <w:r>
              <w:rPr>
                <w:rFonts w:eastAsia="仿宋_GB2312" w:cs="Times New Roman"/>
                <w:spacing w:val="-6"/>
                <w:sz w:val="22"/>
              </w:rPr>
              <w:t>主要饮水方式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  <w:r>
              <w:rPr>
                <w:rFonts w:eastAsia="仿宋_GB2312" w:cs="Times New Roman"/>
                <w:bCs/>
                <w:kern w:val="0"/>
                <w:sz w:val="22"/>
              </w:rPr>
              <w:t>卫生机构</w:t>
            </w: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default" w:eastAsia="仿宋_GB2312" w:cs="Times New Roman"/>
                <w:spacing w:val="-6"/>
                <w:sz w:val="22"/>
                <w:lang w:eastAsia="zh-CN"/>
              </w:rPr>
            </w:pPr>
            <w:r>
              <w:rPr>
                <w:rFonts w:hint="default" w:eastAsia="仿宋_GB2312" w:cs="Times New Roman"/>
                <w:spacing w:val="-6"/>
                <w:sz w:val="22"/>
                <w:lang w:eastAsia="zh-CN"/>
              </w:rPr>
              <w:t xml:space="preserve">卫生机构（卫生室、校医院、保健室）设置情况 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各类学校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default" w:eastAsia="仿宋_GB2312" w:cs="Times New Roman"/>
                <w:spacing w:val="-6"/>
                <w:sz w:val="22"/>
                <w:lang w:eastAsia="zh-CN"/>
              </w:rPr>
            </w:pPr>
            <w:r>
              <w:rPr>
                <w:rFonts w:hint="default" w:eastAsia="仿宋_GB2312" w:cs="Times New Roman"/>
                <w:spacing w:val="-6"/>
                <w:sz w:val="22"/>
                <w:lang w:eastAsia="zh-CN"/>
              </w:rPr>
              <w:t>卫生室、校医院持有效医疗机构执业许可证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default" w:eastAsia="仿宋_GB2312" w:cs="Times New Roman"/>
                <w:spacing w:val="-6"/>
                <w:sz w:val="22"/>
                <w:lang w:eastAsia="zh-CN"/>
              </w:rPr>
            </w:pPr>
            <w:r>
              <w:rPr>
                <w:rFonts w:hint="default" w:eastAsia="仿宋_GB2312" w:cs="Times New Roman"/>
                <w:spacing w:val="-6"/>
                <w:sz w:val="22"/>
                <w:lang w:eastAsia="zh-CN"/>
              </w:rPr>
              <w:t>卫生专业技术人员或保健教师配备情况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kern w:val="0"/>
                <w:sz w:val="22"/>
              </w:rPr>
              <w:t>突发公共卫生事件管理</w:t>
            </w: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 w:cs="Times New Roman"/>
                <w:spacing w:val="-6"/>
                <w:sz w:val="22"/>
                <w:lang w:eastAsia="zh-CN"/>
              </w:rPr>
            </w:pPr>
            <w:r>
              <w:rPr>
                <w:rFonts w:hint="default" w:eastAsia="仿宋_GB2312" w:cs="Times New Roman"/>
                <w:spacing w:val="-6"/>
                <w:sz w:val="22"/>
                <w:lang w:eastAsia="zh-CN"/>
              </w:rPr>
              <w:t>传染病疫情及相关突发公共卫生事件的应急预案</w:t>
            </w:r>
          </w:p>
        </w:tc>
        <w:tc>
          <w:tcPr>
            <w:tcW w:w="20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各类学校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传染病防控</w:t>
            </w: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传染病疫情及突发公共卫生事件的报告制度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各类学校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专人负责疫情报告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传染病疫情报告登记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color w:val="000000"/>
                <w:sz w:val="22"/>
              </w:rPr>
            </w:pPr>
            <w:r>
              <w:rPr>
                <w:rFonts w:eastAsia="仿宋_GB2312" w:cs="Times New Roman"/>
                <w:color w:val="000000"/>
                <w:sz w:val="22"/>
              </w:rPr>
              <w:t>传染病学生病愈返校医学证明查验记录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rPr>
                <w:rFonts w:eastAsia="仿宋_GB2312" w:cs="Times New Roman"/>
                <w:color w:val="000000"/>
                <w:spacing w:val="-6"/>
                <w:sz w:val="22"/>
              </w:rPr>
            </w:pPr>
            <w:r>
              <w:rPr>
                <w:rFonts w:eastAsia="仿宋_GB2312" w:cs="Times New Roman"/>
                <w:color w:val="000000"/>
                <w:spacing w:val="-6"/>
                <w:sz w:val="22"/>
              </w:rPr>
              <w:t>有晨检记录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rPr>
                <w:rFonts w:eastAsia="仿宋_GB2312" w:cs="Times New Roman"/>
                <w:color w:val="000000"/>
                <w:spacing w:val="-6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有因病缺勤病因追查与登记记录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rPr>
                <w:rFonts w:eastAsia="仿宋_GB2312" w:cs="Times New Roman"/>
                <w:color w:val="000000"/>
                <w:spacing w:val="-6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有新生入学接种证查验登记记录</w:t>
            </w:r>
          </w:p>
        </w:tc>
        <w:tc>
          <w:tcPr>
            <w:tcW w:w="20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pacing w:val="-11"/>
                <w:kern w:val="0"/>
                <w:sz w:val="22"/>
              </w:rPr>
              <w:t>健康教育及管理</w:t>
            </w: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将学生健康体检结果纳入学校档案管理内容,建立落实学生健康体检资料台账管理制度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各类学校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每年按要求开展学生健康体检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strike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定期（每学期</w:t>
            </w:r>
            <w:r>
              <w:rPr>
                <w:rFonts w:hint="default" w:eastAsia="仿宋_GB2312" w:cs="Times New Roman"/>
                <w:bCs/>
                <w:color w:val="000000"/>
                <w:sz w:val="22"/>
                <w:lang w:eastAsia="zh-CN"/>
              </w:rPr>
              <w:t>至少</w:t>
            </w:r>
            <w:r>
              <w:rPr>
                <w:rFonts w:eastAsia="仿宋_GB2312" w:cs="Times New Roman"/>
                <w:bCs/>
                <w:color w:val="000000"/>
                <w:sz w:val="22"/>
              </w:rPr>
              <w:t>1次）开展健康生活方式、营养和慢性病预防知识教育和宣传活动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sz w:val="22"/>
              </w:rPr>
              <w:t>开展近视综合防控、校园常见病防控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sz w:val="22"/>
              </w:rPr>
              <w:t>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sz w:val="22"/>
                <w:lang w:bidi="ar"/>
              </w:rPr>
              <w:t>对</w:t>
            </w:r>
            <w:r>
              <w:rPr>
                <w:rFonts w:eastAsia="仿宋_GB2312" w:cs="Times New Roman"/>
                <w:bCs/>
                <w:sz w:val="22"/>
                <w:szCs w:val="22"/>
                <w:lang w:bidi="ar"/>
              </w:rPr>
              <w:t>学生开展应急救护知识普及教育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sz w:val="22"/>
                <w:szCs w:val="22"/>
              </w:rPr>
              <w:t>落实各学段健康教育教学时间，中小学校每学期在体育与健康课程总课时中安排4个健康教育课时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105" w:leftChars="50"/>
              <w:jc w:val="distribute"/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pacing w:val="-14"/>
                <w:sz w:val="22"/>
              </w:rPr>
              <w:t>生活饮用水卫生</w:t>
            </w: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学期开学前学校饮水水质检测情况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各类学校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105" w:leftChars="50"/>
              <w:jc w:val="center"/>
              <w:rPr>
                <w:rFonts w:eastAsia="仿宋_GB2312" w:cs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涉水产品有效卫生许可批件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105" w:leftChars="50"/>
              <w:jc w:val="center"/>
              <w:rPr>
                <w:rFonts w:eastAsia="仿宋_GB2312" w:cs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自建设施集中式供水依法取得卫生许可证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自建设施集中式供水学校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自建设施集中式供水水源卫生防护合格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自建设施集中式供水有水质消毒设施设备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二次供水蓄水池周围无污染源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二次供水学校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二次供水蓄水设施定期（每年一次）清洗、消毒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pacing w:val="-4"/>
                <w:sz w:val="22"/>
              </w:rPr>
              <w:t>分散式供水有卫生安全防护设施并对水质进行消毒</w:t>
            </w:r>
          </w:p>
        </w:tc>
        <w:tc>
          <w:tcPr>
            <w:tcW w:w="20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kern w:val="0"/>
                <w:sz w:val="22"/>
              </w:rPr>
              <w:t>分散式供水学校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0000"/>
                <w:sz w:val="22"/>
              </w:rPr>
            </w:pPr>
            <w:r>
              <w:rPr>
                <w:rFonts w:eastAsia="仿宋_GB2312" w:cs="Times New Roman"/>
                <w:bCs/>
                <w:color w:val="000000"/>
                <w:sz w:val="22"/>
              </w:rPr>
              <w:t>配备专（兼）职供水人员，且持有效“健康合格证明”上岗</w:t>
            </w:r>
          </w:p>
        </w:tc>
        <w:tc>
          <w:tcPr>
            <w:tcW w:w="20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/>
                <w:color w:val="000000"/>
                <w:spacing w:val="-11"/>
                <w:kern w:val="0"/>
                <w:sz w:val="22"/>
              </w:rPr>
              <w:t>除公共供水外的学校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  <w:r>
              <w:rPr>
                <w:rFonts w:eastAsia="仿宋_GB2312" w:cs="Times New Roman"/>
                <w:bCs/>
                <w:kern w:val="0"/>
                <w:sz w:val="22"/>
              </w:rPr>
              <w:t>教室环境卫生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sz w:val="22"/>
              </w:rPr>
            </w:pPr>
            <w:r>
              <w:rPr>
                <w:rFonts w:eastAsia="仿宋_GB2312" w:cs="Times New Roman"/>
                <w:bCs/>
                <w:sz w:val="22"/>
              </w:rPr>
              <w:t>教室墙壁和顶棚为白色或浅色，窗户为无色透明玻璃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sz w:val="22"/>
              </w:rPr>
              <w:t>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sz w:val="22"/>
              </w:rPr>
            </w:pPr>
            <w:r>
              <w:rPr>
                <w:rFonts w:eastAsia="仿宋_GB2312" w:cs="Times New Roman"/>
                <w:bCs/>
                <w:sz w:val="22"/>
              </w:rPr>
              <w:t>单侧采光从座位左侧入，双采光主采光窗设在左侧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color w:val="00B050"/>
                <w:sz w:val="22"/>
              </w:rPr>
            </w:pPr>
            <w:r>
              <w:rPr>
                <w:rFonts w:eastAsia="仿宋_GB2312" w:cs="Times New Roman"/>
                <w:bCs/>
                <w:sz w:val="22"/>
              </w:rPr>
              <w:t>教室设有窗帘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sz w:val="22"/>
              </w:rPr>
            </w:pPr>
            <w:r>
              <w:rPr>
                <w:rFonts w:eastAsia="仿宋_GB2312" w:cs="Times New Roman"/>
                <w:bCs/>
                <w:sz w:val="22"/>
              </w:rPr>
              <w:t>灯管垂直黑板且为控照式灯具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sz w:val="22"/>
              </w:rPr>
            </w:pPr>
            <w:r>
              <w:rPr>
                <w:rFonts w:eastAsia="仿宋_GB2312" w:cs="Times New Roman"/>
                <w:bCs/>
                <w:sz w:val="22"/>
              </w:rPr>
              <w:t>黑板没有破损、眩光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bCs/>
                <w:sz w:val="22"/>
              </w:rPr>
            </w:pPr>
            <w:r>
              <w:rPr>
                <w:rFonts w:eastAsia="仿宋_GB2312" w:cs="Times New Roman"/>
                <w:bCs/>
                <w:sz w:val="22"/>
              </w:rPr>
              <w:t>每间教室至少设有2种不同高低型号的课桌椅、且每人一席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z w:val="22"/>
              </w:rPr>
            </w:pPr>
            <w:r>
              <w:rPr>
                <w:rFonts w:eastAsia="仿宋_GB2312" w:cs="Times New Roman"/>
                <w:sz w:val="22"/>
              </w:rPr>
              <w:t>设置黑板灯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新装修的教室使用前对室内空气按《室内空气质量标准》进行检测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教室设置通气窗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普通教室灯具符合国家标准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  <w:r>
              <w:rPr>
                <w:rFonts w:eastAsia="仿宋_GB2312" w:cs="Times New Roman"/>
                <w:bCs/>
                <w:kern w:val="0"/>
                <w:sz w:val="22"/>
              </w:rPr>
              <w:t>生活环境卫生</w:t>
            </w: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保证学生一人一床，且设有厕所、盥洗设施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寄宿制学校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宿舍有通风设施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top"/>
          </w:tcPr>
          <w:p>
            <w:pPr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教学楼每层设厕所，且设有洗手设施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color w:val="00B050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pacing w:val="-6"/>
                <w:sz w:val="22"/>
              </w:rPr>
            </w:pPr>
            <w:r>
              <w:rPr>
                <w:rFonts w:eastAsia="仿宋_GB2312" w:cs="Times New Roman"/>
                <w:spacing w:val="-6"/>
                <w:sz w:val="22"/>
              </w:rPr>
              <w:t>独立设置的厕所与生活饮用水水源相距30米以上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  <w:r>
              <w:rPr>
                <w:rFonts w:eastAsia="仿宋_GB2312" w:cs="Times New Roman"/>
                <w:bCs/>
                <w:kern w:val="0"/>
                <w:sz w:val="22"/>
              </w:rPr>
              <w:t>公共场所卫生</w:t>
            </w: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公共浴室</w:t>
            </w:r>
            <w:r>
              <w:rPr>
                <w:rFonts w:eastAsia="仿宋_GB2312" w:cs="Times New Roman"/>
                <w:sz w:val="22"/>
              </w:rPr>
              <w:t>持有有效卫生许可证</w:t>
            </w:r>
          </w:p>
        </w:tc>
        <w:tc>
          <w:tcPr>
            <w:tcW w:w="20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有公共浴室或游泳场馆学校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游泳场馆</w:t>
            </w:r>
            <w:r>
              <w:rPr>
                <w:rFonts w:eastAsia="仿宋_GB2312" w:cs="Times New Roman"/>
                <w:sz w:val="22"/>
              </w:rPr>
              <w:t>持有有效卫生许可证</w:t>
            </w:r>
          </w:p>
        </w:tc>
        <w:tc>
          <w:tcPr>
            <w:tcW w:w="2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</w:tbl>
    <w:p>
      <w:pPr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二、卫生监测内容</w:t>
      </w:r>
    </w:p>
    <w:tbl>
      <w:tblPr>
        <w:tblStyle w:val="3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070"/>
        <w:gridCol w:w="4263"/>
        <w:gridCol w:w="2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6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2"/>
              </w:rPr>
            </w:pPr>
            <w:r>
              <w:rPr>
                <w:rFonts w:eastAsia="黑体" w:cs="Times New Roman"/>
                <w:kern w:val="0"/>
                <w:sz w:val="22"/>
              </w:rPr>
              <w:t>项目</w:t>
            </w:r>
          </w:p>
        </w:tc>
        <w:tc>
          <w:tcPr>
            <w:tcW w:w="533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2"/>
              </w:rPr>
            </w:pPr>
            <w:r>
              <w:rPr>
                <w:rFonts w:eastAsia="黑体" w:cs="Times New Roman"/>
                <w:kern w:val="0"/>
                <w:sz w:val="22"/>
              </w:rPr>
              <w:t>卫生监测内容</w:t>
            </w:r>
          </w:p>
        </w:tc>
        <w:tc>
          <w:tcPr>
            <w:tcW w:w="215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 w:cs="Times New Roman"/>
                <w:kern w:val="0"/>
                <w:sz w:val="22"/>
              </w:rPr>
            </w:pPr>
            <w:r>
              <w:rPr>
                <w:rFonts w:eastAsia="黑体" w:cs="Times New Roman"/>
                <w:kern w:val="0"/>
                <w:sz w:val="22"/>
              </w:rPr>
              <w:t>监测对象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distribute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spacing w:val="-9"/>
                <w:kern w:val="0"/>
                <w:sz w:val="22"/>
              </w:rPr>
              <w:t>教学环境卫生监测</w:t>
            </w:r>
          </w:p>
        </w:tc>
        <w:tc>
          <w:tcPr>
            <w:tcW w:w="533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教室人均面积符合卫生要求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6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33" w:type="dxa"/>
            <w:gridSpan w:val="2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教室前排课桌前缘与黑板的距离≥2.0米</w:t>
            </w:r>
          </w:p>
        </w:tc>
        <w:tc>
          <w:tcPr>
            <w:tcW w:w="215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6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color w:val="00B050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教室采光、照明</w:t>
            </w:r>
          </w:p>
        </w:tc>
        <w:tc>
          <w:tcPr>
            <w:tcW w:w="4263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color w:val="00B050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窗地比、课桌面及黑板的维持平均照度及均匀度等符合《中小学校教室采光和照明卫生标准》GB7793-2010要求</w:t>
            </w:r>
          </w:p>
        </w:tc>
        <w:tc>
          <w:tcPr>
            <w:tcW w:w="215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6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生活饮用水监测</w:t>
            </w:r>
          </w:p>
        </w:tc>
        <w:tc>
          <w:tcPr>
            <w:tcW w:w="533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学校供水末梢水检测</w:t>
            </w:r>
          </w:p>
        </w:tc>
        <w:tc>
          <w:tcPr>
            <w:tcW w:w="215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spacing w:val="-9"/>
                <w:kern w:val="0"/>
                <w:sz w:val="22"/>
              </w:rPr>
              <w:t>除公共供水外的学校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6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hint="default" w:eastAsia="仿宋_GB2312" w:cs="Times New Roman"/>
                <w:kern w:val="0"/>
                <w:sz w:val="22"/>
                <w:lang w:val="en-US" w:eastAsia="zh-CN"/>
              </w:rPr>
              <w:t>国家双随机或专项</w:t>
            </w:r>
            <w:r>
              <w:rPr>
                <w:rFonts w:hint="default" w:eastAsia="仿宋_GB2312" w:cs="Times New Roman"/>
                <w:kern w:val="0"/>
                <w:sz w:val="22"/>
              </w:rPr>
              <w:t>监测</w:t>
            </w:r>
          </w:p>
        </w:tc>
        <w:tc>
          <w:tcPr>
            <w:tcW w:w="5333" w:type="dxa"/>
            <w:gridSpan w:val="2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hint="default" w:eastAsia="仿宋_GB2312" w:cs="Times New Roman"/>
                <w:kern w:val="0"/>
                <w:sz w:val="22"/>
                <w:lang w:val="en-US" w:eastAsia="zh-CN"/>
              </w:rPr>
              <w:t>按国家卫生健康委相关文件执行</w:t>
            </w:r>
          </w:p>
        </w:tc>
        <w:tc>
          <w:tcPr>
            <w:tcW w:w="215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hint="default" w:eastAsia="仿宋_GB2312" w:cs="Times New Roman"/>
                <w:kern w:val="0"/>
                <w:sz w:val="22"/>
                <w:lang w:val="en-US" w:eastAsia="zh-CN"/>
              </w:rPr>
              <w:t>相关学校</w:t>
            </w:r>
          </w:p>
        </w:tc>
      </w:tr>
    </w:tbl>
    <w:p>
      <w:pPr>
        <w:rPr>
          <w:rFonts w:eastAsia="黑体" w:cs="Times New Roman"/>
        </w:rPr>
      </w:pPr>
    </w:p>
    <w:p>
      <w:pPr>
        <w:rPr>
          <w:rFonts w:eastAsia="仿宋_GB2312" w:cs="Times New Roman"/>
        </w:rPr>
      </w:pPr>
      <w:r>
        <w:rPr>
          <w:rFonts w:eastAsia="黑体" w:cs="Times New Roman"/>
        </w:rPr>
        <w:t>备注：</w:t>
      </w:r>
      <w:r>
        <w:rPr>
          <w:rFonts w:eastAsia="仿宋_GB2312" w:cs="Times New Roman"/>
        </w:rPr>
        <w:t>教室采光、照明监测项原则上由当地疾控机构承担，不具备相应检测能力的，可由第三方</w:t>
      </w:r>
    </w:p>
    <w:p>
      <w:pPr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eastAsia="仿宋_GB2312" w:cs="Times New Roman"/>
          <w:lang w:val="en-US" w:eastAsia="zh-CN"/>
        </w:rPr>
        <w:t xml:space="preserve">      </w:t>
      </w:r>
      <w:r>
        <w:rPr>
          <w:rFonts w:eastAsia="仿宋_GB2312" w:cs="Times New Roman"/>
        </w:rPr>
        <w:t>检测机构承担。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40" w:left="1531" w:header="851" w:footer="1361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7840" w:firstLineChars="2800"/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1117E"/>
    <w:rsid w:val="7D0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2023-04-12T01:46:00Z</dcterms:created>
  <dc:creator>admin</dc:creator>
  <cp:lastModifiedBy>admin</cp:lastModifiedBy>
  <dcterms:modified xsi:type="dcterms:W3CDTF">2023-04-12T01:47:26Z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