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36"/>
          <w:szCs w:val="36"/>
        </w:rPr>
      </w:pPr>
    </w:p>
    <w:p>
      <w:pPr>
        <w:spacing w:line="560" w:lineRule="exact"/>
        <w:jc w:val="center"/>
        <w:rPr>
          <w:rFonts w:ascii="Times New Roman" w:hAnsi="Times New Roman" w:eastAsia="方正小标宋_GBK" w:cs="Times New Roman"/>
          <w:sz w:val="36"/>
          <w:szCs w:val="36"/>
        </w:rPr>
      </w:pPr>
      <w:r>
        <w:rPr>
          <w:rFonts w:ascii="Times New Roman" w:hAnsi="Times New Roman" w:eastAsia="方正小标宋_GBK" w:cs="Times New Roman"/>
          <w:sz w:val="36"/>
          <w:szCs w:val="36"/>
        </w:rPr>
        <w:t>广西地方标准《肉桂油生产技术规程》</w:t>
      </w:r>
    </w:p>
    <w:p>
      <w:pPr>
        <w:spacing w:line="560" w:lineRule="exact"/>
        <w:jc w:val="center"/>
        <w:rPr>
          <w:rFonts w:ascii="Times New Roman" w:hAnsi="Times New Roman" w:eastAsia="方正小标宋_GBK" w:cs="Times New Roman"/>
          <w:sz w:val="36"/>
          <w:szCs w:val="36"/>
        </w:rPr>
      </w:pPr>
      <w:r>
        <w:rPr>
          <w:rFonts w:ascii="Times New Roman" w:hAnsi="Times New Roman" w:eastAsia="方正小标宋_GBK" w:cs="Times New Roman"/>
          <w:sz w:val="36"/>
          <w:szCs w:val="36"/>
        </w:rPr>
        <w:t>（</w:t>
      </w:r>
      <w:r>
        <w:rPr>
          <w:rFonts w:hint="eastAsia" w:ascii="Times New Roman" w:hAnsi="Times New Roman" w:eastAsia="方正小标宋_GBK" w:cs="Times New Roman"/>
          <w:sz w:val="36"/>
          <w:szCs w:val="36"/>
        </w:rPr>
        <w:t>征求意见稿</w:t>
      </w:r>
      <w:r>
        <w:rPr>
          <w:rFonts w:ascii="Times New Roman" w:hAnsi="Times New Roman" w:eastAsia="方正小标宋_GBK" w:cs="Times New Roman"/>
          <w:sz w:val="36"/>
          <w:szCs w:val="36"/>
        </w:rPr>
        <w:t>）编制说明</w:t>
      </w:r>
    </w:p>
    <w:p>
      <w:pPr>
        <w:spacing w:line="560" w:lineRule="exact"/>
        <w:jc w:val="center"/>
        <w:rPr>
          <w:rFonts w:ascii="Times New Roman" w:hAnsi="Times New Roman" w:eastAsia="方正小标宋_GBK" w:cs="Times New Roman"/>
          <w:sz w:val="36"/>
          <w:szCs w:val="36"/>
        </w:rPr>
      </w:pPr>
    </w:p>
    <w:p>
      <w:pPr>
        <w:spacing w:line="580" w:lineRule="exact"/>
        <w:jc w:val="left"/>
        <w:rPr>
          <w:rFonts w:ascii="Times New Roman" w:hAnsi="Times New Roman" w:eastAsia="黑体" w:cs="Times New Roman"/>
          <w:sz w:val="30"/>
          <w:szCs w:val="30"/>
        </w:rPr>
      </w:pPr>
      <w:r>
        <w:rPr>
          <w:rFonts w:ascii="Times New Roman" w:hAnsi="Times New Roman" w:eastAsia="黑体" w:cs="Times New Roman"/>
          <w:sz w:val="30"/>
          <w:szCs w:val="30"/>
        </w:rPr>
        <w:t>一、项目来源</w:t>
      </w:r>
    </w:p>
    <w:p>
      <w:pPr>
        <w:spacing w:line="580" w:lineRule="exact"/>
        <w:ind w:firstLine="560" w:firstLineChars="200"/>
        <w:rPr>
          <w:rFonts w:ascii="仿宋" w:hAnsi="仿宋" w:eastAsia="仿宋" w:cs="Times New Roman"/>
          <w:sz w:val="28"/>
          <w:szCs w:val="28"/>
        </w:rPr>
      </w:pPr>
      <w:r>
        <w:rPr>
          <w:rFonts w:ascii="仿宋" w:hAnsi="仿宋" w:eastAsia="仿宋" w:cs="Times New Roman"/>
          <w:sz w:val="28"/>
          <w:szCs w:val="28"/>
        </w:rPr>
        <w:t>根据《</w:t>
      </w:r>
      <w:r>
        <w:rPr>
          <w:rFonts w:hint="eastAsia" w:ascii="仿宋" w:hAnsi="仿宋" w:eastAsia="仿宋" w:cs="Times New Roman"/>
          <w:sz w:val="28"/>
          <w:szCs w:val="28"/>
        </w:rPr>
        <w:t>广西壮族自治区质量技术监督局关于下达2</w:t>
      </w:r>
      <w:r>
        <w:rPr>
          <w:rFonts w:ascii="仿宋" w:hAnsi="仿宋" w:eastAsia="仿宋" w:cs="Times New Roman"/>
          <w:sz w:val="28"/>
          <w:szCs w:val="28"/>
        </w:rPr>
        <w:t>018</w:t>
      </w:r>
      <w:r>
        <w:rPr>
          <w:rFonts w:hint="eastAsia" w:ascii="仿宋" w:hAnsi="仿宋" w:eastAsia="仿宋" w:cs="Times New Roman"/>
          <w:sz w:val="28"/>
          <w:szCs w:val="28"/>
        </w:rPr>
        <w:t>年第一批广西地方标准制定项目计划的通知</w:t>
      </w:r>
      <w:r>
        <w:rPr>
          <w:rFonts w:ascii="仿宋" w:hAnsi="仿宋" w:eastAsia="仿宋" w:cs="Times New Roman"/>
          <w:sz w:val="28"/>
          <w:szCs w:val="28"/>
        </w:rPr>
        <w:t>》（桂质监函﹝2018﹞162号）精神，由防城港市市场监督管理局提出，广西庚源香料有限责任公司、东兴市市场监督管理局共同起草的《肉桂油生产技术规程》被批准立项为广西地方标准，项目编号为：2018-0121。</w:t>
      </w:r>
    </w:p>
    <w:p>
      <w:pPr>
        <w:spacing w:line="580" w:lineRule="exact"/>
        <w:ind w:firstLine="560" w:firstLineChars="200"/>
        <w:jc w:val="left"/>
        <w:rPr>
          <w:rFonts w:ascii="仿宋" w:hAnsi="仿宋" w:eastAsia="仿宋" w:cs="Times New Roman"/>
          <w:sz w:val="28"/>
          <w:szCs w:val="28"/>
        </w:rPr>
      </w:pPr>
      <w:r>
        <w:rPr>
          <w:rFonts w:ascii="仿宋" w:hAnsi="仿宋" w:eastAsia="仿宋" w:cs="Times New Roman"/>
          <w:sz w:val="28"/>
          <w:szCs w:val="28"/>
        </w:rPr>
        <w:t>本标准的编写将按照《标准化工作导则  第1部分：标准化文件的结构和起草规则》（GB/T 1.1-2020）及自治区市场监督管理局地方标准相关规定进行。</w:t>
      </w:r>
    </w:p>
    <w:p>
      <w:pPr>
        <w:spacing w:line="580" w:lineRule="exact"/>
        <w:jc w:val="left"/>
        <w:rPr>
          <w:rFonts w:ascii="Times New Roman" w:hAnsi="Times New Roman" w:eastAsia="黑体" w:cs="Times New Roman"/>
          <w:sz w:val="30"/>
          <w:szCs w:val="30"/>
        </w:rPr>
      </w:pPr>
      <w:r>
        <w:rPr>
          <w:rFonts w:ascii="Times New Roman" w:hAnsi="Times New Roman" w:eastAsia="黑体" w:cs="Times New Roman"/>
          <w:sz w:val="30"/>
          <w:szCs w:val="30"/>
        </w:rPr>
        <w:t>二、项目背景及目的意义</w:t>
      </w:r>
    </w:p>
    <w:p>
      <w:pPr>
        <w:spacing w:line="580" w:lineRule="exact"/>
        <w:ind w:firstLine="560" w:firstLineChars="200"/>
        <w:jc w:val="left"/>
        <w:rPr>
          <w:rFonts w:ascii="仿宋" w:hAnsi="仿宋" w:eastAsia="仿宋" w:cs="Times New Roman"/>
          <w:sz w:val="28"/>
          <w:szCs w:val="28"/>
        </w:rPr>
      </w:pPr>
      <w:r>
        <w:rPr>
          <w:rFonts w:ascii="仿宋" w:hAnsi="仿宋" w:eastAsia="仿宋" w:cs="Times New Roman"/>
          <w:sz w:val="28"/>
          <w:szCs w:val="28"/>
        </w:rPr>
        <w:t>肉桂（</w:t>
      </w:r>
      <w:r>
        <w:rPr>
          <w:rFonts w:ascii="仿宋" w:hAnsi="仿宋" w:eastAsia="仿宋" w:cs="Times New Roman"/>
          <w:i/>
          <w:sz w:val="28"/>
          <w:szCs w:val="28"/>
        </w:rPr>
        <w:t>Cinnamomum cassia</w:t>
      </w:r>
      <w:r>
        <w:rPr>
          <w:rFonts w:ascii="仿宋" w:hAnsi="仿宋" w:eastAsia="仿宋" w:cs="Times New Roman"/>
          <w:sz w:val="28"/>
          <w:szCs w:val="28"/>
        </w:rPr>
        <w:t xml:space="preserve"> Presl）为樟科植物，现主要产于中国、越南、印度、斯里兰卡、印度尼西亚等国家。中国作为世界上最大的肉桂生产国和出口国，产量占到了世界肉桂产量的80</w:t>
      </w:r>
      <w:r>
        <w:rPr>
          <w:rFonts w:hint="eastAsia" w:ascii="仿宋" w:hAnsi="仿宋" w:eastAsia="仿宋" w:cs="Times New Roman"/>
          <w:sz w:val="28"/>
          <w:szCs w:val="28"/>
        </w:rPr>
        <w:t xml:space="preserve"> </w:t>
      </w:r>
      <w:r>
        <w:rPr>
          <w:rFonts w:ascii="仿宋" w:hAnsi="仿宋" w:eastAsia="仿宋" w:cs="Times New Roman"/>
          <w:sz w:val="28"/>
          <w:szCs w:val="28"/>
        </w:rPr>
        <w:t>%以上。广西是肉桂生产大省，每年肉桂和肉桂油的生产量和出口均占全国份额六成以上。肉桂油是肉桂枝叶的初级加工产品，工业上通过水蒸气蒸馏法制备，其提取率约为0.8~ 1.0 %。由于肉桂油生产门槛较低，设备要求不高、技术简单，因而大部分肉桂油生产企业规模小而分散、技术设备陈旧落后、科技含量低、产品质量参差不齐，导致企业竞争力不强、效益较低。</w:t>
      </w:r>
    </w:p>
    <w:p>
      <w:pPr>
        <w:spacing w:line="580" w:lineRule="exact"/>
        <w:ind w:firstLine="560" w:firstLineChars="200"/>
        <w:jc w:val="left"/>
        <w:rPr>
          <w:rFonts w:ascii="仿宋" w:hAnsi="仿宋" w:eastAsia="仿宋" w:cs="Times New Roman"/>
          <w:sz w:val="28"/>
          <w:szCs w:val="28"/>
        </w:rPr>
      </w:pPr>
      <w:r>
        <w:rPr>
          <w:rFonts w:ascii="仿宋" w:hAnsi="仿宋" w:eastAsia="仿宋" w:cs="Times New Roman"/>
          <w:sz w:val="28"/>
          <w:szCs w:val="28"/>
        </w:rPr>
        <w:t>技术标准是对技术活动中需要统一协调的事物制定的标准，是企业进行生产技术活动的基本依据，是衡量企业技术发展水平的标志，也是产品进入市场的基本准则。如今技术标准已成为产业和地区参与国内外竞争的重要手段之一，直接影响到产业的区域分工和竞争力的提升。从某种意义上来说，技术标准是一种发展秩序和规则，已经成为产业特别是高技术产业竞争的制高点，谁掌握了标准的制定权，并成为主导标准，谁就掌握了市场的主动权。</w:t>
      </w:r>
    </w:p>
    <w:p>
      <w:pPr>
        <w:spacing w:line="580" w:lineRule="exact"/>
        <w:ind w:firstLine="560" w:firstLineChars="200"/>
        <w:jc w:val="left"/>
        <w:rPr>
          <w:rFonts w:ascii="仿宋" w:hAnsi="仿宋" w:eastAsia="仿宋" w:cs="Times New Roman"/>
          <w:sz w:val="28"/>
          <w:szCs w:val="28"/>
        </w:rPr>
      </w:pPr>
      <w:r>
        <w:rPr>
          <w:rFonts w:ascii="仿宋" w:hAnsi="仿宋" w:eastAsia="仿宋" w:cs="Times New Roman"/>
          <w:sz w:val="28"/>
          <w:szCs w:val="28"/>
        </w:rPr>
        <w:t>目前广西尚未制定肉桂油生产的相关技术标准，在一定程度上也影响了这一传统产业的发展壮大。因此制定肉桂油生产技术规程，规范其设备构成、原料要求、生产操作和产品质量等要素，且迫在眉睫。制定广西肉桂油生产技术规程，可以补上广西长期缺乏的这一短板，促使各级政府和生产企业更加重视这一产业的标准化生产，促进肉桂油产业更好发展。规范生产技术规程，可以进一步提高生产得率，保证产品质量，降耗增效，实现环保生产；增强巿场竞争力，提高广西肉桂油市场话语权，树立广西肉桂油品牌形象，对打造面向全国乃至东盟国家香精香料中心具有重要的现实意义和深远影响。</w:t>
      </w:r>
    </w:p>
    <w:p>
      <w:pPr>
        <w:spacing w:line="580" w:lineRule="exact"/>
        <w:jc w:val="left"/>
        <w:rPr>
          <w:rFonts w:ascii="黑体" w:hAnsi="黑体" w:eastAsia="黑体" w:cs="Times New Roman"/>
          <w:sz w:val="30"/>
          <w:szCs w:val="30"/>
        </w:rPr>
      </w:pPr>
      <w:r>
        <w:rPr>
          <w:rFonts w:ascii="黑体" w:hAnsi="黑体" w:eastAsia="黑体" w:cs="Times New Roman"/>
          <w:sz w:val="30"/>
          <w:szCs w:val="30"/>
        </w:rPr>
        <w:t>三、项目编制过程</w:t>
      </w:r>
    </w:p>
    <w:p>
      <w:pPr>
        <w:spacing w:line="580" w:lineRule="exact"/>
        <w:ind w:firstLine="562" w:firstLineChars="200"/>
        <w:rPr>
          <w:rFonts w:ascii="仿宋" w:hAnsi="仿宋" w:eastAsia="仿宋" w:cs="Times New Roman"/>
          <w:b/>
          <w:sz w:val="28"/>
          <w:szCs w:val="28"/>
        </w:rPr>
      </w:pPr>
      <w:r>
        <w:rPr>
          <w:rFonts w:ascii="仿宋" w:hAnsi="仿宋" w:eastAsia="仿宋" w:cs="Times New Roman"/>
          <w:b/>
          <w:sz w:val="28"/>
          <w:szCs w:val="28"/>
        </w:rPr>
        <w:t>（一）成立标准编制工作组</w:t>
      </w:r>
    </w:p>
    <w:p>
      <w:pPr>
        <w:spacing w:line="580" w:lineRule="exact"/>
        <w:ind w:firstLine="560" w:firstLineChars="200"/>
        <w:jc w:val="left"/>
        <w:rPr>
          <w:rFonts w:ascii="仿宋" w:hAnsi="仿宋" w:eastAsia="仿宋" w:cs="Times New Roman"/>
          <w:sz w:val="28"/>
          <w:szCs w:val="28"/>
        </w:rPr>
      </w:pPr>
      <w:r>
        <w:rPr>
          <w:rFonts w:ascii="仿宋" w:hAnsi="仿宋" w:eastAsia="仿宋" w:cs="Times New Roman"/>
          <w:sz w:val="28"/>
          <w:szCs w:val="28"/>
        </w:rPr>
        <w:t>广西地方标准《肉桂油生产技术规程》项目任务下达后，广西庚源香料有限责任公司</w:t>
      </w:r>
      <w:r>
        <w:rPr>
          <w:rFonts w:hint="eastAsia" w:ascii="仿宋" w:hAnsi="仿宋" w:eastAsia="仿宋" w:cs="Times New Roman"/>
          <w:sz w:val="28"/>
          <w:szCs w:val="28"/>
        </w:rPr>
        <w:t>成立了以侯小涛教授主持，张笮晦、邓家刚、陈耿、陈源泉、沈贤威、陈惠莉、黄广智为参与成员的标准编制小组，并召开了工作会议，及时部署了标准编制的工作方案和时间进度表。</w:t>
      </w:r>
    </w:p>
    <w:p>
      <w:pPr>
        <w:spacing w:line="580" w:lineRule="exact"/>
        <w:ind w:firstLine="560" w:firstLineChars="200"/>
        <w:jc w:val="left"/>
        <w:rPr>
          <w:rFonts w:ascii="仿宋" w:hAnsi="仿宋" w:eastAsia="仿宋" w:cs="Times New Roman"/>
          <w:sz w:val="28"/>
          <w:szCs w:val="28"/>
        </w:rPr>
      </w:pPr>
      <w:r>
        <w:rPr>
          <w:rFonts w:ascii="仿宋" w:hAnsi="仿宋" w:eastAsia="仿宋" w:cs="Times New Roman"/>
          <w:sz w:val="28"/>
          <w:szCs w:val="28"/>
        </w:rPr>
        <w:t>标准主要起草人</w:t>
      </w:r>
      <w:r>
        <w:rPr>
          <w:rFonts w:hint="eastAsia" w:ascii="仿宋" w:hAnsi="仿宋" w:eastAsia="仿宋" w:cs="Times New Roman"/>
          <w:sz w:val="28"/>
          <w:szCs w:val="28"/>
        </w:rPr>
        <w:t>信息</w:t>
      </w:r>
      <w:r>
        <w:rPr>
          <w:rFonts w:ascii="仿宋" w:hAnsi="仿宋" w:eastAsia="仿宋" w:cs="Times New Roman"/>
          <w:sz w:val="28"/>
          <w:szCs w:val="28"/>
        </w:rPr>
        <w:t>见表1。</w:t>
      </w:r>
    </w:p>
    <w:p>
      <w:pPr>
        <w:spacing w:line="580" w:lineRule="exact"/>
        <w:ind w:firstLine="560" w:firstLineChars="200"/>
        <w:jc w:val="left"/>
        <w:rPr>
          <w:rFonts w:ascii="仿宋" w:hAnsi="仿宋" w:eastAsia="仿宋" w:cs="Times New Roman"/>
          <w:sz w:val="28"/>
          <w:szCs w:val="28"/>
        </w:rPr>
      </w:pPr>
    </w:p>
    <w:p>
      <w:pPr>
        <w:spacing w:line="580" w:lineRule="exact"/>
        <w:ind w:firstLine="560" w:firstLineChars="200"/>
        <w:jc w:val="left"/>
        <w:rPr>
          <w:rFonts w:hint="eastAsia" w:ascii="仿宋" w:hAnsi="仿宋" w:eastAsia="仿宋" w:cs="Times New Roman"/>
          <w:sz w:val="28"/>
          <w:szCs w:val="28"/>
        </w:rPr>
      </w:pPr>
    </w:p>
    <w:p>
      <w:pPr>
        <w:spacing w:after="156" w:afterLines="50" w:line="560" w:lineRule="exact"/>
        <w:jc w:val="center"/>
        <w:rPr>
          <w:rFonts w:ascii="黑体" w:hAnsi="黑体" w:eastAsia="黑体"/>
          <w:sz w:val="28"/>
          <w:szCs w:val="28"/>
        </w:rPr>
      </w:pPr>
      <w:r>
        <w:rPr>
          <w:rFonts w:hint="eastAsia" w:ascii="黑体" w:hAnsi="黑体" w:eastAsia="黑体"/>
          <w:sz w:val="28"/>
          <w:szCs w:val="28"/>
        </w:rPr>
        <w:t>表1</w:t>
      </w:r>
      <w:r>
        <w:rPr>
          <w:rFonts w:ascii="黑体" w:hAnsi="黑体" w:eastAsia="黑体"/>
          <w:sz w:val="28"/>
          <w:szCs w:val="28"/>
        </w:rPr>
        <w:t xml:space="preserve">  主要起草人员</w:t>
      </w:r>
      <w:r>
        <w:rPr>
          <w:rFonts w:hint="eastAsia" w:ascii="黑体" w:hAnsi="黑体" w:eastAsia="黑体"/>
          <w:sz w:val="28"/>
          <w:szCs w:val="28"/>
        </w:rPr>
        <w:t>信息</w:t>
      </w:r>
    </w:p>
    <w:tbl>
      <w:tblPr>
        <w:tblStyle w:val="6"/>
        <w:tblW w:w="51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727"/>
        <w:gridCol w:w="583"/>
        <w:gridCol w:w="1184"/>
        <w:gridCol w:w="1097"/>
        <w:gridCol w:w="310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498" w:type="pct"/>
            <w:vAlign w:val="center"/>
          </w:tcPr>
          <w:p>
            <w:pPr>
              <w:spacing w:line="320" w:lineRule="exact"/>
              <w:jc w:val="center"/>
              <w:rPr>
                <w:rFonts w:ascii="宋体" w:hAnsi="宋体" w:eastAsia="宋体"/>
                <w:b/>
                <w:szCs w:val="21"/>
              </w:rPr>
            </w:pPr>
            <w:r>
              <w:rPr>
                <w:rFonts w:hint="eastAsia" w:ascii="宋体" w:hAnsi="宋体" w:eastAsia="宋体"/>
                <w:b/>
                <w:spacing w:val="-6"/>
                <w:szCs w:val="21"/>
              </w:rPr>
              <w:t>姓名</w:t>
            </w:r>
          </w:p>
        </w:tc>
        <w:tc>
          <w:tcPr>
            <w:tcW w:w="416" w:type="pct"/>
            <w:vAlign w:val="center"/>
          </w:tcPr>
          <w:p>
            <w:pPr>
              <w:spacing w:line="320" w:lineRule="exact"/>
              <w:jc w:val="center"/>
              <w:rPr>
                <w:rFonts w:ascii="宋体" w:hAnsi="宋体" w:eastAsia="宋体"/>
                <w:b/>
                <w:szCs w:val="21"/>
              </w:rPr>
            </w:pPr>
            <w:r>
              <w:rPr>
                <w:rFonts w:hint="eastAsia" w:ascii="宋体" w:hAnsi="宋体" w:eastAsia="宋体"/>
                <w:b/>
                <w:spacing w:val="-6"/>
                <w:szCs w:val="21"/>
              </w:rPr>
              <w:t>性别</w:t>
            </w:r>
          </w:p>
        </w:tc>
        <w:tc>
          <w:tcPr>
            <w:tcW w:w="334" w:type="pct"/>
            <w:vAlign w:val="center"/>
          </w:tcPr>
          <w:p>
            <w:pPr>
              <w:spacing w:line="320" w:lineRule="exact"/>
              <w:jc w:val="center"/>
              <w:rPr>
                <w:rFonts w:ascii="宋体" w:hAnsi="宋体" w:eastAsia="宋体"/>
                <w:b/>
                <w:szCs w:val="21"/>
              </w:rPr>
            </w:pPr>
            <w:r>
              <w:rPr>
                <w:rFonts w:hint="eastAsia" w:ascii="宋体" w:hAnsi="宋体" w:eastAsia="宋体"/>
                <w:b/>
                <w:spacing w:val="-6"/>
                <w:szCs w:val="21"/>
              </w:rPr>
              <w:t>年龄</w:t>
            </w:r>
          </w:p>
        </w:tc>
        <w:tc>
          <w:tcPr>
            <w:tcW w:w="678" w:type="pct"/>
            <w:vAlign w:val="center"/>
          </w:tcPr>
          <w:p>
            <w:pPr>
              <w:spacing w:line="320" w:lineRule="exact"/>
              <w:jc w:val="center"/>
              <w:rPr>
                <w:rFonts w:ascii="宋体" w:hAnsi="宋体" w:eastAsia="宋体"/>
                <w:b/>
                <w:szCs w:val="21"/>
              </w:rPr>
            </w:pPr>
            <w:r>
              <w:rPr>
                <w:rFonts w:hint="eastAsia" w:ascii="宋体" w:hAnsi="宋体" w:eastAsia="宋体"/>
                <w:b/>
                <w:spacing w:val="-6"/>
                <w:szCs w:val="21"/>
              </w:rPr>
              <w:t>职称</w:t>
            </w:r>
          </w:p>
        </w:tc>
        <w:tc>
          <w:tcPr>
            <w:tcW w:w="628" w:type="pct"/>
            <w:vAlign w:val="center"/>
          </w:tcPr>
          <w:p>
            <w:pPr>
              <w:spacing w:line="320" w:lineRule="exact"/>
              <w:jc w:val="center"/>
              <w:rPr>
                <w:rFonts w:ascii="宋体" w:hAnsi="宋体" w:eastAsia="宋体"/>
                <w:b/>
                <w:szCs w:val="21"/>
              </w:rPr>
            </w:pPr>
            <w:r>
              <w:rPr>
                <w:rFonts w:hint="eastAsia" w:ascii="宋体" w:hAnsi="宋体" w:eastAsia="宋体"/>
                <w:b/>
                <w:spacing w:val="-6"/>
                <w:szCs w:val="21"/>
              </w:rPr>
              <w:t>从事专业</w:t>
            </w:r>
          </w:p>
        </w:tc>
        <w:tc>
          <w:tcPr>
            <w:tcW w:w="1777" w:type="pct"/>
            <w:vAlign w:val="center"/>
          </w:tcPr>
          <w:p>
            <w:pPr>
              <w:spacing w:line="320" w:lineRule="exact"/>
              <w:jc w:val="center"/>
              <w:rPr>
                <w:rFonts w:ascii="宋体" w:hAnsi="宋体" w:eastAsia="宋体"/>
                <w:b/>
                <w:szCs w:val="21"/>
              </w:rPr>
            </w:pPr>
            <w:r>
              <w:rPr>
                <w:rFonts w:hint="eastAsia" w:ascii="宋体" w:hAnsi="宋体" w:eastAsia="宋体"/>
                <w:b/>
                <w:spacing w:val="-6"/>
                <w:szCs w:val="21"/>
              </w:rPr>
              <w:t>工作单位</w:t>
            </w:r>
          </w:p>
        </w:tc>
        <w:tc>
          <w:tcPr>
            <w:tcW w:w="668" w:type="pct"/>
            <w:vAlign w:val="center"/>
          </w:tcPr>
          <w:p>
            <w:pPr>
              <w:spacing w:line="320" w:lineRule="exact"/>
              <w:jc w:val="center"/>
              <w:rPr>
                <w:rFonts w:ascii="宋体" w:hAnsi="宋体" w:eastAsia="宋体"/>
                <w:b/>
                <w:szCs w:val="21"/>
              </w:rPr>
            </w:pPr>
            <w:r>
              <w:rPr>
                <w:rFonts w:hint="eastAsia" w:ascii="宋体" w:hAnsi="宋体" w:eastAsia="宋体"/>
                <w:b/>
                <w:spacing w:val="-6"/>
                <w:szCs w:val="21"/>
              </w:rPr>
              <w:t>责任分工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498" w:type="pct"/>
            <w:vAlign w:val="center"/>
          </w:tcPr>
          <w:p>
            <w:pPr>
              <w:spacing w:line="320" w:lineRule="exact"/>
              <w:jc w:val="center"/>
              <w:rPr>
                <w:rFonts w:ascii="宋体" w:hAnsi="宋体" w:eastAsia="宋体"/>
                <w:szCs w:val="21"/>
              </w:rPr>
            </w:pPr>
            <w:r>
              <w:rPr>
                <w:rFonts w:hint="eastAsia" w:ascii="宋体" w:hAnsi="宋体" w:eastAsia="宋体"/>
                <w:szCs w:val="21"/>
              </w:rPr>
              <w:t>侯小涛</w:t>
            </w:r>
          </w:p>
        </w:tc>
        <w:tc>
          <w:tcPr>
            <w:tcW w:w="416" w:type="pct"/>
            <w:vAlign w:val="center"/>
          </w:tcPr>
          <w:p>
            <w:pPr>
              <w:spacing w:line="320" w:lineRule="exact"/>
              <w:jc w:val="center"/>
              <w:rPr>
                <w:rFonts w:ascii="宋体" w:hAnsi="宋体" w:eastAsia="宋体"/>
                <w:szCs w:val="21"/>
              </w:rPr>
            </w:pPr>
            <w:r>
              <w:rPr>
                <w:rFonts w:hint="eastAsia" w:ascii="宋体" w:hAnsi="宋体" w:eastAsia="宋体"/>
                <w:szCs w:val="21"/>
              </w:rPr>
              <w:t>女</w:t>
            </w:r>
          </w:p>
        </w:tc>
        <w:tc>
          <w:tcPr>
            <w:tcW w:w="334" w:type="pct"/>
            <w:vAlign w:val="center"/>
          </w:tcPr>
          <w:p>
            <w:pPr>
              <w:spacing w:line="320" w:lineRule="exact"/>
              <w:jc w:val="center"/>
              <w:rPr>
                <w:rFonts w:ascii="宋体" w:hAnsi="宋体" w:eastAsia="宋体"/>
                <w:szCs w:val="21"/>
              </w:rPr>
            </w:pPr>
            <w:r>
              <w:rPr>
                <w:rFonts w:hint="eastAsia" w:ascii="宋体" w:hAnsi="宋体" w:eastAsia="宋体"/>
                <w:szCs w:val="21"/>
              </w:rPr>
              <w:t>49</w:t>
            </w:r>
          </w:p>
        </w:tc>
        <w:tc>
          <w:tcPr>
            <w:tcW w:w="678" w:type="pct"/>
            <w:vAlign w:val="center"/>
          </w:tcPr>
          <w:p>
            <w:pPr>
              <w:spacing w:line="320" w:lineRule="exact"/>
              <w:jc w:val="center"/>
              <w:rPr>
                <w:rFonts w:ascii="宋体" w:hAnsi="宋体" w:eastAsia="宋体"/>
                <w:szCs w:val="21"/>
              </w:rPr>
            </w:pPr>
            <w:r>
              <w:rPr>
                <w:rFonts w:hint="eastAsia" w:ascii="宋体" w:hAnsi="宋体" w:eastAsia="宋体"/>
                <w:szCs w:val="21"/>
              </w:rPr>
              <w:t>教授</w:t>
            </w:r>
          </w:p>
        </w:tc>
        <w:tc>
          <w:tcPr>
            <w:tcW w:w="628" w:type="pct"/>
            <w:vAlign w:val="center"/>
          </w:tcPr>
          <w:p>
            <w:pPr>
              <w:spacing w:line="320" w:lineRule="exact"/>
              <w:jc w:val="center"/>
              <w:rPr>
                <w:rFonts w:ascii="宋体" w:hAnsi="宋体" w:eastAsia="宋体"/>
                <w:szCs w:val="21"/>
              </w:rPr>
            </w:pPr>
            <w:r>
              <w:rPr>
                <w:rFonts w:hint="eastAsia" w:ascii="宋体" w:hAnsi="宋体" w:eastAsia="宋体"/>
                <w:szCs w:val="21"/>
              </w:rPr>
              <w:t>标准化</w:t>
            </w:r>
          </w:p>
        </w:tc>
        <w:tc>
          <w:tcPr>
            <w:tcW w:w="1777" w:type="pct"/>
            <w:vAlign w:val="center"/>
          </w:tcPr>
          <w:p>
            <w:pPr>
              <w:spacing w:line="320" w:lineRule="exact"/>
              <w:jc w:val="center"/>
              <w:rPr>
                <w:rFonts w:ascii="宋体" w:hAnsi="宋体" w:eastAsia="宋体"/>
                <w:szCs w:val="21"/>
              </w:rPr>
            </w:pPr>
            <w:r>
              <w:rPr>
                <w:rFonts w:hint="eastAsia" w:ascii="宋体" w:hAnsi="宋体" w:eastAsia="宋体"/>
                <w:szCs w:val="21"/>
              </w:rPr>
              <w:t>广西庚源香料有限责任公司（特聘专家）广西中医药大学</w:t>
            </w:r>
          </w:p>
        </w:tc>
        <w:tc>
          <w:tcPr>
            <w:tcW w:w="668" w:type="pct"/>
            <w:vAlign w:val="center"/>
          </w:tcPr>
          <w:p>
            <w:pPr>
              <w:spacing w:line="320" w:lineRule="exact"/>
              <w:jc w:val="center"/>
              <w:rPr>
                <w:rFonts w:ascii="宋体" w:hAnsi="宋体" w:eastAsia="宋体"/>
                <w:szCs w:val="21"/>
              </w:rPr>
            </w:pPr>
            <w:r>
              <w:rPr>
                <w:rFonts w:hint="eastAsia" w:ascii="宋体" w:hAnsi="宋体" w:eastAsia="宋体"/>
                <w:szCs w:val="21"/>
              </w:rPr>
              <w:t>组织编写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498" w:type="pct"/>
            <w:vAlign w:val="center"/>
          </w:tcPr>
          <w:p>
            <w:pPr>
              <w:spacing w:line="320" w:lineRule="exact"/>
              <w:jc w:val="center"/>
              <w:rPr>
                <w:rFonts w:ascii="宋体" w:hAnsi="宋体" w:eastAsia="宋体"/>
                <w:szCs w:val="21"/>
              </w:rPr>
            </w:pPr>
            <w:r>
              <w:rPr>
                <w:rFonts w:hint="eastAsia" w:ascii="宋体" w:hAnsi="宋体" w:eastAsia="宋体"/>
                <w:szCs w:val="21"/>
              </w:rPr>
              <w:t>张笮晦</w:t>
            </w:r>
          </w:p>
        </w:tc>
        <w:tc>
          <w:tcPr>
            <w:tcW w:w="416" w:type="pct"/>
            <w:vAlign w:val="center"/>
          </w:tcPr>
          <w:p>
            <w:pPr>
              <w:spacing w:line="320" w:lineRule="exact"/>
              <w:jc w:val="center"/>
              <w:rPr>
                <w:rFonts w:ascii="宋体" w:hAnsi="宋体" w:eastAsia="宋体"/>
                <w:szCs w:val="21"/>
              </w:rPr>
            </w:pPr>
            <w:r>
              <w:rPr>
                <w:rFonts w:hint="eastAsia" w:ascii="宋体" w:hAnsi="宋体" w:eastAsia="宋体"/>
                <w:szCs w:val="21"/>
              </w:rPr>
              <w:t>女</w:t>
            </w:r>
          </w:p>
        </w:tc>
        <w:tc>
          <w:tcPr>
            <w:tcW w:w="334" w:type="pct"/>
            <w:vAlign w:val="center"/>
          </w:tcPr>
          <w:p>
            <w:pPr>
              <w:spacing w:line="320" w:lineRule="exact"/>
              <w:jc w:val="center"/>
              <w:rPr>
                <w:rFonts w:ascii="宋体" w:hAnsi="宋体" w:eastAsia="宋体"/>
                <w:szCs w:val="21"/>
              </w:rPr>
            </w:pPr>
            <w:r>
              <w:rPr>
                <w:rFonts w:ascii="宋体" w:hAnsi="宋体" w:eastAsia="宋体"/>
                <w:szCs w:val="21"/>
              </w:rPr>
              <w:t>40</w:t>
            </w:r>
          </w:p>
        </w:tc>
        <w:tc>
          <w:tcPr>
            <w:tcW w:w="678" w:type="pct"/>
            <w:vAlign w:val="center"/>
          </w:tcPr>
          <w:p>
            <w:pPr>
              <w:spacing w:line="320" w:lineRule="exact"/>
              <w:jc w:val="center"/>
              <w:rPr>
                <w:rFonts w:ascii="宋体" w:hAnsi="宋体" w:eastAsia="宋体"/>
                <w:szCs w:val="21"/>
              </w:rPr>
            </w:pPr>
            <w:r>
              <w:rPr>
                <w:rFonts w:hint="eastAsia" w:ascii="宋体" w:hAnsi="宋体" w:eastAsia="宋体"/>
                <w:szCs w:val="21"/>
              </w:rPr>
              <w:t>讲师</w:t>
            </w:r>
          </w:p>
        </w:tc>
        <w:tc>
          <w:tcPr>
            <w:tcW w:w="628" w:type="pct"/>
            <w:vAlign w:val="center"/>
          </w:tcPr>
          <w:p>
            <w:pPr>
              <w:spacing w:line="320" w:lineRule="exact"/>
              <w:jc w:val="center"/>
              <w:rPr>
                <w:rFonts w:ascii="宋体" w:hAnsi="宋体" w:eastAsia="宋体"/>
                <w:szCs w:val="21"/>
              </w:rPr>
            </w:pPr>
            <w:r>
              <w:rPr>
                <w:rFonts w:hint="eastAsia" w:ascii="宋体" w:hAnsi="宋体" w:eastAsia="宋体"/>
                <w:szCs w:val="21"/>
              </w:rPr>
              <w:t>标准化</w:t>
            </w:r>
          </w:p>
        </w:tc>
        <w:tc>
          <w:tcPr>
            <w:tcW w:w="1777" w:type="pct"/>
            <w:vAlign w:val="center"/>
          </w:tcPr>
          <w:p>
            <w:pPr>
              <w:spacing w:line="320" w:lineRule="exact"/>
              <w:jc w:val="center"/>
              <w:rPr>
                <w:rFonts w:ascii="宋体" w:hAnsi="宋体" w:eastAsia="宋体"/>
                <w:szCs w:val="21"/>
              </w:rPr>
            </w:pPr>
            <w:r>
              <w:rPr>
                <w:rFonts w:hint="eastAsia" w:ascii="宋体" w:hAnsi="宋体" w:eastAsia="宋体"/>
                <w:szCs w:val="21"/>
              </w:rPr>
              <w:t>广西庚源香料有限责任公司（特聘专家）广西中医药大学</w:t>
            </w:r>
          </w:p>
        </w:tc>
        <w:tc>
          <w:tcPr>
            <w:tcW w:w="668" w:type="pct"/>
            <w:vAlign w:val="center"/>
          </w:tcPr>
          <w:p>
            <w:pPr>
              <w:spacing w:line="320" w:lineRule="exact"/>
              <w:jc w:val="center"/>
              <w:rPr>
                <w:rFonts w:ascii="宋体" w:hAnsi="宋体" w:eastAsia="宋体"/>
                <w:szCs w:val="21"/>
              </w:rPr>
            </w:pPr>
            <w:r>
              <w:rPr>
                <w:rFonts w:hint="eastAsia" w:ascii="宋体" w:hAnsi="宋体" w:eastAsia="宋体"/>
                <w:szCs w:val="21"/>
              </w:rPr>
              <w:t>组织编写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498" w:type="pct"/>
            <w:vAlign w:val="center"/>
          </w:tcPr>
          <w:p>
            <w:pPr>
              <w:spacing w:line="320" w:lineRule="exact"/>
              <w:jc w:val="center"/>
              <w:rPr>
                <w:rFonts w:ascii="宋体" w:hAnsi="宋体" w:eastAsia="宋体"/>
                <w:szCs w:val="21"/>
              </w:rPr>
            </w:pPr>
            <w:r>
              <w:rPr>
                <w:rFonts w:hint="eastAsia" w:ascii="宋体" w:hAnsi="宋体" w:eastAsia="宋体"/>
                <w:szCs w:val="21"/>
              </w:rPr>
              <w:t>邓家刚</w:t>
            </w:r>
          </w:p>
        </w:tc>
        <w:tc>
          <w:tcPr>
            <w:tcW w:w="416" w:type="pct"/>
            <w:vAlign w:val="center"/>
          </w:tcPr>
          <w:p>
            <w:pPr>
              <w:spacing w:line="320" w:lineRule="exact"/>
              <w:jc w:val="center"/>
              <w:rPr>
                <w:rFonts w:ascii="宋体" w:hAnsi="宋体" w:eastAsia="宋体"/>
                <w:szCs w:val="21"/>
              </w:rPr>
            </w:pPr>
            <w:r>
              <w:rPr>
                <w:rFonts w:hint="eastAsia" w:ascii="宋体" w:hAnsi="宋体" w:eastAsia="宋体"/>
                <w:szCs w:val="21"/>
              </w:rPr>
              <w:t>男</w:t>
            </w:r>
          </w:p>
        </w:tc>
        <w:tc>
          <w:tcPr>
            <w:tcW w:w="334" w:type="pct"/>
            <w:vAlign w:val="center"/>
          </w:tcPr>
          <w:p>
            <w:pPr>
              <w:spacing w:line="320" w:lineRule="exact"/>
              <w:jc w:val="center"/>
              <w:rPr>
                <w:rFonts w:ascii="宋体" w:hAnsi="宋体" w:eastAsia="宋体"/>
                <w:szCs w:val="21"/>
              </w:rPr>
            </w:pPr>
            <w:r>
              <w:rPr>
                <w:rFonts w:hint="eastAsia" w:ascii="宋体" w:hAnsi="宋体" w:eastAsia="宋体"/>
                <w:szCs w:val="21"/>
              </w:rPr>
              <w:t>65</w:t>
            </w:r>
          </w:p>
        </w:tc>
        <w:tc>
          <w:tcPr>
            <w:tcW w:w="678" w:type="pct"/>
            <w:vAlign w:val="center"/>
          </w:tcPr>
          <w:p>
            <w:pPr>
              <w:spacing w:line="320" w:lineRule="exact"/>
              <w:jc w:val="center"/>
              <w:rPr>
                <w:rFonts w:ascii="宋体" w:hAnsi="宋体" w:eastAsia="宋体"/>
                <w:szCs w:val="21"/>
              </w:rPr>
            </w:pPr>
            <w:r>
              <w:rPr>
                <w:rFonts w:hint="eastAsia" w:ascii="宋体" w:hAnsi="宋体" w:eastAsia="宋体"/>
                <w:szCs w:val="21"/>
              </w:rPr>
              <w:t>教授</w:t>
            </w:r>
          </w:p>
        </w:tc>
        <w:tc>
          <w:tcPr>
            <w:tcW w:w="628" w:type="pct"/>
            <w:vAlign w:val="center"/>
          </w:tcPr>
          <w:p>
            <w:pPr>
              <w:spacing w:line="320" w:lineRule="exact"/>
              <w:jc w:val="center"/>
              <w:rPr>
                <w:rFonts w:ascii="宋体" w:hAnsi="宋体" w:eastAsia="宋体"/>
                <w:szCs w:val="21"/>
              </w:rPr>
            </w:pPr>
            <w:r>
              <w:rPr>
                <w:rFonts w:hint="eastAsia" w:ascii="宋体" w:hAnsi="宋体" w:eastAsia="宋体"/>
                <w:szCs w:val="21"/>
              </w:rPr>
              <w:t>中药学</w:t>
            </w:r>
          </w:p>
        </w:tc>
        <w:tc>
          <w:tcPr>
            <w:tcW w:w="1777" w:type="pct"/>
            <w:vAlign w:val="center"/>
          </w:tcPr>
          <w:p>
            <w:pPr>
              <w:spacing w:line="320" w:lineRule="exact"/>
              <w:jc w:val="center"/>
              <w:rPr>
                <w:rFonts w:ascii="宋体" w:hAnsi="宋体" w:eastAsia="宋体"/>
                <w:szCs w:val="21"/>
              </w:rPr>
            </w:pPr>
            <w:r>
              <w:rPr>
                <w:rFonts w:hint="eastAsia" w:ascii="宋体" w:hAnsi="宋体" w:eastAsia="宋体"/>
                <w:szCs w:val="21"/>
              </w:rPr>
              <w:t>广西庚源香料有限责任公司（特聘专家）广西中医药大学</w:t>
            </w:r>
          </w:p>
        </w:tc>
        <w:tc>
          <w:tcPr>
            <w:tcW w:w="668" w:type="pct"/>
            <w:vAlign w:val="center"/>
          </w:tcPr>
          <w:p>
            <w:pPr>
              <w:spacing w:line="320" w:lineRule="exact"/>
              <w:jc w:val="center"/>
              <w:rPr>
                <w:rFonts w:ascii="宋体" w:hAnsi="宋体" w:eastAsia="宋体"/>
                <w:szCs w:val="21"/>
              </w:rPr>
            </w:pPr>
            <w:r>
              <w:rPr>
                <w:rFonts w:hint="eastAsia" w:ascii="宋体" w:hAnsi="宋体" w:eastAsia="宋体"/>
                <w:szCs w:val="21"/>
              </w:rPr>
              <w:t>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498" w:type="pct"/>
            <w:vAlign w:val="center"/>
          </w:tcPr>
          <w:p>
            <w:pPr>
              <w:spacing w:line="320" w:lineRule="exact"/>
              <w:jc w:val="center"/>
              <w:rPr>
                <w:rFonts w:ascii="宋体" w:hAnsi="宋体" w:eastAsia="宋体"/>
                <w:szCs w:val="21"/>
              </w:rPr>
            </w:pPr>
            <w:r>
              <w:rPr>
                <w:rFonts w:hint="eastAsia" w:ascii="宋体" w:hAnsi="宋体" w:eastAsia="宋体"/>
                <w:szCs w:val="21"/>
              </w:rPr>
              <w:t>陈耿</w:t>
            </w:r>
          </w:p>
        </w:tc>
        <w:tc>
          <w:tcPr>
            <w:tcW w:w="416" w:type="pct"/>
            <w:vAlign w:val="center"/>
          </w:tcPr>
          <w:p>
            <w:pPr>
              <w:spacing w:line="320" w:lineRule="exact"/>
              <w:jc w:val="center"/>
              <w:rPr>
                <w:rFonts w:ascii="宋体" w:hAnsi="宋体" w:eastAsia="宋体"/>
                <w:szCs w:val="21"/>
              </w:rPr>
            </w:pPr>
            <w:r>
              <w:rPr>
                <w:rFonts w:hint="eastAsia" w:ascii="宋体" w:hAnsi="宋体" w:eastAsia="宋体"/>
                <w:szCs w:val="21"/>
              </w:rPr>
              <w:t>男</w:t>
            </w:r>
          </w:p>
        </w:tc>
        <w:tc>
          <w:tcPr>
            <w:tcW w:w="334" w:type="pct"/>
            <w:vAlign w:val="center"/>
          </w:tcPr>
          <w:p>
            <w:pPr>
              <w:spacing w:line="320" w:lineRule="exact"/>
              <w:jc w:val="center"/>
              <w:rPr>
                <w:rFonts w:ascii="宋体" w:hAnsi="宋体" w:eastAsia="宋体"/>
                <w:szCs w:val="21"/>
              </w:rPr>
            </w:pPr>
            <w:r>
              <w:rPr>
                <w:rFonts w:ascii="宋体" w:hAnsi="宋体" w:eastAsia="宋体"/>
                <w:szCs w:val="21"/>
              </w:rPr>
              <w:t>46</w:t>
            </w:r>
          </w:p>
        </w:tc>
        <w:tc>
          <w:tcPr>
            <w:tcW w:w="678" w:type="pct"/>
            <w:vAlign w:val="center"/>
          </w:tcPr>
          <w:p>
            <w:pPr>
              <w:spacing w:line="320" w:lineRule="exact"/>
              <w:jc w:val="center"/>
              <w:rPr>
                <w:rFonts w:ascii="宋体" w:hAnsi="宋体" w:eastAsia="宋体"/>
                <w:szCs w:val="21"/>
              </w:rPr>
            </w:pPr>
            <w:r>
              <w:rPr>
                <w:rFonts w:hint="eastAsia" w:ascii="宋体" w:hAnsi="宋体" w:eastAsia="宋体"/>
                <w:szCs w:val="21"/>
              </w:rPr>
              <w:t>中级经济师</w:t>
            </w:r>
          </w:p>
        </w:tc>
        <w:tc>
          <w:tcPr>
            <w:tcW w:w="628" w:type="pct"/>
            <w:vAlign w:val="center"/>
          </w:tcPr>
          <w:p>
            <w:pPr>
              <w:spacing w:line="320" w:lineRule="exact"/>
              <w:jc w:val="center"/>
              <w:rPr>
                <w:rFonts w:ascii="宋体" w:hAnsi="宋体" w:eastAsia="宋体"/>
                <w:szCs w:val="21"/>
              </w:rPr>
            </w:pPr>
            <w:r>
              <w:rPr>
                <w:rFonts w:hint="eastAsia" w:ascii="宋体" w:hAnsi="宋体" w:eastAsia="宋体"/>
                <w:szCs w:val="21"/>
              </w:rPr>
              <w:t>经济管理</w:t>
            </w:r>
          </w:p>
        </w:tc>
        <w:tc>
          <w:tcPr>
            <w:tcW w:w="1777" w:type="pct"/>
            <w:vAlign w:val="center"/>
          </w:tcPr>
          <w:p>
            <w:pPr>
              <w:spacing w:line="320" w:lineRule="exact"/>
              <w:jc w:val="center"/>
              <w:rPr>
                <w:rFonts w:ascii="宋体" w:hAnsi="宋体" w:eastAsia="宋体"/>
                <w:szCs w:val="21"/>
              </w:rPr>
            </w:pPr>
            <w:r>
              <w:rPr>
                <w:rFonts w:hint="eastAsia" w:ascii="宋体" w:hAnsi="宋体" w:eastAsia="宋体"/>
                <w:szCs w:val="21"/>
              </w:rPr>
              <w:t>广西庚源香料有限责任公司</w:t>
            </w:r>
          </w:p>
        </w:tc>
        <w:tc>
          <w:tcPr>
            <w:tcW w:w="668" w:type="pct"/>
            <w:vAlign w:val="center"/>
          </w:tcPr>
          <w:p>
            <w:pPr>
              <w:spacing w:line="320" w:lineRule="exact"/>
              <w:jc w:val="center"/>
              <w:rPr>
                <w:rFonts w:ascii="宋体" w:hAnsi="宋体" w:eastAsia="宋体"/>
                <w:szCs w:val="21"/>
              </w:rPr>
            </w:pPr>
            <w:r>
              <w:rPr>
                <w:rFonts w:hint="eastAsia" w:ascii="宋体" w:hAnsi="宋体" w:eastAsia="宋体"/>
                <w:szCs w:val="21"/>
              </w:rPr>
              <w:t>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98" w:type="pct"/>
            <w:vAlign w:val="center"/>
          </w:tcPr>
          <w:p>
            <w:pPr>
              <w:spacing w:line="320" w:lineRule="exact"/>
              <w:jc w:val="center"/>
              <w:rPr>
                <w:rFonts w:ascii="宋体" w:hAnsi="宋体" w:eastAsia="宋体"/>
                <w:szCs w:val="21"/>
              </w:rPr>
            </w:pPr>
            <w:r>
              <w:rPr>
                <w:rFonts w:hint="eastAsia" w:ascii="宋体" w:hAnsi="宋体" w:eastAsia="宋体"/>
                <w:szCs w:val="21"/>
              </w:rPr>
              <w:t>陈源泉</w:t>
            </w:r>
          </w:p>
        </w:tc>
        <w:tc>
          <w:tcPr>
            <w:tcW w:w="416" w:type="pct"/>
            <w:vAlign w:val="center"/>
          </w:tcPr>
          <w:p>
            <w:pPr>
              <w:spacing w:line="320" w:lineRule="exact"/>
              <w:jc w:val="center"/>
              <w:rPr>
                <w:rFonts w:ascii="宋体" w:hAnsi="宋体" w:eastAsia="宋体"/>
                <w:szCs w:val="21"/>
              </w:rPr>
            </w:pPr>
            <w:r>
              <w:rPr>
                <w:rFonts w:hint="eastAsia" w:ascii="宋体" w:hAnsi="宋体" w:eastAsia="宋体"/>
                <w:szCs w:val="21"/>
              </w:rPr>
              <w:t>女</w:t>
            </w:r>
          </w:p>
        </w:tc>
        <w:tc>
          <w:tcPr>
            <w:tcW w:w="334" w:type="pct"/>
            <w:vAlign w:val="center"/>
          </w:tcPr>
          <w:p>
            <w:pPr>
              <w:spacing w:line="320" w:lineRule="exact"/>
              <w:jc w:val="center"/>
              <w:rPr>
                <w:rFonts w:ascii="宋体" w:hAnsi="宋体" w:eastAsia="宋体"/>
                <w:szCs w:val="21"/>
              </w:rPr>
            </w:pPr>
            <w:r>
              <w:rPr>
                <w:rFonts w:hint="eastAsia" w:ascii="宋体" w:hAnsi="宋体" w:eastAsia="宋体"/>
                <w:szCs w:val="21"/>
              </w:rPr>
              <w:t>49</w:t>
            </w:r>
          </w:p>
        </w:tc>
        <w:tc>
          <w:tcPr>
            <w:tcW w:w="678" w:type="pct"/>
            <w:vAlign w:val="center"/>
          </w:tcPr>
          <w:p>
            <w:pPr>
              <w:spacing w:line="320" w:lineRule="exact"/>
              <w:jc w:val="center"/>
              <w:rPr>
                <w:rFonts w:ascii="宋体" w:hAnsi="宋体" w:eastAsia="宋体"/>
                <w:szCs w:val="21"/>
              </w:rPr>
            </w:pPr>
            <w:r>
              <w:rPr>
                <w:rFonts w:hint="eastAsia" w:ascii="宋体" w:hAnsi="宋体" w:eastAsia="宋体"/>
                <w:szCs w:val="21"/>
              </w:rPr>
              <w:t>党组书记、局长</w:t>
            </w:r>
          </w:p>
        </w:tc>
        <w:tc>
          <w:tcPr>
            <w:tcW w:w="628" w:type="pct"/>
            <w:vAlign w:val="center"/>
          </w:tcPr>
          <w:p>
            <w:pPr>
              <w:spacing w:line="320" w:lineRule="exact"/>
              <w:jc w:val="center"/>
              <w:rPr>
                <w:rFonts w:ascii="宋体" w:hAnsi="宋体" w:eastAsia="宋体"/>
                <w:szCs w:val="21"/>
              </w:rPr>
            </w:pPr>
            <w:r>
              <w:rPr>
                <w:rFonts w:hint="eastAsia" w:ascii="宋体" w:hAnsi="宋体" w:eastAsia="宋体"/>
                <w:szCs w:val="21"/>
              </w:rPr>
              <w:t>标准化工作管理</w:t>
            </w:r>
          </w:p>
        </w:tc>
        <w:tc>
          <w:tcPr>
            <w:tcW w:w="1777" w:type="pct"/>
            <w:vAlign w:val="center"/>
          </w:tcPr>
          <w:p>
            <w:pPr>
              <w:spacing w:line="320" w:lineRule="exact"/>
              <w:jc w:val="center"/>
              <w:rPr>
                <w:rFonts w:ascii="宋体" w:hAnsi="宋体" w:eastAsia="宋体"/>
                <w:szCs w:val="21"/>
              </w:rPr>
            </w:pPr>
            <w:r>
              <w:rPr>
                <w:rFonts w:hint="eastAsia" w:ascii="宋体" w:hAnsi="宋体" w:eastAsia="宋体"/>
                <w:szCs w:val="21"/>
              </w:rPr>
              <w:t>东兴市市场监督管理局</w:t>
            </w:r>
          </w:p>
        </w:tc>
        <w:tc>
          <w:tcPr>
            <w:tcW w:w="668" w:type="pct"/>
            <w:vAlign w:val="center"/>
          </w:tcPr>
          <w:p>
            <w:pPr>
              <w:spacing w:line="320" w:lineRule="exact"/>
              <w:jc w:val="center"/>
              <w:rPr>
                <w:rFonts w:ascii="宋体" w:hAnsi="宋体" w:eastAsia="宋体"/>
                <w:szCs w:val="21"/>
              </w:rPr>
            </w:pPr>
            <w:r>
              <w:rPr>
                <w:rFonts w:hint="eastAsia" w:ascii="宋体" w:hAnsi="宋体" w:eastAsia="宋体"/>
                <w:szCs w:val="21"/>
              </w:rPr>
              <w:t>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98" w:type="pct"/>
            <w:vAlign w:val="center"/>
          </w:tcPr>
          <w:p>
            <w:pPr>
              <w:spacing w:line="320" w:lineRule="exact"/>
              <w:jc w:val="center"/>
              <w:rPr>
                <w:rFonts w:ascii="宋体" w:hAnsi="宋体" w:eastAsia="宋体"/>
                <w:szCs w:val="21"/>
              </w:rPr>
            </w:pPr>
            <w:r>
              <w:rPr>
                <w:rFonts w:hint="eastAsia" w:ascii="宋体" w:hAnsi="宋体" w:eastAsia="宋体"/>
                <w:szCs w:val="21"/>
              </w:rPr>
              <w:t>沈贤威</w:t>
            </w:r>
          </w:p>
        </w:tc>
        <w:tc>
          <w:tcPr>
            <w:tcW w:w="416" w:type="pct"/>
            <w:vAlign w:val="center"/>
          </w:tcPr>
          <w:p>
            <w:pPr>
              <w:spacing w:line="320" w:lineRule="exact"/>
              <w:jc w:val="center"/>
              <w:rPr>
                <w:rFonts w:ascii="宋体" w:hAnsi="宋体" w:eastAsia="宋体"/>
                <w:szCs w:val="21"/>
              </w:rPr>
            </w:pPr>
            <w:r>
              <w:rPr>
                <w:rFonts w:hint="eastAsia" w:ascii="宋体" w:hAnsi="宋体" w:eastAsia="宋体"/>
                <w:szCs w:val="21"/>
              </w:rPr>
              <w:t>男</w:t>
            </w:r>
          </w:p>
        </w:tc>
        <w:tc>
          <w:tcPr>
            <w:tcW w:w="334" w:type="pct"/>
            <w:vAlign w:val="center"/>
          </w:tcPr>
          <w:p>
            <w:pPr>
              <w:spacing w:line="320" w:lineRule="exact"/>
              <w:jc w:val="center"/>
              <w:rPr>
                <w:rFonts w:ascii="宋体" w:hAnsi="宋体" w:eastAsia="宋体"/>
                <w:szCs w:val="21"/>
              </w:rPr>
            </w:pPr>
            <w:r>
              <w:rPr>
                <w:rFonts w:hint="eastAsia" w:ascii="宋体" w:hAnsi="宋体" w:eastAsia="宋体"/>
                <w:szCs w:val="21"/>
              </w:rPr>
              <w:t>32</w:t>
            </w:r>
          </w:p>
        </w:tc>
        <w:tc>
          <w:tcPr>
            <w:tcW w:w="678" w:type="pct"/>
            <w:vAlign w:val="center"/>
          </w:tcPr>
          <w:p>
            <w:pPr>
              <w:spacing w:line="320" w:lineRule="exact"/>
              <w:jc w:val="center"/>
              <w:rPr>
                <w:rFonts w:ascii="宋体" w:hAnsi="宋体" w:eastAsia="宋体"/>
                <w:szCs w:val="21"/>
              </w:rPr>
            </w:pPr>
            <w:r>
              <w:rPr>
                <w:rFonts w:hint="eastAsia" w:ascii="宋体" w:hAnsi="宋体" w:eastAsia="宋体"/>
                <w:szCs w:val="21"/>
              </w:rPr>
              <w:t>经理</w:t>
            </w:r>
          </w:p>
        </w:tc>
        <w:tc>
          <w:tcPr>
            <w:tcW w:w="628" w:type="pct"/>
            <w:vAlign w:val="center"/>
          </w:tcPr>
          <w:p>
            <w:pPr>
              <w:spacing w:line="320" w:lineRule="exact"/>
              <w:jc w:val="center"/>
              <w:rPr>
                <w:rFonts w:ascii="宋体" w:hAnsi="宋体" w:eastAsia="宋体"/>
                <w:szCs w:val="21"/>
              </w:rPr>
            </w:pPr>
            <w:r>
              <w:rPr>
                <w:rFonts w:hint="eastAsia" w:ascii="宋体" w:hAnsi="宋体" w:eastAsia="宋体"/>
                <w:szCs w:val="21"/>
              </w:rPr>
              <w:t>林业工程</w:t>
            </w:r>
          </w:p>
        </w:tc>
        <w:tc>
          <w:tcPr>
            <w:tcW w:w="1777" w:type="pct"/>
            <w:vAlign w:val="center"/>
          </w:tcPr>
          <w:p>
            <w:pPr>
              <w:spacing w:line="320" w:lineRule="exact"/>
              <w:jc w:val="center"/>
              <w:rPr>
                <w:rFonts w:ascii="宋体" w:hAnsi="宋体" w:eastAsia="宋体"/>
                <w:szCs w:val="21"/>
              </w:rPr>
            </w:pPr>
            <w:r>
              <w:rPr>
                <w:rFonts w:hint="eastAsia" w:ascii="宋体" w:hAnsi="宋体" w:eastAsia="宋体"/>
                <w:szCs w:val="21"/>
              </w:rPr>
              <w:t>广西庚源香料有限责任公司</w:t>
            </w:r>
          </w:p>
        </w:tc>
        <w:tc>
          <w:tcPr>
            <w:tcW w:w="668" w:type="pct"/>
            <w:vAlign w:val="center"/>
          </w:tcPr>
          <w:p>
            <w:pPr>
              <w:spacing w:line="320" w:lineRule="exact"/>
              <w:jc w:val="center"/>
              <w:rPr>
                <w:rFonts w:ascii="宋体" w:hAnsi="宋体" w:eastAsia="宋体"/>
                <w:szCs w:val="21"/>
              </w:rPr>
            </w:pPr>
            <w:r>
              <w:rPr>
                <w:rFonts w:hint="eastAsia" w:ascii="宋体" w:hAnsi="宋体" w:eastAsia="宋体"/>
                <w:szCs w:val="21"/>
              </w:rPr>
              <w:t>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98" w:type="pct"/>
            <w:vAlign w:val="center"/>
          </w:tcPr>
          <w:p>
            <w:pPr>
              <w:spacing w:line="320" w:lineRule="exact"/>
              <w:jc w:val="center"/>
              <w:rPr>
                <w:rFonts w:ascii="宋体" w:hAnsi="宋体" w:eastAsia="宋体"/>
                <w:szCs w:val="21"/>
              </w:rPr>
            </w:pPr>
            <w:r>
              <w:rPr>
                <w:rFonts w:hint="eastAsia" w:ascii="宋体" w:hAnsi="宋体" w:eastAsia="宋体"/>
                <w:szCs w:val="21"/>
              </w:rPr>
              <w:t>陈惠莉</w:t>
            </w:r>
          </w:p>
        </w:tc>
        <w:tc>
          <w:tcPr>
            <w:tcW w:w="416" w:type="pct"/>
            <w:vAlign w:val="center"/>
          </w:tcPr>
          <w:p>
            <w:pPr>
              <w:spacing w:line="320" w:lineRule="exact"/>
              <w:jc w:val="center"/>
              <w:rPr>
                <w:rFonts w:ascii="宋体" w:hAnsi="宋体" w:eastAsia="宋体"/>
                <w:szCs w:val="21"/>
              </w:rPr>
            </w:pPr>
            <w:r>
              <w:rPr>
                <w:rFonts w:hint="eastAsia" w:ascii="宋体" w:hAnsi="宋体" w:eastAsia="宋体"/>
                <w:szCs w:val="21"/>
              </w:rPr>
              <w:t>女</w:t>
            </w:r>
          </w:p>
        </w:tc>
        <w:tc>
          <w:tcPr>
            <w:tcW w:w="334" w:type="pct"/>
            <w:vAlign w:val="center"/>
          </w:tcPr>
          <w:p>
            <w:pPr>
              <w:spacing w:line="320" w:lineRule="exact"/>
              <w:jc w:val="center"/>
              <w:rPr>
                <w:rFonts w:ascii="宋体" w:hAnsi="宋体" w:eastAsia="宋体"/>
                <w:szCs w:val="21"/>
              </w:rPr>
            </w:pPr>
            <w:r>
              <w:rPr>
                <w:rFonts w:ascii="宋体" w:hAnsi="宋体" w:eastAsia="宋体"/>
                <w:szCs w:val="21"/>
              </w:rPr>
              <w:t>37</w:t>
            </w:r>
          </w:p>
        </w:tc>
        <w:tc>
          <w:tcPr>
            <w:tcW w:w="678" w:type="pct"/>
            <w:vAlign w:val="center"/>
          </w:tcPr>
          <w:p>
            <w:pPr>
              <w:spacing w:line="320" w:lineRule="exact"/>
              <w:jc w:val="center"/>
              <w:rPr>
                <w:rFonts w:ascii="宋体" w:hAnsi="宋体" w:eastAsia="宋体"/>
                <w:szCs w:val="21"/>
              </w:rPr>
            </w:pPr>
            <w:r>
              <w:rPr>
                <w:rFonts w:hint="eastAsia" w:ascii="宋体" w:hAnsi="宋体" w:eastAsia="宋体"/>
                <w:szCs w:val="21"/>
              </w:rPr>
              <w:t>副总经理</w:t>
            </w:r>
          </w:p>
        </w:tc>
        <w:tc>
          <w:tcPr>
            <w:tcW w:w="628" w:type="pct"/>
            <w:vAlign w:val="center"/>
          </w:tcPr>
          <w:p>
            <w:pPr>
              <w:spacing w:line="320" w:lineRule="exact"/>
              <w:jc w:val="center"/>
              <w:rPr>
                <w:rFonts w:ascii="宋体" w:hAnsi="宋体" w:eastAsia="宋体"/>
                <w:szCs w:val="21"/>
              </w:rPr>
            </w:pPr>
            <w:r>
              <w:rPr>
                <w:rFonts w:hint="eastAsia" w:ascii="宋体" w:hAnsi="宋体" w:eastAsia="宋体"/>
                <w:szCs w:val="21"/>
              </w:rPr>
              <w:t>经济管理</w:t>
            </w:r>
          </w:p>
        </w:tc>
        <w:tc>
          <w:tcPr>
            <w:tcW w:w="1777" w:type="pct"/>
            <w:vAlign w:val="center"/>
          </w:tcPr>
          <w:p>
            <w:pPr>
              <w:spacing w:line="320" w:lineRule="exact"/>
              <w:jc w:val="center"/>
              <w:rPr>
                <w:rFonts w:ascii="宋体" w:hAnsi="宋体" w:eastAsia="宋体"/>
                <w:szCs w:val="21"/>
              </w:rPr>
            </w:pPr>
            <w:r>
              <w:rPr>
                <w:rFonts w:hint="eastAsia" w:ascii="宋体" w:hAnsi="宋体" w:eastAsia="宋体"/>
                <w:szCs w:val="21"/>
              </w:rPr>
              <w:t>广西庚源香料有限责任公司</w:t>
            </w:r>
          </w:p>
        </w:tc>
        <w:tc>
          <w:tcPr>
            <w:tcW w:w="668" w:type="pct"/>
            <w:vAlign w:val="center"/>
          </w:tcPr>
          <w:p>
            <w:pPr>
              <w:spacing w:line="320" w:lineRule="exact"/>
              <w:jc w:val="center"/>
              <w:rPr>
                <w:rFonts w:ascii="宋体" w:hAnsi="宋体" w:eastAsia="宋体"/>
                <w:szCs w:val="21"/>
              </w:rPr>
            </w:pPr>
            <w:r>
              <w:rPr>
                <w:rFonts w:hint="eastAsia" w:ascii="宋体" w:hAnsi="宋体" w:eastAsia="宋体"/>
                <w:szCs w:val="21"/>
              </w:rPr>
              <w:t>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98" w:type="pct"/>
            <w:vAlign w:val="center"/>
          </w:tcPr>
          <w:p>
            <w:pPr>
              <w:spacing w:line="320" w:lineRule="exact"/>
              <w:jc w:val="center"/>
              <w:rPr>
                <w:rFonts w:ascii="宋体" w:hAnsi="宋体" w:eastAsia="宋体"/>
                <w:szCs w:val="21"/>
              </w:rPr>
            </w:pPr>
            <w:r>
              <w:rPr>
                <w:rFonts w:hint="eastAsia" w:ascii="宋体" w:hAnsi="宋体" w:eastAsia="宋体"/>
                <w:szCs w:val="21"/>
              </w:rPr>
              <w:t>黄广智</w:t>
            </w:r>
          </w:p>
        </w:tc>
        <w:tc>
          <w:tcPr>
            <w:tcW w:w="416" w:type="pct"/>
            <w:vAlign w:val="center"/>
          </w:tcPr>
          <w:p>
            <w:pPr>
              <w:spacing w:line="320" w:lineRule="exact"/>
              <w:jc w:val="center"/>
              <w:rPr>
                <w:rFonts w:ascii="宋体" w:hAnsi="宋体" w:eastAsia="宋体"/>
                <w:szCs w:val="21"/>
              </w:rPr>
            </w:pPr>
            <w:r>
              <w:rPr>
                <w:rFonts w:hint="eastAsia" w:ascii="宋体" w:hAnsi="宋体" w:eastAsia="宋体"/>
                <w:szCs w:val="21"/>
              </w:rPr>
              <w:t>男</w:t>
            </w:r>
          </w:p>
        </w:tc>
        <w:tc>
          <w:tcPr>
            <w:tcW w:w="334" w:type="pct"/>
            <w:vAlign w:val="center"/>
          </w:tcPr>
          <w:p>
            <w:pPr>
              <w:spacing w:line="320" w:lineRule="exact"/>
              <w:jc w:val="center"/>
              <w:rPr>
                <w:rFonts w:ascii="宋体" w:hAnsi="宋体" w:eastAsia="宋体"/>
                <w:szCs w:val="21"/>
              </w:rPr>
            </w:pPr>
            <w:r>
              <w:rPr>
                <w:rFonts w:ascii="宋体" w:hAnsi="宋体" w:eastAsia="宋体"/>
                <w:szCs w:val="21"/>
              </w:rPr>
              <w:t>31</w:t>
            </w:r>
          </w:p>
        </w:tc>
        <w:tc>
          <w:tcPr>
            <w:tcW w:w="678" w:type="pct"/>
            <w:vAlign w:val="center"/>
          </w:tcPr>
          <w:p>
            <w:pPr>
              <w:spacing w:line="320" w:lineRule="exact"/>
              <w:jc w:val="center"/>
              <w:rPr>
                <w:rFonts w:ascii="宋体" w:hAnsi="宋体" w:eastAsia="宋体"/>
                <w:szCs w:val="21"/>
              </w:rPr>
            </w:pPr>
            <w:r>
              <w:rPr>
                <w:rFonts w:hint="eastAsia" w:ascii="宋体" w:hAnsi="宋体" w:eastAsia="宋体"/>
                <w:szCs w:val="21"/>
              </w:rPr>
              <w:t>无</w:t>
            </w:r>
          </w:p>
        </w:tc>
        <w:tc>
          <w:tcPr>
            <w:tcW w:w="628" w:type="pct"/>
            <w:vAlign w:val="center"/>
          </w:tcPr>
          <w:p>
            <w:pPr>
              <w:spacing w:line="320" w:lineRule="exact"/>
              <w:jc w:val="center"/>
              <w:rPr>
                <w:rFonts w:ascii="宋体" w:hAnsi="宋体" w:eastAsia="宋体"/>
                <w:szCs w:val="21"/>
              </w:rPr>
            </w:pPr>
            <w:r>
              <w:rPr>
                <w:rFonts w:hint="eastAsia" w:ascii="宋体" w:hAnsi="宋体" w:eastAsia="宋体"/>
                <w:szCs w:val="21"/>
              </w:rPr>
              <w:t>生产管理</w:t>
            </w:r>
          </w:p>
        </w:tc>
        <w:tc>
          <w:tcPr>
            <w:tcW w:w="1777" w:type="pct"/>
            <w:vAlign w:val="center"/>
          </w:tcPr>
          <w:p>
            <w:pPr>
              <w:spacing w:line="320" w:lineRule="exact"/>
              <w:jc w:val="center"/>
              <w:rPr>
                <w:rFonts w:ascii="宋体" w:hAnsi="宋体" w:eastAsia="宋体"/>
                <w:szCs w:val="21"/>
              </w:rPr>
            </w:pPr>
            <w:r>
              <w:rPr>
                <w:rFonts w:hint="eastAsia" w:ascii="宋体" w:hAnsi="宋体" w:eastAsia="宋体"/>
                <w:szCs w:val="21"/>
              </w:rPr>
              <w:t>广西庚源香料有限责任公司</w:t>
            </w:r>
          </w:p>
        </w:tc>
        <w:tc>
          <w:tcPr>
            <w:tcW w:w="668" w:type="pct"/>
            <w:vAlign w:val="center"/>
          </w:tcPr>
          <w:p>
            <w:pPr>
              <w:spacing w:line="320" w:lineRule="exact"/>
              <w:jc w:val="center"/>
              <w:rPr>
                <w:rFonts w:ascii="宋体" w:hAnsi="宋体" w:eastAsia="宋体"/>
                <w:szCs w:val="21"/>
              </w:rPr>
            </w:pPr>
            <w:r>
              <w:rPr>
                <w:rFonts w:hint="eastAsia" w:ascii="宋体" w:hAnsi="宋体" w:eastAsia="宋体"/>
                <w:szCs w:val="21"/>
              </w:rPr>
              <w:t>参与编写</w:t>
            </w:r>
          </w:p>
        </w:tc>
      </w:tr>
    </w:tbl>
    <w:p>
      <w:pPr>
        <w:spacing w:line="240" w:lineRule="exact"/>
        <w:jc w:val="center"/>
        <w:rPr>
          <w:rFonts w:ascii="黑体" w:hAnsi="黑体" w:eastAsia="黑体"/>
          <w:sz w:val="28"/>
          <w:szCs w:val="28"/>
        </w:rPr>
      </w:pPr>
    </w:p>
    <w:p>
      <w:pPr>
        <w:spacing w:line="580" w:lineRule="exact"/>
        <w:ind w:firstLine="562" w:firstLineChars="200"/>
        <w:rPr>
          <w:rFonts w:ascii="仿宋" w:hAnsi="仿宋" w:eastAsia="仿宋" w:cs="Times New Roman"/>
          <w:b/>
          <w:sz w:val="28"/>
          <w:szCs w:val="28"/>
        </w:rPr>
      </w:pPr>
      <w:r>
        <w:rPr>
          <w:rFonts w:hint="eastAsia" w:ascii="仿宋" w:hAnsi="仿宋" w:eastAsia="仿宋" w:cs="Times New Roman"/>
          <w:b/>
          <w:sz w:val="28"/>
          <w:szCs w:val="28"/>
        </w:rPr>
        <w:t>（二）标准编制及过程</w:t>
      </w:r>
    </w:p>
    <w:p>
      <w:pPr>
        <w:spacing w:line="580" w:lineRule="exact"/>
        <w:ind w:firstLine="562" w:firstLineChars="200"/>
        <w:rPr>
          <w:rFonts w:ascii="仿宋" w:hAnsi="仿宋" w:eastAsia="仿宋" w:cs="Times New Roman"/>
          <w:b/>
          <w:sz w:val="28"/>
          <w:szCs w:val="28"/>
        </w:rPr>
      </w:pPr>
      <w:r>
        <w:rPr>
          <w:rFonts w:hint="eastAsia" w:ascii="仿宋" w:hAnsi="仿宋" w:eastAsia="仿宋" w:cs="Times New Roman"/>
          <w:b/>
          <w:sz w:val="28"/>
          <w:szCs w:val="28"/>
        </w:rPr>
        <w:t>1</w:t>
      </w:r>
      <w:r>
        <w:rPr>
          <w:rFonts w:ascii="仿宋" w:hAnsi="仿宋" w:eastAsia="仿宋" w:cs="Times New Roman"/>
          <w:b/>
          <w:sz w:val="28"/>
          <w:szCs w:val="28"/>
        </w:rPr>
        <w:t>.</w:t>
      </w:r>
      <w:r>
        <w:rPr>
          <w:rFonts w:hint="eastAsia" w:ascii="仿宋" w:hAnsi="仿宋" w:eastAsia="仿宋" w:cs="Times New Roman"/>
          <w:b/>
          <w:sz w:val="28"/>
          <w:szCs w:val="28"/>
        </w:rPr>
        <w:t>前期工作基础</w:t>
      </w:r>
    </w:p>
    <w:p>
      <w:pPr>
        <w:spacing w:line="58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广西庚源香料有限责任公司是一家专业从事香料品种繁育、种植、研发、生产、销售为一体的国家高新技术企业、自治区林业产业化重点龙头企业、防城港市农业产业化重点龙头企业。公司主要以肉桂系列产品为主，八角、蒜头果、芳樟、互叶白千层等其他香料品种为辅，多年生产经营下积累了丰富的管理经验和客户资源，在业界有着良好的口碑，并研究</w:t>
      </w:r>
      <w:r>
        <w:rPr>
          <w:rFonts w:ascii="仿宋" w:hAnsi="仿宋" w:eastAsia="仿宋" w:cs="Times New Roman"/>
          <w:sz w:val="28"/>
          <w:szCs w:val="28"/>
        </w:rPr>
        <w:t>了一套稳定有效、可重复的</w:t>
      </w:r>
      <w:r>
        <w:rPr>
          <w:rFonts w:hint="eastAsia" w:ascii="仿宋" w:hAnsi="仿宋" w:eastAsia="仿宋" w:cs="Times New Roman"/>
          <w:sz w:val="28"/>
          <w:szCs w:val="28"/>
        </w:rPr>
        <w:t>肉桂油</w:t>
      </w:r>
      <w:r>
        <w:rPr>
          <w:rFonts w:ascii="仿宋" w:hAnsi="仿宋" w:eastAsia="仿宋" w:cs="Times New Roman"/>
          <w:sz w:val="28"/>
          <w:szCs w:val="28"/>
        </w:rPr>
        <w:t>生产技术工艺</w:t>
      </w:r>
      <w:r>
        <w:rPr>
          <w:rFonts w:hint="eastAsia" w:ascii="仿宋" w:hAnsi="仿宋" w:eastAsia="仿宋" w:cs="Times New Roman"/>
          <w:sz w:val="28"/>
          <w:szCs w:val="28"/>
        </w:rPr>
        <w:t>，已实现产业化</w:t>
      </w:r>
      <w:r>
        <w:rPr>
          <w:rFonts w:ascii="仿宋" w:hAnsi="仿宋" w:eastAsia="仿宋" w:cs="Times New Roman"/>
          <w:sz w:val="28"/>
          <w:szCs w:val="28"/>
        </w:rPr>
        <w:t>。</w:t>
      </w:r>
    </w:p>
    <w:p>
      <w:pPr>
        <w:spacing w:line="58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公司从1</w:t>
      </w:r>
      <w:r>
        <w:rPr>
          <w:rFonts w:ascii="仿宋" w:hAnsi="仿宋" w:eastAsia="仿宋" w:cs="Times New Roman"/>
          <w:sz w:val="28"/>
          <w:szCs w:val="28"/>
        </w:rPr>
        <w:t>998</w:t>
      </w:r>
      <w:r>
        <w:rPr>
          <w:rFonts w:hint="eastAsia" w:ascii="仿宋" w:hAnsi="仿宋" w:eastAsia="仿宋" w:cs="Times New Roman"/>
          <w:sz w:val="28"/>
          <w:szCs w:val="28"/>
        </w:rPr>
        <w:t>年开始生产肉桂油，多年来经过多次对桂枝叶蒸馏生产，不断调整工艺参数、改进设备、合理调整工艺流程等，并从2</w:t>
      </w:r>
      <w:r>
        <w:rPr>
          <w:rFonts w:ascii="仿宋" w:hAnsi="仿宋" w:eastAsia="仿宋" w:cs="Times New Roman"/>
          <w:sz w:val="28"/>
          <w:szCs w:val="28"/>
        </w:rPr>
        <w:t>018</w:t>
      </w:r>
      <w:r>
        <w:rPr>
          <w:rFonts w:hint="eastAsia" w:ascii="仿宋" w:hAnsi="仿宋" w:eastAsia="仿宋" w:cs="Times New Roman"/>
          <w:sz w:val="28"/>
          <w:szCs w:val="28"/>
        </w:rPr>
        <w:t>年形成该技术规程标准并在生产过程中实施。</w:t>
      </w:r>
    </w:p>
    <w:p>
      <w:pPr>
        <w:spacing w:line="58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在编制过程中，工作组深入各主要生产企业进行调查，获得</w:t>
      </w:r>
      <w:r>
        <w:rPr>
          <w:rFonts w:ascii="仿宋" w:hAnsi="仿宋" w:eastAsia="仿宋" w:cs="Times New Roman"/>
          <w:sz w:val="28"/>
          <w:szCs w:val="28"/>
        </w:rPr>
        <w:t>广西肉桂油生产情况：广西年产肉桂枝叶约1</w:t>
      </w:r>
      <w:r>
        <w:rPr>
          <w:rFonts w:hint="eastAsia" w:ascii="仿宋" w:hAnsi="仿宋" w:eastAsia="仿宋" w:cs="Times New Roman"/>
          <w:sz w:val="28"/>
          <w:szCs w:val="28"/>
        </w:rPr>
        <w:t>0</w:t>
      </w:r>
      <w:r>
        <w:rPr>
          <w:rFonts w:ascii="仿宋" w:hAnsi="仿宋" w:eastAsia="仿宋" w:cs="Times New Roman"/>
          <w:sz w:val="28"/>
          <w:szCs w:val="28"/>
        </w:rPr>
        <w:t>万吨，肉桂枝叶收购价格</w:t>
      </w:r>
      <w:r>
        <w:rPr>
          <w:rFonts w:hint="eastAsia" w:ascii="仿宋" w:hAnsi="仿宋" w:eastAsia="仿宋" w:cs="Times New Roman"/>
          <w:sz w:val="28"/>
          <w:szCs w:val="28"/>
        </w:rPr>
        <w:t>120</w:t>
      </w:r>
      <w:r>
        <w:rPr>
          <w:rFonts w:ascii="仿宋" w:hAnsi="仿宋" w:eastAsia="仿宋" w:cs="Times New Roman"/>
          <w:sz w:val="28"/>
          <w:szCs w:val="28"/>
        </w:rPr>
        <w:t>0</w:t>
      </w:r>
      <w:r>
        <w:rPr>
          <w:rFonts w:hint="eastAsia" w:ascii="仿宋" w:hAnsi="仿宋" w:eastAsia="仿宋" w:cs="Times New Roman"/>
          <w:sz w:val="28"/>
          <w:szCs w:val="28"/>
        </w:rPr>
        <w:t>～</w:t>
      </w:r>
      <w:r>
        <w:rPr>
          <w:rFonts w:ascii="仿宋" w:hAnsi="仿宋" w:eastAsia="仿宋" w:cs="Times New Roman"/>
          <w:sz w:val="28"/>
          <w:szCs w:val="28"/>
        </w:rPr>
        <w:t>1400元每吨。广西年产肉桂油约800吨，每吨2</w:t>
      </w:r>
      <w:r>
        <w:rPr>
          <w:rFonts w:hint="eastAsia" w:ascii="仿宋" w:hAnsi="仿宋" w:eastAsia="仿宋" w:cs="Times New Roman"/>
          <w:sz w:val="28"/>
          <w:szCs w:val="28"/>
        </w:rPr>
        <w:t>0</w:t>
      </w:r>
      <w:r>
        <w:rPr>
          <w:rFonts w:ascii="仿宋" w:hAnsi="仿宋" w:eastAsia="仿宋" w:cs="Times New Roman"/>
          <w:sz w:val="28"/>
          <w:szCs w:val="28"/>
        </w:rPr>
        <w:t>万元</w:t>
      </w:r>
      <w:r>
        <w:rPr>
          <w:rFonts w:hint="eastAsia" w:ascii="仿宋" w:hAnsi="仿宋" w:eastAsia="仿宋" w:cs="Times New Roman"/>
          <w:sz w:val="28"/>
          <w:szCs w:val="28"/>
        </w:rPr>
        <w:t>。近三年来受到疫情影响，</w:t>
      </w:r>
      <w:r>
        <w:rPr>
          <w:rFonts w:ascii="仿宋" w:hAnsi="仿宋" w:eastAsia="仿宋" w:cs="Times New Roman"/>
          <w:sz w:val="28"/>
          <w:szCs w:val="28"/>
        </w:rPr>
        <w:t>肉桂油</w:t>
      </w:r>
      <w:r>
        <w:rPr>
          <w:rFonts w:hint="eastAsia" w:ascii="仿宋" w:hAnsi="仿宋" w:eastAsia="仿宋" w:cs="Times New Roman"/>
          <w:sz w:val="28"/>
          <w:szCs w:val="28"/>
        </w:rPr>
        <w:t>年产量有所下降，价格基本维持在每吨20～21万元左右</w:t>
      </w:r>
      <w:r>
        <w:rPr>
          <w:rFonts w:ascii="仿宋" w:hAnsi="仿宋" w:eastAsia="仿宋" w:cs="Times New Roman"/>
          <w:sz w:val="28"/>
          <w:szCs w:val="28"/>
        </w:rPr>
        <w:t>。</w:t>
      </w:r>
    </w:p>
    <w:p>
      <w:pPr>
        <w:spacing w:line="580" w:lineRule="exact"/>
        <w:ind w:firstLine="562" w:firstLineChars="200"/>
        <w:rPr>
          <w:rFonts w:ascii="仿宋" w:hAnsi="仿宋" w:eastAsia="仿宋" w:cs="Times New Roman"/>
          <w:b/>
          <w:sz w:val="28"/>
          <w:szCs w:val="28"/>
        </w:rPr>
      </w:pPr>
      <w:r>
        <w:rPr>
          <w:rFonts w:hint="eastAsia" w:ascii="仿宋" w:hAnsi="仿宋" w:eastAsia="仿宋" w:cs="Times New Roman"/>
          <w:b/>
          <w:sz w:val="28"/>
          <w:szCs w:val="28"/>
        </w:rPr>
        <w:t>2</w:t>
      </w:r>
      <w:r>
        <w:rPr>
          <w:rFonts w:ascii="仿宋" w:hAnsi="仿宋" w:eastAsia="仿宋" w:cs="Times New Roman"/>
          <w:b/>
          <w:sz w:val="28"/>
          <w:szCs w:val="28"/>
        </w:rPr>
        <w:t>.</w:t>
      </w:r>
      <w:r>
        <w:rPr>
          <w:rFonts w:hint="eastAsia" w:ascii="仿宋" w:hAnsi="仿宋" w:eastAsia="仿宋" w:cs="Times New Roman"/>
          <w:b/>
          <w:sz w:val="28"/>
          <w:szCs w:val="28"/>
        </w:rPr>
        <w:t>收集和整理文献资料</w:t>
      </w:r>
    </w:p>
    <w:p>
      <w:pPr>
        <w:spacing w:line="580" w:lineRule="exact"/>
        <w:ind w:firstLine="560" w:firstLineChars="200"/>
        <w:rPr>
          <w:rFonts w:ascii="仿宋" w:hAnsi="仿宋" w:eastAsia="仿宋" w:cs="Times New Roman"/>
          <w:sz w:val="28"/>
          <w:szCs w:val="28"/>
        </w:rPr>
      </w:pPr>
      <w:r>
        <w:rPr>
          <w:rFonts w:ascii="仿宋" w:hAnsi="仿宋" w:eastAsia="仿宋" w:cs="Times New Roman"/>
          <w:sz w:val="28"/>
          <w:szCs w:val="28"/>
        </w:rPr>
        <w:t>在标准起草前，研究了</w:t>
      </w:r>
      <w:r>
        <w:rPr>
          <w:rFonts w:hint="eastAsia" w:ascii="仿宋" w:hAnsi="仿宋" w:eastAsia="仿宋" w:cs="Times New Roman"/>
          <w:sz w:val="28"/>
          <w:szCs w:val="28"/>
        </w:rPr>
        <w:t>肉桂油</w:t>
      </w:r>
      <w:r>
        <w:rPr>
          <w:rFonts w:ascii="仿宋" w:hAnsi="仿宋" w:eastAsia="仿宋" w:cs="Times New Roman"/>
          <w:sz w:val="28"/>
          <w:szCs w:val="28"/>
        </w:rPr>
        <w:t>制备</w:t>
      </w:r>
      <w:r>
        <w:rPr>
          <w:rFonts w:hint="eastAsia" w:ascii="仿宋" w:hAnsi="仿宋" w:eastAsia="仿宋" w:cs="Times New Roman"/>
          <w:sz w:val="28"/>
          <w:szCs w:val="28"/>
        </w:rPr>
        <w:t>、</w:t>
      </w:r>
      <w:r>
        <w:rPr>
          <w:rFonts w:ascii="仿宋" w:hAnsi="仿宋" w:eastAsia="仿宋" w:cs="Times New Roman"/>
          <w:sz w:val="28"/>
          <w:szCs w:val="28"/>
        </w:rPr>
        <w:t>生产的相关文献资料，并对课题研究成果进行了全面整理和总结讨论。</w:t>
      </w:r>
    </w:p>
    <w:p>
      <w:pPr>
        <w:spacing w:line="580" w:lineRule="exact"/>
        <w:ind w:firstLine="560" w:firstLineChars="200"/>
        <w:rPr>
          <w:rFonts w:ascii="仿宋" w:hAnsi="仿宋" w:eastAsia="仿宋" w:cs="Times New Roman"/>
          <w:sz w:val="28"/>
          <w:szCs w:val="28"/>
        </w:rPr>
      </w:pPr>
      <w:r>
        <w:rPr>
          <w:rFonts w:ascii="仿宋" w:hAnsi="仿宋" w:eastAsia="仿宋" w:cs="Times New Roman"/>
          <w:sz w:val="28"/>
          <w:szCs w:val="28"/>
        </w:rPr>
        <w:t>目前，</w:t>
      </w:r>
      <w:r>
        <w:rPr>
          <w:rFonts w:hint="eastAsia" w:ascii="仿宋" w:hAnsi="仿宋" w:eastAsia="仿宋" w:cs="Times New Roman"/>
          <w:sz w:val="28"/>
          <w:szCs w:val="28"/>
        </w:rPr>
        <w:t>肉桂油主要用于食品添加剂和制备天然苯甲醛，有以下标准发布：《中国肉桂（精）油》、《肉桂叶香精油》、《食品添加剂 肉桂油》等。未有对</w:t>
      </w:r>
      <w:r>
        <w:rPr>
          <w:rFonts w:ascii="仿宋" w:hAnsi="仿宋" w:eastAsia="仿宋" w:cs="Times New Roman"/>
          <w:sz w:val="28"/>
          <w:szCs w:val="28"/>
        </w:rPr>
        <w:t>肉桂油生产</w:t>
      </w:r>
      <w:r>
        <w:rPr>
          <w:rFonts w:hint="eastAsia" w:ascii="仿宋" w:hAnsi="仿宋" w:eastAsia="仿宋" w:cs="Times New Roman"/>
          <w:sz w:val="28"/>
          <w:szCs w:val="28"/>
        </w:rPr>
        <w:t>的技术标准发布。</w:t>
      </w:r>
    </w:p>
    <w:p>
      <w:pPr>
        <w:spacing w:line="58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广西的肉桂油生产企业目前主要采取水蒸气蒸馏法进行生产，各个企业的生产流程基本一致，但在各步骤技术的参数控制上存在差异。本标准主要起草单位广西庚源香料有限责任公司技术攻关小组对肉桂油生产工艺技术流程进行了研究，对提取方法进行改进，并对提取条件进行优化。</w:t>
      </w:r>
      <w:r>
        <w:rPr>
          <w:rFonts w:ascii="仿宋" w:hAnsi="仿宋" w:eastAsia="仿宋" w:cs="Times New Roman"/>
          <w:sz w:val="28"/>
          <w:szCs w:val="28"/>
        </w:rPr>
        <w:t>采用优化后的生产工艺生产得到的肉桂油得率较高，品质好。主要检测指标与现有肉桂油标准比较：</w:t>
      </w:r>
    </w:p>
    <w:p>
      <w:pPr>
        <w:spacing w:after="156" w:afterLines="50" w:line="320" w:lineRule="exact"/>
        <w:jc w:val="center"/>
        <w:rPr>
          <w:rFonts w:hint="eastAsia" w:ascii="黑体" w:hAnsi="黑体" w:eastAsia="黑体" w:cs="Times New Roman"/>
          <w:szCs w:val="21"/>
        </w:rPr>
      </w:pPr>
      <w:r>
        <w:rPr>
          <w:rFonts w:hint="eastAsia" w:ascii="黑体" w:hAnsi="黑体" w:eastAsia="黑体" w:cs="Times New Roman"/>
          <w:szCs w:val="21"/>
        </w:rPr>
        <w:t>主要检测指标与现有标准比较表</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3447"/>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7" w:type="pct"/>
            <w:vAlign w:val="center"/>
          </w:tcPr>
          <w:p>
            <w:pPr>
              <w:pStyle w:val="5"/>
              <w:widowControl/>
              <w:spacing w:before="0" w:beforeAutospacing="0" w:after="0" w:afterAutospacing="0" w:line="300" w:lineRule="exact"/>
              <w:jc w:val="center"/>
              <w:rPr>
                <w:rFonts w:ascii="宋体" w:hAnsi="宋体"/>
                <w:b/>
                <w:sz w:val="21"/>
                <w:szCs w:val="21"/>
              </w:rPr>
            </w:pPr>
            <w:r>
              <w:rPr>
                <w:rFonts w:ascii="宋体" w:hAnsi="宋体"/>
                <w:b/>
                <w:sz w:val="21"/>
                <w:szCs w:val="21"/>
              </w:rPr>
              <w:t>检测项目</w:t>
            </w:r>
          </w:p>
        </w:tc>
        <w:tc>
          <w:tcPr>
            <w:tcW w:w="2022" w:type="pct"/>
            <w:vAlign w:val="center"/>
          </w:tcPr>
          <w:p>
            <w:pPr>
              <w:pStyle w:val="5"/>
              <w:widowControl/>
              <w:spacing w:before="0" w:beforeAutospacing="0" w:after="0" w:afterAutospacing="0" w:line="300" w:lineRule="exact"/>
              <w:jc w:val="center"/>
              <w:rPr>
                <w:rFonts w:ascii="宋体" w:hAnsi="宋体"/>
                <w:b/>
                <w:sz w:val="21"/>
                <w:szCs w:val="21"/>
              </w:rPr>
            </w:pPr>
            <w:r>
              <w:rPr>
                <w:rFonts w:hint="eastAsia" w:ascii="宋体" w:hAnsi="宋体"/>
                <w:b/>
                <w:sz w:val="21"/>
                <w:szCs w:val="21"/>
              </w:rPr>
              <w:t>广西</w:t>
            </w:r>
            <w:r>
              <w:rPr>
                <w:rFonts w:ascii="宋体" w:hAnsi="宋体"/>
                <w:b/>
                <w:sz w:val="21"/>
                <w:szCs w:val="21"/>
              </w:rPr>
              <w:t>庚源</w:t>
            </w:r>
            <w:r>
              <w:rPr>
                <w:rFonts w:hint="eastAsia" w:ascii="宋体" w:hAnsi="宋体"/>
                <w:b/>
                <w:sz w:val="21"/>
                <w:szCs w:val="21"/>
              </w:rPr>
              <w:t>香料有限责任</w:t>
            </w:r>
            <w:r>
              <w:rPr>
                <w:rFonts w:ascii="宋体" w:hAnsi="宋体"/>
                <w:b/>
                <w:sz w:val="21"/>
                <w:szCs w:val="21"/>
              </w:rPr>
              <w:t>公司肉桂油</w:t>
            </w:r>
          </w:p>
        </w:tc>
        <w:tc>
          <w:tcPr>
            <w:tcW w:w="1500" w:type="pct"/>
            <w:vAlign w:val="center"/>
          </w:tcPr>
          <w:p>
            <w:pPr>
              <w:pStyle w:val="5"/>
              <w:widowControl/>
              <w:spacing w:before="0" w:beforeAutospacing="0" w:after="0" w:afterAutospacing="0" w:line="300" w:lineRule="exact"/>
              <w:jc w:val="center"/>
              <w:rPr>
                <w:rFonts w:ascii="宋体" w:hAnsi="宋体"/>
                <w:b/>
                <w:sz w:val="21"/>
                <w:szCs w:val="21"/>
              </w:rPr>
            </w:pPr>
            <w:r>
              <w:rPr>
                <w:rFonts w:ascii="宋体" w:hAnsi="宋体"/>
                <w:b/>
                <w:sz w:val="21"/>
                <w:szCs w:val="21"/>
              </w:rPr>
              <w:t>现行标准规定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7" w:type="pct"/>
            <w:vAlign w:val="center"/>
          </w:tcPr>
          <w:p>
            <w:pPr>
              <w:pStyle w:val="5"/>
              <w:widowControl/>
              <w:spacing w:before="0" w:beforeAutospacing="0" w:after="0" w:afterAutospacing="0" w:line="300" w:lineRule="exact"/>
              <w:jc w:val="center"/>
              <w:rPr>
                <w:rFonts w:ascii="宋体" w:hAnsi="宋体"/>
                <w:sz w:val="21"/>
                <w:szCs w:val="21"/>
              </w:rPr>
            </w:pPr>
            <w:r>
              <w:rPr>
                <w:rFonts w:ascii="宋体" w:hAnsi="宋体"/>
                <w:sz w:val="21"/>
                <w:szCs w:val="21"/>
              </w:rPr>
              <w:t>肉桂醛含量</w:t>
            </w:r>
          </w:p>
        </w:tc>
        <w:tc>
          <w:tcPr>
            <w:tcW w:w="2022" w:type="pct"/>
            <w:vAlign w:val="center"/>
          </w:tcPr>
          <w:p>
            <w:pPr>
              <w:pStyle w:val="5"/>
              <w:widowControl/>
              <w:spacing w:before="0" w:beforeAutospacing="0" w:after="0" w:afterAutospacing="0" w:line="300" w:lineRule="exact"/>
              <w:jc w:val="center"/>
              <w:rPr>
                <w:rFonts w:ascii="宋体" w:hAnsi="宋体"/>
                <w:sz w:val="21"/>
                <w:szCs w:val="21"/>
              </w:rPr>
            </w:pPr>
            <w:r>
              <w:rPr>
                <w:rFonts w:ascii="宋体" w:hAnsi="宋体"/>
                <w:sz w:val="21"/>
                <w:szCs w:val="21"/>
              </w:rPr>
              <w:t>88.3</w:t>
            </w:r>
          </w:p>
        </w:tc>
        <w:tc>
          <w:tcPr>
            <w:tcW w:w="1500" w:type="pct"/>
            <w:vAlign w:val="center"/>
          </w:tcPr>
          <w:p>
            <w:pPr>
              <w:pStyle w:val="5"/>
              <w:widowControl/>
              <w:spacing w:before="0" w:beforeAutospacing="0" w:after="0" w:afterAutospacing="0" w:line="300" w:lineRule="exact"/>
              <w:jc w:val="center"/>
              <w:rPr>
                <w:rFonts w:ascii="宋体" w:hAnsi="宋体"/>
                <w:sz w:val="21"/>
                <w:szCs w:val="21"/>
              </w:rPr>
            </w:pPr>
            <w:r>
              <w:rPr>
                <w:rFonts w:ascii="宋体" w:hAnsi="宋体"/>
                <w:sz w:val="21"/>
                <w:szCs w:val="21"/>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7" w:type="pct"/>
            <w:vAlign w:val="center"/>
          </w:tcPr>
          <w:p>
            <w:pPr>
              <w:pStyle w:val="5"/>
              <w:widowControl/>
              <w:spacing w:before="0" w:beforeAutospacing="0" w:after="0" w:afterAutospacing="0" w:line="300" w:lineRule="exact"/>
              <w:jc w:val="center"/>
              <w:rPr>
                <w:rFonts w:ascii="宋体" w:hAnsi="宋体"/>
                <w:sz w:val="21"/>
                <w:szCs w:val="21"/>
              </w:rPr>
            </w:pPr>
            <w:r>
              <w:rPr>
                <w:rFonts w:ascii="宋体" w:hAnsi="宋体"/>
                <w:sz w:val="21"/>
                <w:szCs w:val="21"/>
              </w:rPr>
              <w:t>羰基化合物含量</w:t>
            </w:r>
          </w:p>
        </w:tc>
        <w:tc>
          <w:tcPr>
            <w:tcW w:w="2022" w:type="pct"/>
            <w:vAlign w:val="center"/>
          </w:tcPr>
          <w:p>
            <w:pPr>
              <w:pStyle w:val="5"/>
              <w:widowControl/>
              <w:spacing w:before="0" w:beforeAutospacing="0" w:after="0" w:afterAutospacing="0" w:line="300" w:lineRule="exact"/>
              <w:jc w:val="center"/>
              <w:rPr>
                <w:rFonts w:ascii="宋体" w:hAnsi="宋体"/>
                <w:sz w:val="21"/>
                <w:szCs w:val="21"/>
              </w:rPr>
            </w:pPr>
            <w:r>
              <w:rPr>
                <w:rFonts w:ascii="宋体" w:hAnsi="宋体"/>
                <w:sz w:val="21"/>
                <w:szCs w:val="21"/>
              </w:rPr>
              <w:t>96.8</w:t>
            </w:r>
          </w:p>
        </w:tc>
        <w:tc>
          <w:tcPr>
            <w:tcW w:w="1500" w:type="pct"/>
            <w:vAlign w:val="center"/>
          </w:tcPr>
          <w:p>
            <w:pPr>
              <w:pStyle w:val="5"/>
              <w:widowControl/>
              <w:spacing w:before="0" w:beforeAutospacing="0" w:after="0" w:afterAutospacing="0" w:line="300" w:lineRule="exact"/>
              <w:jc w:val="center"/>
              <w:rPr>
                <w:rFonts w:ascii="宋体" w:hAnsi="宋体"/>
                <w:sz w:val="21"/>
                <w:szCs w:val="21"/>
              </w:rPr>
            </w:pPr>
            <w:r>
              <w:rPr>
                <w:rFonts w:ascii="宋体" w:hAnsi="宋体"/>
                <w:sz w:val="21"/>
                <w:szCs w:val="21"/>
              </w:rPr>
              <w:t>≥80.0</w:t>
            </w:r>
          </w:p>
        </w:tc>
      </w:tr>
    </w:tbl>
    <w:p>
      <w:pPr>
        <w:spacing w:line="240" w:lineRule="exact"/>
        <w:ind w:firstLine="560" w:firstLineChars="200"/>
        <w:rPr>
          <w:rFonts w:ascii="Times New Roman" w:hAnsi="Times New Roman" w:eastAsia="仿宋_GB2312" w:cs="Times New Roman"/>
          <w:sz w:val="28"/>
          <w:szCs w:val="28"/>
        </w:rPr>
      </w:pPr>
    </w:p>
    <w:p>
      <w:pPr>
        <w:spacing w:line="540" w:lineRule="exact"/>
        <w:ind w:firstLine="560" w:firstLineChars="200"/>
        <w:rPr>
          <w:rFonts w:ascii="Times New Roman" w:hAnsi="Times New Roman" w:eastAsia="仿宋_GB2312" w:cs="Times New Roman"/>
          <w:sz w:val="28"/>
          <w:szCs w:val="28"/>
        </w:rPr>
      </w:pPr>
    </w:p>
    <w:p>
      <w:pPr>
        <w:spacing w:line="540" w:lineRule="exact"/>
        <w:ind w:firstLine="560" w:firstLineChars="200"/>
        <w:rPr>
          <w:rFonts w:ascii="Times New Roman" w:hAnsi="Times New Roman" w:eastAsia="仿宋_GB2312" w:cs="Times New Roman"/>
          <w:sz w:val="28"/>
          <w:szCs w:val="28"/>
        </w:rPr>
      </w:pPr>
    </w:p>
    <w:p>
      <w:pPr>
        <w:spacing w:line="540" w:lineRule="exact"/>
        <w:ind w:firstLine="560" w:firstLineChars="200"/>
        <w:rPr>
          <w:rFonts w:ascii="Times New Roman" w:hAnsi="Times New Roman" w:eastAsia="仿宋_GB2312" w:cs="Times New Roman"/>
          <w:sz w:val="28"/>
          <w:szCs w:val="28"/>
        </w:rPr>
      </w:pPr>
    </w:p>
    <w:p>
      <w:pPr>
        <w:spacing w:line="540" w:lineRule="exact"/>
        <w:ind w:firstLine="560" w:firstLineChars="200"/>
        <w:rPr>
          <w:rFonts w:ascii="Times New Roman" w:hAnsi="Times New Roman" w:eastAsia="仿宋_GB2312" w:cs="Times New Roman"/>
          <w:sz w:val="28"/>
          <w:szCs w:val="28"/>
        </w:rPr>
      </w:pPr>
    </w:p>
    <w:p>
      <w:pPr>
        <w:spacing w:line="540" w:lineRule="exact"/>
        <w:ind w:firstLine="560" w:firstLineChars="200"/>
        <w:rPr>
          <w:rFonts w:ascii="Times New Roman" w:hAnsi="Times New Roman" w:eastAsia="仿宋_GB2312" w:cs="Times New Roman"/>
          <w:sz w:val="28"/>
          <w:szCs w:val="28"/>
        </w:rPr>
      </w:pPr>
    </w:p>
    <w:p>
      <w:pPr>
        <w:spacing w:line="54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检测报告如下：</w:t>
      </w:r>
    </w:p>
    <w:p>
      <w:pPr>
        <w:jc w:val="center"/>
        <w:rPr>
          <w:rFonts w:ascii="Times New Roman" w:hAnsi="Times New Roman" w:eastAsia="仿宋_GB2312" w:cs="Times New Roman"/>
          <w:sz w:val="28"/>
          <w:szCs w:val="28"/>
        </w:rPr>
      </w:pPr>
      <w:r>
        <w:rPr>
          <w:rFonts w:ascii="Times New Roman" w:hAnsi="宋体" w:eastAsia="宋体" w:cs="Times New Roman"/>
          <w:sz w:val="24"/>
        </w:rPr>
        <w:drawing>
          <wp:inline distT="0" distB="0" distL="0" distR="0">
            <wp:extent cx="4689475" cy="6005830"/>
            <wp:effectExtent l="0" t="0" r="0" b="0"/>
            <wp:docPr id="2" name="图片 2" descr="166574714463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1665747144634"/>
                    <pic:cNvPicPr>
                      <a:picLocks noChangeAspect="true" noChangeArrowheads="true"/>
                    </pic:cNvPicPr>
                  </pic:nvPicPr>
                  <pic:blipFill>
                    <a:blip r:embed="rId4" cstate="print">
                      <a:extLst>
                        <a:ext uri="{28A0092B-C50C-407E-A947-70E740481C1C}">
                          <a14:useLocalDpi xmlns:a14="http://schemas.microsoft.com/office/drawing/2010/main" val="false"/>
                        </a:ext>
                      </a:extLst>
                    </a:blip>
                    <a:srcRect t="2955" b="2938"/>
                    <a:stretch>
                      <a:fillRect/>
                    </a:stretch>
                  </pic:blipFill>
                  <pic:spPr>
                    <a:xfrm>
                      <a:off x="0" y="0"/>
                      <a:ext cx="4689685" cy="6006353"/>
                    </a:xfrm>
                    <a:prstGeom prst="rect">
                      <a:avLst/>
                    </a:prstGeom>
                    <a:noFill/>
                    <a:ln>
                      <a:noFill/>
                    </a:ln>
                  </pic:spPr>
                </pic:pic>
              </a:graphicData>
            </a:graphic>
          </wp:inline>
        </w:drawing>
      </w:r>
    </w:p>
    <w:p>
      <w:pPr>
        <w:widowControl/>
        <w:jc w:val="center"/>
        <w:rPr>
          <w:rFonts w:ascii="Times New Roman" w:hAnsi="Times New Roman" w:eastAsia="仿宋_GB2312" w:cs="Times New Roman"/>
          <w:sz w:val="28"/>
          <w:szCs w:val="28"/>
        </w:rPr>
      </w:pPr>
      <w:r>
        <w:rPr>
          <w:rFonts w:ascii="Times New Roman" w:hAnsi="宋体" w:eastAsia="宋体" w:cs="Times New Roman"/>
          <w:sz w:val="24"/>
        </w:rPr>
        <w:drawing>
          <wp:inline distT="0" distB="0" distL="0" distR="0">
            <wp:extent cx="5154295" cy="5025390"/>
            <wp:effectExtent l="0" t="0" r="0" b="0"/>
            <wp:docPr id="3" name="图片 3" descr="166574716760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descr="1665747167605"/>
                    <pic:cNvPicPr>
                      <a:picLocks noChangeAspect="true" noChangeArrowheads="true"/>
                    </pic:cNvPicPr>
                  </pic:nvPicPr>
                  <pic:blipFill>
                    <a:blip r:embed="rId5" cstate="print">
                      <a:extLst>
                        <a:ext uri="{28A0092B-C50C-407E-A947-70E740481C1C}">
                          <a14:useLocalDpi xmlns:a14="http://schemas.microsoft.com/office/drawing/2010/main" val="false"/>
                        </a:ext>
                      </a:extLst>
                    </a:blip>
                    <a:srcRect t="2317" b="31944"/>
                    <a:stretch>
                      <a:fillRect/>
                    </a:stretch>
                  </pic:blipFill>
                  <pic:spPr>
                    <a:xfrm>
                      <a:off x="0" y="0"/>
                      <a:ext cx="5155616" cy="5026710"/>
                    </a:xfrm>
                    <a:prstGeom prst="rect">
                      <a:avLst/>
                    </a:prstGeom>
                    <a:noFill/>
                    <a:ln>
                      <a:noFill/>
                    </a:ln>
                  </pic:spPr>
                </pic:pic>
              </a:graphicData>
            </a:graphic>
          </wp:inline>
        </w:drawing>
      </w:r>
    </w:p>
    <w:p>
      <w:pPr>
        <w:widowControl/>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drawing>
          <wp:inline distT="0" distB="0" distL="0" distR="0">
            <wp:extent cx="4366895" cy="5561965"/>
            <wp:effectExtent l="0" t="0" r="0" b="0"/>
            <wp:docPr id="1"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true" noChangeArrowheads="true"/>
                    </pic:cNvPicPr>
                  </pic:nvPicPr>
                  <pic:blipFill>
                    <a:blip r:embed="rId6" cstate="print">
                      <a:extLst>
                        <a:ext uri="{28A0092B-C50C-407E-A947-70E740481C1C}">
                          <a14:useLocalDpi xmlns:a14="http://schemas.microsoft.com/office/drawing/2010/main" val="false"/>
                        </a:ext>
                      </a:extLst>
                    </a:blip>
                    <a:srcRect/>
                    <a:stretch>
                      <a:fillRect/>
                    </a:stretch>
                  </pic:blipFill>
                  <pic:spPr>
                    <a:xfrm>
                      <a:off x="0" y="0"/>
                      <a:ext cx="4382204" cy="5581469"/>
                    </a:xfrm>
                    <a:prstGeom prst="rect">
                      <a:avLst/>
                    </a:prstGeom>
                    <a:noFill/>
                    <a:ln>
                      <a:noFill/>
                    </a:ln>
                  </pic:spPr>
                </pic:pic>
              </a:graphicData>
            </a:graphic>
          </wp:inline>
        </w:drawing>
      </w:r>
    </w:p>
    <w:p>
      <w:pPr>
        <w:widowControl/>
        <w:jc w:val="center"/>
        <w:rPr>
          <w:rFonts w:ascii="黑体" w:hAnsi="黑体" w:eastAsia="黑体" w:cs="Times New Roman"/>
          <w:sz w:val="28"/>
          <w:szCs w:val="28"/>
        </w:rPr>
      </w:pPr>
      <w:r>
        <w:rPr>
          <w:rFonts w:hint="eastAsia" w:ascii="黑体" w:hAnsi="黑体" w:eastAsia="黑体" w:cs="Times New Roman"/>
          <w:sz w:val="28"/>
          <w:szCs w:val="28"/>
        </w:rPr>
        <w:t>图1</w:t>
      </w:r>
      <w:r>
        <w:rPr>
          <w:rFonts w:ascii="黑体" w:hAnsi="黑体" w:eastAsia="黑体" w:cs="Times New Roman"/>
          <w:sz w:val="28"/>
          <w:szCs w:val="28"/>
        </w:rPr>
        <w:t xml:space="preserve">  </w:t>
      </w:r>
      <w:r>
        <w:rPr>
          <w:rFonts w:hint="eastAsia" w:ascii="黑体" w:hAnsi="黑体" w:eastAsia="黑体" w:cs="Times New Roman"/>
          <w:sz w:val="28"/>
          <w:szCs w:val="28"/>
        </w:rPr>
        <w:t>肉桂生产工艺流程图</w:t>
      </w:r>
    </w:p>
    <w:p>
      <w:pPr>
        <w:spacing w:line="580" w:lineRule="exact"/>
        <w:ind w:firstLine="562" w:firstLineChars="200"/>
        <w:jc w:val="left"/>
        <w:rPr>
          <w:rFonts w:ascii="仿宋" w:hAnsi="仿宋" w:eastAsia="仿宋" w:cs="Times New Roman"/>
          <w:b/>
          <w:sz w:val="28"/>
          <w:szCs w:val="28"/>
        </w:rPr>
      </w:pPr>
      <w:r>
        <w:rPr>
          <w:rFonts w:hint="eastAsia" w:ascii="仿宋" w:hAnsi="仿宋" w:eastAsia="仿宋" w:cs="Times New Roman"/>
          <w:b/>
          <w:sz w:val="28"/>
          <w:szCs w:val="28"/>
        </w:rPr>
        <w:t>3</w:t>
      </w:r>
      <w:r>
        <w:rPr>
          <w:rFonts w:ascii="仿宋" w:hAnsi="仿宋" w:eastAsia="仿宋" w:cs="Times New Roman"/>
          <w:b/>
          <w:sz w:val="28"/>
          <w:szCs w:val="28"/>
        </w:rPr>
        <w:t>.</w:t>
      </w:r>
      <w:r>
        <w:rPr>
          <w:rFonts w:hint="eastAsia" w:ascii="仿宋" w:hAnsi="仿宋" w:eastAsia="仿宋" w:cs="Times New Roman"/>
          <w:b/>
          <w:sz w:val="28"/>
          <w:szCs w:val="28"/>
        </w:rPr>
        <w:t>研讨确定标准主体内容</w:t>
      </w:r>
    </w:p>
    <w:p>
      <w:pPr>
        <w:spacing w:line="580" w:lineRule="exact"/>
        <w:ind w:firstLine="560" w:firstLineChars="200"/>
        <w:jc w:val="left"/>
        <w:rPr>
          <w:rFonts w:ascii="仿宋" w:hAnsi="仿宋" w:eastAsia="仿宋" w:cs="Times New Roman"/>
          <w:sz w:val="28"/>
          <w:szCs w:val="28"/>
        </w:rPr>
      </w:pPr>
      <w:r>
        <w:rPr>
          <w:rFonts w:ascii="仿宋" w:hAnsi="仿宋" w:eastAsia="仿宋" w:cs="Times New Roman"/>
          <w:sz w:val="28"/>
          <w:szCs w:val="28"/>
        </w:rPr>
        <w:t>2018年11月完成了《肉桂油生产技术规程》广西地方标准初稿，并于2018年12月至2019年1月向部分专家征求意见和建议，根据反馈意见，编制小组对本标准初稿进行了进一步的修改和完善，</w:t>
      </w:r>
      <w:r>
        <w:rPr>
          <w:rFonts w:hint="eastAsia" w:ascii="仿宋" w:hAnsi="仿宋" w:eastAsia="仿宋" w:cs="Times New Roman"/>
          <w:sz w:val="28"/>
          <w:szCs w:val="28"/>
        </w:rPr>
        <w:t>经过研究决定，标准主要内容为：范围、术语和定义、原料要求、生产工艺及质量要求、标志、包装、运输和贮存。</w:t>
      </w:r>
    </w:p>
    <w:p>
      <w:pPr>
        <w:spacing w:line="580" w:lineRule="exact"/>
        <w:ind w:firstLine="562" w:firstLineChars="200"/>
        <w:jc w:val="left"/>
        <w:rPr>
          <w:rFonts w:ascii="仿宋" w:hAnsi="仿宋" w:eastAsia="仿宋" w:cs="Times New Roman"/>
          <w:b/>
          <w:sz w:val="28"/>
          <w:szCs w:val="28"/>
        </w:rPr>
      </w:pPr>
      <w:r>
        <w:rPr>
          <w:rFonts w:hint="eastAsia" w:ascii="仿宋" w:hAnsi="仿宋" w:eastAsia="仿宋" w:cs="Times New Roman"/>
          <w:b/>
          <w:sz w:val="28"/>
          <w:szCs w:val="28"/>
        </w:rPr>
        <w:t>4</w:t>
      </w:r>
      <w:r>
        <w:rPr>
          <w:rFonts w:ascii="仿宋" w:hAnsi="仿宋" w:eastAsia="仿宋" w:cs="Times New Roman"/>
          <w:b/>
          <w:sz w:val="28"/>
          <w:szCs w:val="28"/>
        </w:rPr>
        <w:t>.</w:t>
      </w:r>
      <w:r>
        <w:rPr>
          <w:rFonts w:hint="eastAsia" w:ascii="仿宋" w:hAnsi="仿宋" w:eastAsia="仿宋" w:cs="Times New Roman"/>
          <w:b/>
          <w:sz w:val="28"/>
          <w:szCs w:val="28"/>
        </w:rPr>
        <w:t>修改形成征求意见稿</w:t>
      </w:r>
    </w:p>
    <w:p>
      <w:pPr>
        <w:spacing w:line="58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在前期工作的基础上，起草工作组组织相关单位和专家于</w:t>
      </w:r>
      <w:r>
        <w:rPr>
          <w:rFonts w:ascii="仿宋" w:hAnsi="仿宋" w:eastAsia="仿宋" w:cs="Times New Roman"/>
          <w:sz w:val="28"/>
          <w:szCs w:val="28"/>
        </w:rPr>
        <w:t>2019年8月在</w:t>
      </w:r>
      <w:r>
        <w:rPr>
          <w:rFonts w:hint="eastAsia" w:ascii="仿宋" w:hAnsi="仿宋" w:eastAsia="仿宋" w:cs="Times New Roman"/>
          <w:sz w:val="28"/>
          <w:szCs w:val="28"/>
        </w:rPr>
        <w:t>广西庚源香料有限责任公司</w:t>
      </w:r>
      <w:r>
        <w:rPr>
          <w:rFonts w:ascii="仿宋" w:hAnsi="仿宋" w:eastAsia="仿宋" w:cs="Times New Roman"/>
          <w:sz w:val="28"/>
          <w:szCs w:val="28"/>
        </w:rPr>
        <w:t>召开标准起草工作会。与会成员认真讨论《肉桂油生产技术规程》标准讨论稿后，根据讨论结果修改形成了《肉桂油生产技术规程》征求意见稿及编制说明。会议同时讨论了下一阶段征求意见的单位和专家名单。</w:t>
      </w:r>
    </w:p>
    <w:p>
      <w:pPr>
        <w:spacing w:line="580" w:lineRule="exact"/>
        <w:jc w:val="left"/>
        <w:rPr>
          <w:rFonts w:ascii="黑体" w:hAnsi="黑体" w:eastAsia="黑体" w:cs="Times New Roman"/>
          <w:sz w:val="30"/>
          <w:szCs w:val="30"/>
        </w:rPr>
      </w:pPr>
      <w:r>
        <w:rPr>
          <w:rFonts w:hint="eastAsia" w:ascii="黑体" w:hAnsi="黑体" w:eastAsia="黑体" w:cs="Times New Roman"/>
          <w:sz w:val="30"/>
          <w:szCs w:val="30"/>
        </w:rPr>
        <w:t>四、标准制定原则</w:t>
      </w:r>
    </w:p>
    <w:p>
      <w:pPr>
        <w:spacing w:line="58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1</w:t>
      </w:r>
      <w:r>
        <w:rPr>
          <w:rFonts w:ascii="仿宋" w:hAnsi="仿宋" w:eastAsia="仿宋" w:cs="Times New Roman"/>
          <w:sz w:val="28"/>
          <w:szCs w:val="28"/>
        </w:rPr>
        <w:t>. 先进性：该生产技术规程达到较高水平。</w:t>
      </w:r>
    </w:p>
    <w:p>
      <w:pPr>
        <w:spacing w:line="58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2</w:t>
      </w:r>
      <w:r>
        <w:rPr>
          <w:rFonts w:ascii="仿宋" w:hAnsi="仿宋" w:eastAsia="仿宋" w:cs="Times New Roman"/>
          <w:sz w:val="28"/>
          <w:szCs w:val="28"/>
        </w:rPr>
        <w:t>. 适用性：与当前肉桂油相关产品实际生产和社会经济状况紧密结合，要适应肉桂油产业发展的要求。</w:t>
      </w:r>
    </w:p>
    <w:p>
      <w:pPr>
        <w:spacing w:line="58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3</w:t>
      </w:r>
      <w:r>
        <w:rPr>
          <w:rFonts w:ascii="仿宋" w:hAnsi="仿宋" w:eastAsia="仿宋" w:cs="Times New Roman"/>
          <w:sz w:val="28"/>
          <w:szCs w:val="28"/>
        </w:rPr>
        <w:t>. 可操作性：符合我国目前生产设备和试剂、材料的供应条件。</w:t>
      </w:r>
    </w:p>
    <w:p>
      <w:pPr>
        <w:spacing w:line="580" w:lineRule="exact"/>
        <w:ind w:firstLine="560" w:firstLineChars="200"/>
        <w:jc w:val="left"/>
        <w:rPr>
          <w:rFonts w:ascii="仿宋" w:hAnsi="仿宋" w:eastAsia="仿宋" w:cs="Times New Roman"/>
          <w:sz w:val="28"/>
          <w:szCs w:val="28"/>
        </w:rPr>
      </w:pPr>
      <w:r>
        <w:rPr>
          <w:rFonts w:hint="eastAsia" w:ascii="仿宋" w:hAnsi="仿宋" w:eastAsia="仿宋" w:cs="Times New Roman"/>
          <w:sz w:val="28"/>
          <w:szCs w:val="28"/>
        </w:rPr>
        <w:t>4</w:t>
      </w:r>
      <w:r>
        <w:rPr>
          <w:rFonts w:ascii="仿宋" w:hAnsi="仿宋" w:eastAsia="仿宋" w:cs="Times New Roman"/>
          <w:sz w:val="28"/>
          <w:szCs w:val="28"/>
        </w:rPr>
        <w:t>. 实用性：符合生产从业人员的技术水平，能被国内主要的生产厂家所使用并达到所规定的要求，要有利于提高肉桂油产品质量。</w:t>
      </w:r>
    </w:p>
    <w:p>
      <w:pPr>
        <w:spacing w:line="580" w:lineRule="exact"/>
        <w:jc w:val="left"/>
        <w:rPr>
          <w:rFonts w:ascii="黑体" w:hAnsi="黑体" w:eastAsia="黑体" w:cs="Times New Roman"/>
          <w:sz w:val="28"/>
          <w:szCs w:val="28"/>
        </w:rPr>
      </w:pPr>
      <w:r>
        <w:rPr>
          <w:rFonts w:hint="eastAsia" w:ascii="黑体" w:hAnsi="黑体" w:eastAsia="黑体" w:cs="Times New Roman"/>
          <w:sz w:val="28"/>
          <w:szCs w:val="28"/>
        </w:rPr>
        <w:t>五、标准主要内容及依据来源</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广西地方标准《肉桂油生产技术规范》主要章节内容包括：</w:t>
      </w:r>
      <w:r>
        <w:rPr>
          <w:rFonts w:hint="eastAsia" w:ascii="仿宋" w:hAnsi="仿宋" w:eastAsia="仿宋" w:cs="Times New Roman"/>
          <w:sz w:val="28"/>
          <w:szCs w:val="28"/>
        </w:rPr>
        <w:t>术语和定义、原料要求、生产工艺、质量要求、标志、包装、运输和贮存</w:t>
      </w:r>
      <w:r>
        <w:rPr>
          <w:rFonts w:hint="eastAsia" w:ascii="仿宋" w:hAnsi="仿宋" w:eastAsia="仿宋"/>
          <w:sz w:val="28"/>
          <w:szCs w:val="28"/>
        </w:rPr>
        <w:t>。</w:t>
      </w:r>
    </w:p>
    <w:p>
      <w:pPr>
        <w:spacing w:line="580" w:lineRule="exact"/>
        <w:ind w:firstLine="562" w:firstLineChars="200"/>
        <w:jc w:val="left"/>
        <w:rPr>
          <w:rFonts w:ascii="仿宋" w:hAnsi="仿宋" w:eastAsia="仿宋"/>
          <w:b/>
          <w:sz w:val="28"/>
          <w:szCs w:val="28"/>
        </w:rPr>
      </w:pPr>
      <w:r>
        <w:rPr>
          <w:rFonts w:ascii="仿宋" w:hAnsi="仿宋" w:eastAsia="仿宋"/>
          <w:b/>
          <w:sz w:val="28"/>
          <w:szCs w:val="28"/>
        </w:rPr>
        <w:t>1.范围</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本文件规定了</w:t>
      </w:r>
      <w:r>
        <w:rPr>
          <w:rFonts w:hint="eastAsia" w:ascii="仿宋" w:hAnsi="仿宋" w:eastAsia="仿宋" w:cs="Times New Roman"/>
          <w:sz w:val="28"/>
          <w:szCs w:val="28"/>
        </w:rPr>
        <w:t>术语和定义、原料要求、生产工艺、质量要求、包装、运输和贮存</w:t>
      </w:r>
      <w:r>
        <w:rPr>
          <w:rFonts w:hint="eastAsia" w:ascii="仿宋" w:hAnsi="仿宋" w:eastAsia="仿宋"/>
          <w:sz w:val="28"/>
          <w:szCs w:val="28"/>
        </w:rPr>
        <w:t>。</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本文件适用于广西壮族自治区行政区域内以樟科植物肉桂</w:t>
      </w:r>
      <w:r>
        <w:rPr>
          <w:rFonts w:ascii="仿宋" w:hAnsi="仿宋" w:eastAsia="仿宋"/>
          <w:sz w:val="28"/>
          <w:szCs w:val="28"/>
        </w:rPr>
        <w:t>Cinnamomum cassia Presl</w:t>
      </w:r>
      <w:r>
        <w:rPr>
          <w:rFonts w:hint="eastAsia" w:ascii="仿宋" w:hAnsi="仿宋" w:eastAsia="仿宋"/>
          <w:sz w:val="28"/>
          <w:szCs w:val="28"/>
        </w:rPr>
        <w:t>的干燥枝、叶为</w:t>
      </w:r>
      <w:r>
        <w:rPr>
          <w:rFonts w:ascii="仿宋" w:hAnsi="仿宋" w:eastAsia="仿宋"/>
          <w:sz w:val="28"/>
          <w:szCs w:val="28"/>
        </w:rPr>
        <w:t>原料的肉桂油生产。</w:t>
      </w:r>
    </w:p>
    <w:p>
      <w:pPr>
        <w:spacing w:line="580" w:lineRule="exact"/>
        <w:ind w:firstLine="562" w:firstLineChars="200"/>
        <w:jc w:val="left"/>
        <w:rPr>
          <w:rFonts w:ascii="仿宋" w:hAnsi="仿宋" w:eastAsia="仿宋"/>
          <w:b/>
          <w:sz w:val="28"/>
          <w:szCs w:val="28"/>
        </w:rPr>
      </w:pPr>
      <w:r>
        <w:rPr>
          <w:rFonts w:ascii="仿宋" w:hAnsi="仿宋" w:eastAsia="仿宋"/>
          <w:b/>
          <w:sz w:val="28"/>
          <w:szCs w:val="28"/>
        </w:rPr>
        <w:t>2.术语和定义</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本章涵盖了肉桂、肉桂油术语的定义。</w:t>
      </w:r>
    </w:p>
    <w:p>
      <w:pPr>
        <w:spacing w:line="580" w:lineRule="exact"/>
        <w:ind w:firstLine="562" w:firstLineChars="200"/>
        <w:jc w:val="left"/>
        <w:rPr>
          <w:rFonts w:ascii="仿宋" w:hAnsi="仿宋" w:eastAsia="仿宋"/>
          <w:b/>
          <w:sz w:val="28"/>
          <w:szCs w:val="28"/>
        </w:rPr>
      </w:pPr>
      <w:r>
        <w:rPr>
          <w:rFonts w:ascii="仿宋" w:hAnsi="仿宋" w:eastAsia="仿宋"/>
          <w:b/>
          <w:sz w:val="28"/>
          <w:szCs w:val="28"/>
        </w:rPr>
        <w:t>3.原料要求</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本章对肉桂油生产原料“肉桂枝叶”进行了规定，对生产用水的执行标准进行了规定。</w:t>
      </w:r>
    </w:p>
    <w:p>
      <w:pPr>
        <w:spacing w:line="580" w:lineRule="exact"/>
        <w:ind w:firstLine="562" w:firstLineChars="200"/>
        <w:jc w:val="left"/>
        <w:rPr>
          <w:rFonts w:ascii="仿宋" w:hAnsi="仿宋" w:eastAsia="仿宋"/>
          <w:b/>
          <w:sz w:val="28"/>
          <w:szCs w:val="28"/>
        </w:rPr>
      </w:pPr>
      <w:r>
        <w:rPr>
          <w:rFonts w:ascii="仿宋" w:hAnsi="仿宋" w:eastAsia="仿宋"/>
          <w:b/>
          <w:sz w:val="28"/>
          <w:szCs w:val="28"/>
        </w:rPr>
        <w:t>4.生产工艺</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对生产前准备工作及生产工艺流程各个主要环节的操作和技术参数等进行了规定。</w:t>
      </w:r>
    </w:p>
    <w:p>
      <w:pPr>
        <w:spacing w:line="580" w:lineRule="exact"/>
        <w:ind w:firstLine="562" w:firstLineChars="200"/>
        <w:jc w:val="left"/>
        <w:rPr>
          <w:rFonts w:ascii="仿宋" w:hAnsi="仿宋" w:eastAsia="仿宋"/>
          <w:b/>
          <w:sz w:val="28"/>
          <w:szCs w:val="28"/>
        </w:rPr>
      </w:pPr>
      <w:r>
        <w:rPr>
          <w:rFonts w:ascii="仿宋" w:hAnsi="仿宋" w:eastAsia="仿宋"/>
          <w:b/>
          <w:sz w:val="28"/>
          <w:szCs w:val="28"/>
        </w:rPr>
        <w:t>5.质量要求</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对肉桂油产品的执行标准进行了规定。</w:t>
      </w:r>
    </w:p>
    <w:p>
      <w:pPr>
        <w:spacing w:line="580" w:lineRule="exact"/>
        <w:ind w:firstLine="562" w:firstLineChars="200"/>
        <w:jc w:val="left"/>
        <w:rPr>
          <w:rFonts w:ascii="仿宋" w:hAnsi="仿宋" w:eastAsia="仿宋"/>
          <w:b/>
          <w:sz w:val="28"/>
          <w:szCs w:val="28"/>
        </w:rPr>
      </w:pPr>
      <w:r>
        <w:rPr>
          <w:rFonts w:ascii="仿宋" w:hAnsi="仿宋" w:eastAsia="仿宋"/>
          <w:b/>
          <w:sz w:val="28"/>
          <w:szCs w:val="28"/>
        </w:rPr>
        <w:t>6</w:t>
      </w:r>
      <w:r>
        <w:rPr>
          <w:rFonts w:hint="eastAsia" w:ascii="仿宋" w:hAnsi="仿宋" w:eastAsia="仿宋"/>
          <w:b/>
          <w:sz w:val="28"/>
          <w:szCs w:val="28"/>
        </w:rPr>
        <w:t>.</w:t>
      </w:r>
      <w:r>
        <w:rPr>
          <w:rFonts w:ascii="仿宋" w:hAnsi="仿宋" w:eastAsia="仿宋"/>
          <w:b/>
          <w:sz w:val="28"/>
          <w:szCs w:val="28"/>
        </w:rPr>
        <w:t>标志、包装、运输、贮存</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本章对产品的标签执行标准、包装材料、运输和贮存过程的环境和技术要点进行了规定。</w:t>
      </w:r>
    </w:p>
    <w:p>
      <w:pPr>
        <w:spacing w:line="580" w:lineRule="exact"/>
        <w:jc w:val="left"/>
        <w:rPr>
          <w:rFonts w:ascii="仿宋" w:hAnsi="仿宋" w:eastAsia="仿宋"/>
          <w:sz w:val="30"/>
          <w:szCs w:val="30"/>
        </w:rPr>
      </w:pPr>
      <w:r>
        <w:rPr>
          <w:rFonts w:hint="eastAsia" w:ascii="仿宋" w:hAnsi="仿宋" w:eastAsia="仿宋"/>
          <w:sz w:val="30"/>
          <w:szCs w:val="30"/>
        </w:rPr>
        <w:t>六、国内同类标准制修订情况及与法律法规、强制性标准关系</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目前肉桂油生产技术规程无国际标准和国外先进标准可参照。本标准在制订过程中对以肉桂枝叶为原料的肉桂油产品的生产、质量和市场进行了充分的调查研究，并广泛征求和采纳了国内相关领域专家的意见和建议，所制定的标准适合我国国情，具有先进性、科学性、实用性和可操作性。</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标准各项技术指标和内容符合我国现行的有关方针、政策，并与相关法律、法规、标准吻合。</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本标准颁布实施后，填补我国肉桂油生产技术规程的空白，更有利于行业应用；与现行的法律、法规及其他国家标准没有矛盾。</w:t>
      </w:r>
    </w:p>
    <w:p>
      <w:pPr>
        <w:spacing w:line="580" w:lineRule="exact"/>
        <w:ind w:firstLine="600" w:firstLineChars="200"/>
        <w:outlineLvl w:val="0"/>
        <w:rPr>
          <w:rFonts w:ascii="黑体" w:hAnsi="黑体" w:eastAsia="黑体"/>
          <w:sz w:val="30"/>
          <w:szCs w:val="30"/>
        </w:rPr>
      </w:pPr>
      <w:bookmarkStart w:id="0" w:name="_Toc55233652"/>
      <w:r>
        <w:rPr>
          <w:rFonts w:hint="eastAsia" w:ascii="黑体" w:hAnsi="黑体" w:eastAsia="黑体"/>
          <w:sz w:val="30"/>
          <w:szCs w:val="30"/>
          <w:lang w:eastAsia="zh-CN"/>
        </w:rPr>
        <w:t>七</w:t>
      </w:r>
      <w:bookmarkStart w:id="1" w:name="_GoBack"/>
      <w:bookmarkEnd w:id="1"/>
      <w:r>
        <w:rPr>
          <w:rFonts w:hint="eastAsia" w:ascii="黑体" w:hAnsi="黑体" w:eastAsia="黑体"/>
          <w:sz w:val="30"/>
          <w:szCs w:val="30"/>
        </w:rPr>
        <w:t>、</w:t>
      </w:r>
      <w:bookmarkEnd w:id="0"/>
      <w:r>
        <w:rPr>
          <w:rFonts w:hint="eastAsia" w:ascii="黑体" w:hAnsi="黑体" w:eastAsia="黑体"/>
          <w:sz w:val="30"/>
          <w:szCs w:val="30"/>
        </w:rPr>
        <w:t>重大分歧意见的处理经过和依据</w:t>
      </w:r>
    </w:p>
    <w:p>
      <w:pPr>
        <w:spacing w:line="580" w:lineRule="exact"/>
        <w:ind w:firstLine="560" w:firstLineChars="200"/>
        <w:jc w:val="left"/>
        <w:rPr>
          <w:rFonts w:ascii="仿宋" w:hAnsi="仿宋" w:eastAsia="仿宋"/>
          <w:sz w:val="28"/>
          <w:szCs w:val="28"/>
        </w:rPr>
      </w:pPr>
      <w:r>
        <w:rPr>
          <w:rFonts w:hint="eastAsia" w:ascii="仿宋" w:hAnsi="仿宋" w:eastAsia="仿宋"/>
          <w:sz w:val="28"/>
          <w:szCs w:val="28"/>
        </w:rPr>
        <w:t>本标准研制过程中无重大分歧意见。</w:t>
      </w:r>
    </w:p>
    <w:p>
      <w:pPr>
        <w:spacing w:line="580" w:lineRule="exact"/>
        <w:ind w:firstLine="560" w:firstLineChars="200"/>
        <w:jc w:val="right"/>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广西地方标准</w:t>
      </w:r>
      <w:r>
        <w:rPr>
          <w:rFonts w:ascii="仿宋" w:hAnsi="仿宋" w:eastAsia="仿宋"/>
          <w:sz w:val="28"/>
          <w:szCs w:val="28"/>
        </w:rPr>
        <w:t>《肉桂油生产技术规程》</w:t>
      </w:r>
    </w:p>
    <w:p>
      <w:pPr>
        <w:spacing w:line="580" w:lineRule="exact"/>
        <w:ind w:firstLine="560" w:firstLineChars="200"/>
        <w:jc w:val="cente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标准编制工作组</w:t>
      </w:r>
    </w:p>
    <w:p>
      <w:pPr>
        <w:spacing w:line="580" w:lineRule="exact"/>
        <w:ind w:firstLine="560" w:firstLineChars="200"/>
        <w:jc w:val="cente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202</w:t>
      </w:r>
      <w:r>
        <w:rPr>
          <w:rFonts w:ascii="仿宋" w:hAnsi="仿宋" w:eastAsia="仿宋"/>
          <w:sz w:val="28"/>
          <w:szCs w:val="28"/>
        </w:rPr>
        <w:t>3</w:t>
      </w:r>
      <w:r>
        <w:rPr>
          <w:rFonts w:hint="eastAsia" w:ascii="仿宋" w:hAnsi="仿宋" w:eastAsia="仿宋"/>
          <w:sz w:val="28"/>
          <w:szCs w:val="28"/>
        </w:rPr>
        <w:t>年</w:t>
      </w:r>
      <w:r>
        <w:rPr>
          <w:rFonts w:ascii="仿宋" w:hAnsi="仿宋" w:eastAsia="仿宋"/>
          <w:sz w:val="28"/>
          <w:szCs w:val="28"/>
        </w:rPr>
        <w:t>3</w:t>
      </w:r>
      <w:r>
        <w:rPr>
          <w:rFonts w:hint="eastAsia" w:ascii="仿宋" w:hAnsi="仿宋" w:eastAsia="仿宋"/>
          <w:sz w:val="28"/>
          <w:szCs w:val="28"/>
        </w:rPr>
        <w:t>月</w:t>
      </w:r>
      <w:r>
        <w:rPr>
          <w:rFonts w:ascii="仿宋" w:hAnsi="仿宋" w:eastAsia="仿宋"/>
          <w:sz w:val="28"/>
          <w:szCs w:val="28"/>
        </w:rPr>
        <w:t>13</w:t>
      </w:r>
      <w:r>
        <w:rPr>
          <w:rFonts w:hint="eastAsia" w:ascii="仿宋" w:hAnsi="仿宋" w:eastAsia="仿宋"/>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中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方正小标宋_GBK">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汉仪仿宋S">
    <w:panose1 w:val="00020600040101000101"/>
    <w:charset w:val="86"/>
    <w:family w:val="auto"/>
    <w:pitch w:val="default"/>
    <w:sig w:usb0="A00002BF" w:usb1="38CF7CFA" w:usb2="00000016" w:usb3="00000000" w:csb0="0004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F1E0B"/>
    <w:rsid w:val="00030F56"/>
    <w:rsid w:val="00040DAB"/>
    <w:rsid w:val="000A1714"/>
    <w:rsid w:val="000B07C4"/>
    <w:rsid w:val="00146962"/>
    <w:rsid w:val="001F0087"/>
    <w:rsid w:val="0021515B"/>
    <w:rsid w:val="00225708"/>
    <w:rsid w:val="002319A4"/>
    <w:rsid w:val="00273E4E"/>
    <w:rsid w:val="00287E80"/>
    <w:rsid w:val="0029305E"/>
    <w:rsid w:val="002F1E6B"/>
    <w:rsid w:val="00316C0B"/>
    <w:rsid w:val="00325123"/>
    <w:rsid w:val="0036798B"/>
    <w:rsid w:val="00376D5E"/>
    <w:rsid w:val="003C4B6B"/>
    <w:rsid w:val="003E7E68"/>
    <w:rsid w:val="003F405C"/>
    <w:rsid w:val="004132A5"/>
    <w:rsid w:val="004509D4"/>
    <w:rsid w:val="00453760"/>
    <w:rsid w:val="004760C8"/>
    <w:rsid w:val="00490407"/>
    <w:rsid w:val="004A0A9B"/>
    <w:rsid w:val="004A4CD3"/>
    <w:rsid w:val="004C6101"/>
    <w:rsid w:val="004F58C7"/>
    <w:rsid w:val="00507479"/>
    <w:rsid w:val="005475C0"/>
    <w:rsid w:val="0054762A"/>
    <w:rsid w:val="00564015"/>
    <w:rsid w:val="005C574F"/>
    <w:rsid w:val="005E6319"/>
    <w:rsid w:val="006375CD"/>
    <w:rsid w:val="00647BC6"/>
    <w:rsid w:val="0066163C"/>
    <w:rsid w:val="00686D00"/>
    <w:rsid w:val="00697E17"/>
    <w:rsid w:val="006C581C"/>
    <w:rsid w:val="006E124E"/>
    <w:rsid w:val="006F1E0B"/>
    <w:rsid w:val="00700563"/>
    <w:rsid w:val="00704640"/>
    <w:rsid w:val="007374D4"/>
    <w:rsid w:val="00757941"/>
    <w:rsid w:val="007C3FC4"/>
    <w:rsid w:val="008109AC"/>
    <w:rsid w:val="0082399B"/>
    <w:rsid w:val="00826182"/>
    <w:rsid w:val="008625F6"/>
    <w:rsid w:val="00865A48"/>
    <w:rsid w:val="00874F43"/>
    <w:rsid w:val="008A515B"/>
    <w:rsid w:val="008F6A02"/>
    <w:rsid w:val="0095210B"/>
    <w:rsid w:val="00952FBB"/>
    <w:rsid w:val="009573FC"/>
    <w:rsid w:val="00984346"/>
    <w:rsid w:val="009D729F"/>
    <w:rsid w:val="009E75A2"/>
    <w:rsid w:val="00A11860"/>
    <w:rsid w:val="00AC3EEC"/>
    <w:rsid w:val="00AF4ABB"/>
    <w:rsid w:val="00B52700"/>
    <w:rsid w:val="00B55495"/>
    <w:rsid w:val="00B6202F"/>
    <w:rsid w:val="00B8296A"/>
    <w:rsid w:val="00BD2F41"/>
    <w:rsid w:val="00BE1FE5"/>
    <w:rsid w:val="00BE5D37"/>
    <w:rsid w:val="00C00282"/>
    <w:rsid w:val="00C572AC"/>
    <w:rsid w:val="00C629E3"/>
    <w:rsid w:val="00C9453B"/>
    <w:rsid w:val="00CD0D6C"/>
    <w:rsid w:val="00D368BD"/>
    <w:rsid w:val="00D53923"/>
    <w:rsid w:val="00D6224E"/>
    <w:rsid w:val="00D70835"/>
    <w:rsid w:val="00D76C55"/>
    <w:rsid w:val="00D83116"/>
    <w:rsid w:val="00DE1C95"/>
    <w:rsid w:val="00E5532C"/>
    <w:rsid w:val="00E91D90"/>
    <w:rsid w:val="00EA1C5C"/>
    <w:rsid w:val="00EA7674"/>
    <w:rsid w:val="00EB5499"/>
    <w:rsid w:val="00EC6388"/>
    <w:rsid w:val="00ED5A7F"/>
    <w:rsid w:val="00ED6BD5"/>
    <w:rsid w:val="00F012AC"/>
    <w:rsid w:val="00F1126D"/>
    <w:rsid w:val="00F13E8E"/>
    <w:rsid w:val="00F51786"/>
    <w:rsid w:val="00F55B5A"/>
    <w:rsid w:val="00FA6E47"/>
    <w:rsid w:val="00FB0E9B"/>
    <w:rsid w:val="00FE47AD"/>
    <w:rsid w:val="00FF14B5"/>
    <w:rsid w:val="7F278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table" w:styleId="7">
    <w:name w:val="Table Grid"/>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8"/>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539</Words>
  <Characters>3076</Characters>
  <Lines>25</Lines>
  <Paragraphs>7</Paragraphs>
  <TotalTime>130</TotalTime>
  <ScaleCrop>false</ScaleCrop>
  <LinksUpToDate>false</LinksUpToDate>
  <CharactersWithSpaces>3608</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2023-03-13T10:20:00Z</dcterms:created>
  <dc:creator>微软用户</dc:creator>
  <cp:lastModifiedBy>朱俊荣</cp:lastModifiedBy>
  <dcterms:modified xsi:type="dcterms:W3CDTF">2023-03-27T09:01:48Z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