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黑体" w:hAnsi="黑体" w:eastAsia="黑体" w:cs="黑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864" w:firstLineChars="200"/>
        <w:textAlignment w:val="auto"/>
        <w:rPr>
          <w:rFonts w:hint="default" w:ascii="Times New Roman" w:hAnsi="Times New Roman" w:cs="Times New Roman"/>
          <w:sz w:val="44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36"/>
          <w:lang w:eastAsia="zh-CN"/>
        </w:rPr>
        <w:t>健康河北建设行动方案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</w:rPr>
      </w:pPr>
      <w:r>
        <w:rPr>
          <w:rFonts w:hint="default" w:ascii="Times New Roman" w:hAnsi="Times New Roman" w:eastAsia="楷体_GB2312" w:cs="Times New Roman"/>
          <w:b w:val="0"/>
          <w:bCs w:val="0"/>
        </w:rPr>
        <w:t>（2023</w:t>
      </w:r>
      <w:r>
        <w:rPr>
          <w:rFonts w:hint="default" w:ascii="Times New Roman" w:hAnsi="Times New Roman" w:eastAsia="楷体_GB2312" w:cs="Times New Roman"/>
          <w:b w:val="0"/>
          <w:bCs w:val="0"/>
          <w:lang w:eastAsia="zh-CN"/>
        </w:rPr>
        <w:t>—</w:t>
      </w:r>
      <w:r>
        <w:rPr>
          <w:rFonts w:hint="default" w:ascii="Times New Roman" w:hAnsi="Times New Roman" w:eastAsia="楷体_GB2312" w:cs="Times New Roman"/>
          <w:b w:val="0"/>
          <w:bCs w:val="0"/>
        </w:rPr>
        <w:t>2027年）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仿宋_GB2312" w:hAnsi="仿宋_GB2312" w:eastAsia="仿宋_GB2312" w:cs="仿宋_GB2312"/>
        </w:rPr>
        <w:t>为全面贯彻党的二十大精神，认真落实省委十届三次全会部署，加快推进健康河北建设，全面打造中国式现代化卫生健康河北场景，制定本行动方案。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一、</w:t>
      </w:r>
      <w:r>
        <w:rPr>
          <w:rFonts w:hint="default" w:ascii="Times New Roman" w:hAnsi="Times New Roman" w:eastAsia="黑体" w:cs="Times New Roman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以习近平新时代中国特色社会主义思想为指导，全面贯彻党的二十大精神</w:t>
      </w:r>
      <w:r>
        <w:rPr>
          <w:rFonts w:hint="eastAsia" w:ascii="仿宋_GB2312" w:hAnsi="仿宋_GB2312" w:eastAsia="仿宋_GB2312" w:cs="仿宋_GB2312"/>
          <w:lang w:eastAsia="zh-CN"/>
        </w:rPr>
        <w:t>和</w:t>
      </w:r>
      <w:r>
        <w:rPr>
          <w:rFonts w:hint="eastAsia" w:ascii="仿宋_GB2312" w:hAnsi="仿宋_GB2312" w:eastAsia="仿宋_GB2312" w:cs="仿宋_GB2312"/>
        </w:rPr>
        <w:t>习近平总书记</w:t>
      </w:r>
      <w:r>
        <w:rPr>
          <w:rFonts w:hint="eastAsia" w:ascii="仿宋_GB2312" w:hAnsi="仿宋_GB2312" w:eastAsia="仿宋_GB2312" w:cs="仿宋_GB2312"/>
          <w:lang w:eastAsia="zh-CN"/>
        </w:rPr>
        <w:t>关于</w:t>
      </w:r>
      <w:r>
        <w:rPr>
          <w:rFonts w:hint="eastAsia" w:ascii="仿宋_GB2312" w:hAnsi="仿宋_GB2312" w:eastAsia="仿宋_GB2312" w:cs="仿宋_GB2312"/>
        </w:rPr>
        <w:t>卫生健康工作的重要指示批示，认真落实省委十届三次全会决策部署和省政府工作要求，坚持以人民健康为中心，牢固树立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 w:ascii="仿宋_GB2312" w:hAnsi="仿宋_GB2312" w:eastAsia="仿宋_GB2312" w:cs="仿宋_GB2312"/>
        </w:rPr>
        <w:t>大卫生、大健康</w:t>
      </w:r>
      <w:r>
        <w:rPr>
          <w:rFonts w:hint="eastAsia" w:ascii="仿宋_GB2312" w:hAnsi="仿宋_GB2312" w:eastAsia="仿宋_GB2312" w:cs="仿宋_GB2312"/>
          <w:lang w:eastAsia="zh-CN"/>
        </w:rPr>
        <w:t>”</w:t>
      </w:r>
      <w:r>
        <w:rPr>
          <w:rFonts w:hint="eastAsia" w:ascii="仿宋_GB2312" w:hAnsi="仿宋_GB2312" w:eastAsia="仿宋_GB2312" w:cs="仿宋_GB2312"/>
        </w:rPr>
        <w:t>理念，针对</w:t>
      </w:r>
      <w:r>
        <w:rPr>
          <w:rFonts w:hint="eastAsia" w:ascii="仿宋_GB2312" w:hAnsi="仿宋_GB2312" w:eastAsia="仿宋_GB2312" w:cs="仿宋_GB2312"/>
          <w:lang w:eastAsia="zh-CN"/>
        </w:rPr>
        <w:t>人民群众急难愁盼</w:t>
      </w:r>
      <w:r>
        <w:rPr>
          <w:rFonts w:hint="eastAsia" w:ascii="仿宋_GB2312" w:hAnsi="仿宋_GB2312" w:eastAsia="仿宋_GB2312" w:cs="仿宋_GB2312"/>
        </w:rPr>
        <w:t>问题，实施</w:t>
      </w:r>
      <w:r>
        <w:rPr>
          <w:rFonts w:hint="eastAsia" w:ascii="仿宋_GB2312" w:hAnsi="仿宋_GB2312" w:eastAsia="仿宋_GB2312" w:cs="仿宋_GB2312"/>
          <w:lang w:eastAsia="zh-CN"/>
        </w:rPr>
        <w:t>“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lang w:eastAsia="zh-CN"/>
        </w:rPr>
        <w:t>个专项</w:t>
      </w:r>
      <w:r>
        <w:rPr>
          <w:rFonts w:hint="eastAsia" w:ascii="仿宋_GB2312" w:hAnsi="仿宋_GB2312" w:eastAsia="仿宋_GB2312" w:cs="仿宋_GB2312"/>
        </w:rPr>
        <w:t>行动</w:t>
      </w:r>
      <w:r>
        <w:rPr>
          <w:rFonts w:hint="eastAsia" w:ascii="仿宋_GB2312" w:hAnsi="仿宋_GB2312" w:eastAsia="仿宋_GB2312" w:cs="仿宋_GB2312"/>
          <w:lang w:eastAsia="zh-CN"/>
        </w:rPr>
        <w:t>”，</w:t>
      </w:r>
      <w:r>
        <w:rPr>
          <w:rFonts w:hint="eastAsia" w:ascii="仿宋_GB2312" w:hAnsi="仿宋_GB2312" w:eastAsia="仿宋_GB2312" w:cs="仿宋_GB2312"/>
        </w:rPr>
        <w:t>促进以治病为中心向以健康为中心转变，提高人民健康水平，</w:t>
      </w:r>
      <w:r>
        <w:rPr>
          <w:rFonts w:hint="eastAsia" w:ascii="仿宋_GB2312" w:hAnsi="仿宋_GB2312" w:eastAsia="仿宋_GB2312" w:cs="仿宋_GB2312"/>
          <w:lang w:eastAsia="zh-CN"/>
        </w:rPr>
        <w:t>推动</w:t>
      </w:r>
      <w:r>
        <w:rPr>
          <w:rFonts w:hint="eastAsia" w:ascii="仿宋_GB2312" w:hAnsi="仿宋_GB2312" w:eastAsia="仿宋_GB2312" w:cs="仿宋_GB2312"/>
        </w:rPr>
        <w:t>卫生健康工作向更可持续、更加均衡、更高水平方向迈进，建成与实现中国式现代化奋斗目标相适应的卫生健康河北场景</w:t>
      </w:r>
      <w:r>
        <w:rPr>
          <w:rFonts w:hint="eastAsia" w:ascii="仿宋_GB2312" w:hAnsi="仿宋_GB2312" w:eastAsia="仿宋_GB2312" w:cs="仿宋_GB2312"/>
          <w:lang w:eastAsia="zh-CN"/>
        </w:rPr>
        <w:t>，为建设经济强省、美丽河北贡献力量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二、总体目标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</w:rPr>
        <w:t>到</w:t>
      </w:r>
      <w:r>
        <w:rPr>
          <w:rFonts w:hint="eastAsia" w:ascii="Times New Roman" w:hAnsi="Times New Roman" w:eastAsia="仿宋_GB2312" w:cs="仿宋_GB2312"/>
          <w:color w:val="000000"/>
          <w:szCs w:val="32"/>
        </w:rPr>
        <w:t>202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</w:rPr>
        <w:t>年，</w:t>
      </w:r>
      <w:r>
        <w:rPr>
          <w:rFonts w:hint="eastAsia" w:ascii="仿宋_GB2312" w:hAnsi="仿宋_GB2312" w:eastAsia="仿宋_GB2312" w:cs="仿宋_GB2312"/>
          <w:lang w:eastAsia="zh-CN"/>
        </w:rPr>
        <w:t>具有河北特色的医疗卫生制度进一步完善、定型，优质高效整合型卫生健康服务体系进一步完善，医疗卫生发展和健康服务整体水平保持国内先进水平，居民主要健康指标高于全国平均水平，</w:t>
      </w:r>
      <w:r>
        <w:rPr>
          <w:rFonts w:hint="eastAsia" w:ascii="仿宋_GB2312" w:hAnsi="仿宋_GB2312" w:eastAsia="仿宋_GB2312" w:cs="仿宋_GB2312"/>
        </w:rPr>
        <w:t>中国式现代化卫生健康河北场景基本建成</w:t>
      </w:r>
      <w:r>
        <w:rPr>
          <w:rFonts w:hint="eastAsia" w:ascii="仿宋_GB2312" w:hAnsi="仿宋_GB2312" w:eastAsia="仿宋_GB2312" w:cs="仿宋_GB231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——城乡居民健康水平进一步改善</w:t>
      </w:r>
      <w:r>
        <w:rPr>
          <w:rFonts w:hint="eastAsia" w:ascii="仿宋_GB2312" w:hAnsi="仿宋_GB2312" w:eastAsia="仿宋_GB2312" w:cs="仿宋_GB2312"/>
          <w:lang w:val="en-US" w:eastAsia="zh-CN"/>
        </w:rPr>
        <w:t>。到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lang w:val="en-US" w:eastAsia="zh-CN"/>
        </w:rPr>
        <w:t>年，全省人均预期寿命达到全国平均水平；到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lang w:val="en-US" w:eastAsia="zh-CN"/>
        </w:rPr>
        <w:t>年，全省人均预期寿命优于全国平均水平；到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lang w:val="en-US" w:eastAsia="zh-CN"/>
        </w:rPr>
        <w:t>年，全省人均预期寿命位居全国前列，孕产妇死亡率、婴儿死亡率和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lang w:val="en-US" w:eastAsia="zh-CN"/>
        </w:rPr>
        <w:t>岁以下儿童死亡率优于国家平均水平，居民健康素养水平达到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29%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——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医疗</w:t>
      </w:r>
      <w:r>
        <w:rPr>
          <w:rFonts w:hint="default" w:ascii="楷体" w:hAnsi="楷体" w:eastAsia="楷体" w:cs="楷体"/>
          <w:b w:val="0"/>
          <w:bCs w:val="0"/>
          <w:lang w:val="en-US" w:eastAsia="zh-CN"/>
        </w:rPr>
        <w:t>服务</w:t>
      </w:r>
      <w:r>
        <w:rPr>
          <w:rFonts w:hint="eastAsia" w:ascii="楷体" w:hAnsi="楷体" w:eastAsia="楷体" w:cs="楷体"/>
          <w:b w:val="0"/>
          <w:bCs w:val="0"/>
          <w:lang w:val="en-US" w:eastAsia="zh-CN"/>
        </w:rPr>
        <w:t>能力</w:t>
      </w:r>
      <w:r>
        <w:rPr>
          <w:rFonts w:hint="default" w:ascii="楷体" w:hAnsi="楷体" w:eastAsia="楷体" w:cs="楷体"/>
          <w:b w:val="0"/>
          <w:bCs w:val="0"/>
          <w:lang w:val="en-US" w:eastAsia="zh-CN"/>
        </w:rPr>
        <w:t>和质量大幅提升</w:t>
      </w:r>
      <w:r>
        <w:rPr>
          <w:rFonts w:hint="default" w:ascii="仿宋_GB2312" w:hAnsi="仿宋_GB2312" w:eastAsia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到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lang w:val="en-US" w:eastAsia="zh-CN"/>
        </w:rPr>
        <w:t>年，</w:t>
      </w:r>
      <w:r>
        <w:rPr>
          <w:rFonts w:hint="default" w:ascii="仿宋_GB2312" w:hAnsi="仿宋_GB2312" w:eastAsia="仿宋_GB2312" w:cs="仿宋_GB2312"/>
          <w:lang w:val="en-US" w:eastAsia="zh-CN"/>
        </w:rPr>
        <w:t>国家区域医疗中心</w:t>
      </w:r>
      <w:r>
        <w:rPr>
          <w:rFonts w:hint="eastAsia" w:ascii="仿宋_GB2312" w:hAnsi="仿宋_GB2312" w:eastAsia="仿宋_GB2312" w:cs="仿宋_GB2312"/>
          <w:lang w:val="en-US" w:eastAsia="zh-CN"/>
        </w:rPr>
        <w:t>作用初步显现，</w:t>
      </w:r>
      <w:r>
        <w:rPr>
          <w:rFonts w:hint="default" w:ascii="仿宋_GB2312" w:hAnsi="仿宋_GB2312" w:eastAsia="仿宋_GB2312" w:cs="仿宋_GB2312"/>
          <w:lang w:val="en-US" w:eastAsia="zh-CN"/>
        </w:rPr>
        <w:t>国家医学中心</w:t>
      </w:r>
      <w:r>
        <w:rPr>
          <w:rFonts w:hint="eastAsia" w:ascii="仿宋_GB2312" w:hAnsi="仿宋_GB2312" w:eastAsia="仿宋_GB2312" w:cs="仿宋_GB2312"/>
          <w:lang w:val="en-US" w:eastAsia="zh-CN"/>
        </w:rPr>
        <w:t>建设加快推进</w:t>
      </w:r>
      <w:r>
        <w:rPr>
          <w:rFonts w:hint="default" w:ascii="仿宋_GB2312" w:hAnsi="仿宋_GB2312" w:eastAsia="仿宋_GB2312" w:cs="仿宋_GB2312"/>
          <w:lang w:val="en-US" w:eastAsia="zh-CN"/>
        </w:rPr>
        <w:t>，省级区域医疗中心建设进度全面加快。</w:t>
      </w:r>
      <w:r>
        <w:rPr>
          <w:rFonts w:hint="eastAsia" w:ascii="仿宋_GB2312" w:hAnsi="仿宋_GB2312" w:eastAsia="仿宋_GB2312" w:cs="仿宋_GB2312"/>
          <w:lang w:val="en-US" w:eastAsia="zh-CN"/>
        </w:rPr>
        <w:t>建设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60</w:t>
      </w:r>
      <w:r>
        <w:rPr>
          <w:rFonts w:hint="default" w:ascii="仿宋_GB2312" w:hAnsi="仿宋_GB2312" w:eastAsia="仿宋_GB2312" w:cs="仿宋_GB2312"/>
          <w:lang w:val="en-US" w:eastAsia="zh-CN"/>
        </w:rPr>
        <w:t>个省级、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100</w:t>
      </w:r>
      <w:r>
        <w:rPr>
          <w:rFonts w:hint="default" w:ascii="仿宋_GB2312" w:hAnsi="仿宋_GB2312" w:eastAsia="仿宋_GB2312" w:cs="仿宋_GB2312"/>
          <w:lang w:val="en-US" w:eastAsia="zh-CN"/>
        </w:rPr>
        <w:t>个市级、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120</w:t>
      </w:r>
      <w:r>
        <w:rPr>
          <w:rFonts w:hint="default" w:ascii="仿宋_GB2312" w:hAnsi="仿宋_GB2312" w:eastAsia="仿宋_GB2312" w:cs="仿宋_GB2312"/>
          <w:lang w:val="en-US" w:eastAsia="zh-CN"/>
        </w:rPr>
        <w:t>个县级临床重点专科</w:t>
      </w:r>
      <w:r>
        <w:rPr>
          <w:rFonts w:hint="eastAsia" w:ascii="仿宋_GB2312" w:hAnsi="仿宋_GB2312" w:eastAsia="仿宋_GB2312" w:cs="仿宋_GB231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lang w:val="en-US" w:eastAsia="zh-CN"/>
        </w:rPr>
        <w:t>优质医疗资源供给持续扩容、区域布局更加均衡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lang w:val="en-US" w:eastAsia="zh-CN"/>
        </w:rPr>
        <w:t>远程医疗实现全覆盖，每个设区市至少建设</w:t>
      </w:r>
      <w:r>
        <w:rPr>
          <w:rFonts w:hint="eastAsia" w:ascii="Times New Roman" w:hAnsi="Times New Roman" w:eastAsia="仿宋_GB2312" w:cs="仿宋_GB2312"/>
          <w:color w:val="000000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lang w:val="en-US" w:eastAsia="zh-CN"/>
        </w:rPr>
        <w:t>家互联网医院，健康服务模式实现转型升级</w:t>
      </w:r>
      <w:r>
        <w:rPr>
          <w:rFonts w:hint="eastAsia" w:ascii="仿宋_GB2312" w:hAnsi="仿宋_GB2312" w:eastAsia="仿宋_GB2312" w:cs="仿宋_GB2312"/>
          <w:lang w:val="en-US" w:eastAsia="zh-CN"/>
        </w:rPr>
        <w:t>。到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lang w:val="en-US" w:eastAsia="zh-CN"/>
        </w:rPr>
        <w:t>年，</w:t>
      </w:r>
      <w:r>
        <w:rPr>
          <w:rFonts w:hint="default" w:ascii="仿宋_GB2312" w:hAnsi="仿宋_GB2312" w:eastAsia="仿宋_GB2312" w:cs="仿宋_GB2312"/>
          <w:lang w:val="en-US" w:eastAsia="zh-CN"/>
        </w:rPr>
        <w:t>紧密型县域医共体全面</w:t>
      </w:r>
      <w:r>
        <w:rPr>
          <w:rFonts w:hint="eastAsia" w:ascii="仿宋_GB2312" w:hAnsi="仿宋_GB2312" w:eastAsia="仿宋_GB2312" w:cs="仿宋_GB2312"/>
          <w:lang w:val="en-US" w:eastAsia="zh-CN"/>
        </w:rPr>
        <w:t>铺开</w:t>
      </w:r>
      <w:r>
        <w:rPr>
          <w:rFonts w:hint="default" w:ascii="仿宋_GB2312" w:hAnsi="仿宋_GB2312" w:eastAsia="仿宋_GB2312" w:cs="仿宋_GB2312"/>
          <w:lang w:val="en-US" w:eastAsia="zh-CN"/>
        </w:rPr>
        <w:t>，紧密型城市</w:t>
      </w:r>
      <w:r>
        <w:rPr>
          <w:rFonts w:hint="eastAsia" w:ascii="仿宋_GB2312" w:hAnsi="仿宋_GB2312" w:eastAsia="仿宋_GB2312" w:cs="仿宋_GB2312"/>
          <w:lang w:val="en-US" w:eastAsia="zh-CN"/>
        </w:rPr>
        <w:t>医疗集团建设</w:t>
      </w:r>
      <w:r>
        <w:rPr>
          <w:rFonts w:hint="default" w:ascii="仿宋_GB2312" w:hAnsi="仿宋_GB2312" w:eastAsia="仿宋_GB2312" w:cs="仿宋_GB2312"/>
          <w:lang w:val="en-US" w:eastAsia="zh-CN"/>
        </w:rPr>
        <w:t>扩面深化</w:t>
      </w:r>
      <w:r>
        <w:rPr>
          <w:rFonts w:hint="eastAsia" w:ascii="仿宋_GB2312" w:hAnsi="仿宋_GB2312" w:eastAsia="仿宋_GB2312" w:cs="仿宋_GB2312"/>
          <w:lang w:val="en-US" w:eastAsia="zh-CN"/>
        </w:rPr>
        <w:t>；全省每千人口床位数、医师数、护士数分别提高至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lang w:val="en-US" w:eastAsia="zh-CN"/>
        </w:rPr>
        <w:t>张、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lang w:val="en-US" w:eastAsia="zh-CN"/>
        </w:rPr>
        <w:t>人和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3.8</w:t>
      </w:r>
      <w:r>
        <w:rPr>
          <w:rFonts w:hint="eastAsia" w:ascii="仿宋_GB2312" w:hAnsi="仿宋_GB2312" w:eastAsia="仿宋_GB2312" w:cs="仿宋_GB2312"/>
          <w:lang w:val="en-US" w:eastAsia="zh-CN"/>
        </w:rPr>
        <w:t>人，达到国家平均水平</w:t>
      </w:r>
      <w:r>
        <w:rPr>
          <w:rFonts w:hint="default" w:ascii="仿宋_GB2312" w:hAnsi="仿宋_GB2312" w:eastAsia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lang w:val="en-US" w:eastAsia="zh-CN"/>
        </w:rPr>
        <w:t>年，</w:t>
      </w:r>
      <w:r>
        <w:rPr>
          <w:rFonts w:hint="default" w:ascii="仿宋_GB2312" w:hAnsi="仿宋_GB2312" w:eastAsia="仿宋_GB2312" w:cs="仿宋_GB2312"/>
          <w:lang w:val="en-US" w:eastAsia="zh-CN"/>
        </w:rPr>
        <w:t>以国家医学中心、国家区域医疗中心和省级区域医疗中心为引领</w:t>
      </w:r>
      <w:r>
        <w:rPr>
          <w:rFonts w:hint="eastAsia" w:ascii="仿宋_GB2312" w:hAnsi="仿宋_GB2312" w:eastAsia="仿宋_GB2312" w:cs="仿宋_GB2312"/>
          <w:lang w:val="en-US" w:eastAsia="zh-CN"/>
        </w:rPr>
        <w:t>（含中医类）</w:t>
      </w:r>
      <w:r>
        <w:rPr>
          <w:rFonts w:hint="default" w:ascii="仿宋_GB2312" w:hAnsi="仿宋_GB2312" w:eastAsia="仿宋_GB2312" w:cs="仿宋_GB2312"/>
          <w:lang w:val="en-US" w:eastAsia="zh-CN"/>
        </w:rPr>
        <w:t>，国家临床重点专科为依托，城市医</w:t>
      </w:r>
      <w:r>
        <w:rPr>
          <w:rFonts w:hint="eastAsia" w:ascii="仿宋_GB2312" w:hAnsi="仿宋_GB2312" w:eastAsia="仿宋_GB2312" w:cs="仿宋_GB2312"/>
          <w:lang w:val="en-US" w:eastAsia="zh-CN"/>
        </w:rPr>
        <w:t>疗集团</w:t>
      </w:r>
      <w:r>
        <w:rPr>
          <w:rFonts w:hint="default" w:ascii="仿宋_GB2312" w:hAnsi="仿宋_GB2312" w:eastAsia="仿宋_GB2312" w:cs="仿宋_GB2312"/>
          <w:lang w:val="en-US" w:eastAsia="zh-CN"/>
        </w:rPr>
        <w:t>、县域医共体、乡村一体化为载体的医疗资源阶梯配置格局</w:t>
      </w:r>
      <w:r>
        <w:rPr>
          <w:rFonts w:hint="eastAsia" w:ascii="仿宋_GB2312" w:hAnsi="仿宋_GB2312" w:eastAsia="仿宋_GB2312" w:cs="仿宋_GB2312"/>
          <w:lang w:val="en-US" w:eastAsia="zh-CN"/>
        </w:rPr>
        <w:t>基本形成。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lang w:val="en-US" w:eastAsia="zh-CN"/>
        </w:rPr>
        <w:t>分钟医疗服务圈全面建成，</w:t>
      </w:r>
      <w:r>
        <w:rPr>
          <w:rFonts w:hint="default" w:ascii="仿宋_GB2312" w:hAnsi="仿宋_GB2312" w:eastAsia="仿宋_GB2312" w:cs="仿宋_GB2312"/>
          <w:lang w:val="en-US" w:eastAsia="zh-CN"/>
        </w:rPr>
        <w:t>卫生健康服务公平可及、系统连续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lang w:val="en-US" w:eastAsia="zh-CN"/>
        </w:rPr>
        <w:t>——公共卫生安全保障能力显著增强</w:t>
      </w:r>
      <w:r>
        <w:rPr>
          <w:rFonts w:hint="eastAsia" w:ascii="仿宋_GB2312" w:hAnsi="仿宋_GB2312" w:eastAsia="仿宋_GB2312" w:cs="仿宋_GB2312"/>
          <w:lang w:val="en-US" w:eastAsia="zh-CN"/>
        </w:rPr>
        <w:t>。到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lang w:val="en-US" w:eastAsia="zh-CN"/>
        </w:rPr>
        <w:t>年，</w:t>
      </w:r>
      <w:r>
        <w:rPr>
          <w:rFonts w:hint="default" w:ascii="仿宋_GB2312" w:hAnsi="仿宋_GB2312" w:eastAsia="仿宋_GB2312" w:cs="仿宋_GB2312"/>
          <w:lang w:val="en-US" w:eastAsia="zh-CN"/>
        </w:rPr>
        <w:t>省、市、县三级疾控机构</w:t>
      </w:r>
      <w:r>
        <w:rPr>
          <w:rFonts w:hint="eastAsia" w:ascii="仿宋_GB2312" w:hAnsi="仿宋_GB2312" w:eastAsia="仿宋_GB2312" w:cs="仿宋_GB2312"/>
          <w:lang w:val="en-US" w:eastAsia="zh-CN"/>
        </w:rPr>
        <w:t>完成</w:t>
      </w:r>
      <w:r>
        <w:rPr>
          <w:rFonts w:hint="default" w:ascii="仿宋_GB2312" w:hAnsi="仿宋_GB2312" w:eastAsia="仿宋_GB2312" w:cs="仿宋_GB2312"/>
          <w:lang w:val="en-US" w:eastAsia="zh-CN"/>
        </w:rPr>
        <w:t>改革</w:t>
      </w:r>
      <w:r>
        <w:rPr>
          <w:rFonts w:hint="eastAsia" w:ascii="仿宋_GB2312" w:hAnsi="仿宋_GB2312" w:eastAsia="仿宋_GB2312" w:cs="仿宋_GB231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lang w:val="en-US" w:eastAsia="zh-CN"/>
        </w:rPr>
        <w:t>二级以上医疗机构全部设置公共卫生科，医防融合、高效协同机制基本建立。</w:t>
      </w:r>
      <w:r>
        <w:rPr>
          <w:rFonts w:hint="eastAsia" w:ascii="仿宋_GB2312" w:hAnsi="仿宋_GB2312" w:eastAsia="仿宋_GB2312" w:cs="仿宋_GB2312"/>
          <w:lang w:val="en-US" w:eastAsia="zh-CN"/>
        </w:rPr>
        <w:t>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lang w:val="en-US" w:eastAsia="zh-CN"/>
        </w:rPr>
        <w:t>年，</w:t>
      </w:r>
      <w:r>
        <w:rPr>
          <w:rFonts w:hint="default" w:ascii="仿宋_GB2312" w:hAnsi="仿宋_GB2312" w:eastAsia="仿宋_GB2312" w:cs="仿宋_GB2312"/>
          <w:lang w:val="en-US" w:eastAsia="zh-CN"/>
        </w:rPr>
        <w:t>建成以省</w:t>
      </w:r>
      <w:r>
        <w:rPr>
          <w:rFonts w:hint="eastAsia" w:ascii="仿宋_GB2312" w:hAnsi="仿宋_GB2312" w:eastAsia="仿宋_GB2312" w:cs="仿宋_GB231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lang w:val="en-US" w:eastAsia="zh-CN"/>
        </w:rPr>
        <w:t>县三级疾控中心和专科疾病防治机构为骨干、医疗机构为依托、基层医疗卫生机构为网底的现代化疾控体系“河北样板”。</w:t>
      </w:r>
      <w:r>
        <w:rPr>
          <w:rFonts w:hint="eastAsia" w:ascii="仿宋_GB2312" w:hAnsi="仿宋_GB2312" w:eastAsia="仿宋_GB2312" w:cs="仿宋_GB2312"/>
          <w:lang w:val="en-US" w:eastAsia="zh-CN"/>
        </w:rPr>
        <w:t>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lang w:val="en-US" w:eastAsia="zh-CN"/>
        </w:rPr>
        <w:t>年，</w:t>
      </w:r>
      <w:r>
        <w:rPr>
          <w:rFonts w:hint="default" w:ascii="仿宋_GB2312" w:hAnsi="仿宋_GB2312" w:eastAsia="仿宋_GB2312" w:cs="仿宋_GB2312"/>
          <w:lang w:val="en-US" w:eastAsia="zh-CN"/>
        </w:rPr>
        <w:t>智慧基本公卫服务生态基本实现，影响健康的危险因素得到有效治理</w:t>
      </w:r>
      <w:r>
        <w:rPr>
          <w:rFonts w:hint="eastAsia" w:ascii="仿宋_GB2312" w:hAnsi="仿宋_GB2312" w:eastAsia="仿宋_GB2312" w:cs="仿宋_GB2312"/>
          <w:lang w:val="en-US" w:eastAsia="zh-CN"/>
        </w:rPr>
        <w:t>，居民重大慢性病过早死亡率保持低于国家平均水平并逐年下降</w:t>
      </w:r>
      <w:r>
        <w:rPr>
          <w:rFonts w:hint="default" w:ascii="仿宋_GB2312" w:hAnsi="仿宋_GB2312" w:eastAsia="仿宋_GB2312" w:cs="仿宋_GB231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lang w:val="en-US" w:eastAsia="zh-CN"/>
        </w:rPr>
        <w:t>——人口长期发展更加均衡</w:t>
      </w:r>
      <w:r>
        <w:rPr>
          <w:rFonts w:hint="eastAsia" w:ascii="仿宋_GB2312" w:hAnsi="仿宋_GB2312" w:eastAsia="仿宋_GB2312" w:cs="仿宋_GB2312"/>
          <w:lang w:val="en-US" w:eastAsia="zh-CN"/>
        </w:rPr>
        <w:t>。到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lang w:val="en-US" w:eastAsia="zh-CN"/>
        </w:rPr>
        <w:t>年，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lang w:val="en-US" w:eastAsia="zh-CN"/>
        </w:rPr>
        <w:t>岁以下婴幼儿千人口托位数达到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2.9</w:t>
      </w:r>
      <w:r>
        <w:rPr>
          <w:rFonts w:hint="eastAsia" w:ascii="仿宋_GB2312" w:hAnsi="仿宋_GB2312" w:eastAsia="仿宋_GB2312" w:cs="仿宋_GB2312"/>
          <w:lang w:val="en-US" w:eastAsia="zh-CN"/>
        </w:rPr>
        <w:t>个以上。</w:t>
      </w:r>
      <w:r>
        <w:rPr>
          <w:rFonts w:hint="default" w:ascii="仿宋_GB2312" w:hAnsi="仿宋_GB2312" w:eastAsia="仿宋_GB2312" w:cs="仿宋_GB2312"/>
          <w:lang w:val="en-US" w:eastAsia="zh-CN"/>
        </w:rPr>
        <w:t>二级以上公立综合性医院老年医学科设置全覆盖、养老机构医疗服务全覆盖。</w:t>
      </w:r>
      <w:r>
        <w:rPr>
          <w:rFonts w:hint="eastAsia" w:ascii="仿宋_GB2312" w:hAnsi="仿宋_GB2312" w:eastAsia="仿宋_GB2312" w:cs="仿宋_GB2312"/>
          <w:lang w:val="en-US" w:eastAsia="zh-CN"/>
        </w:rPr>
        <w:t>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lang w:val="en-US" w:eastAsia="zh-CN"/>
        </w:rPr>
        <w:t>年，</w:t>
      </w:r>
      <w:r>
        <w:rPr>
          <w:rFonts w:hint="default" w:ascii="仿宋_GB2312" w:hAnsi="仿宋_GB2312" w:eastAsia="仿宋_GB2312" w:cs="仿宋_GB2312"/>
          <w:lang w:val="en-US" w:eastAsia="zh-CN"/>
        </w:rPr>
        <w:t>千人口托位数达到</w:t>
      </w:r>
      <w:r>
        <w:rPr>
          <w:rFonts w:hint="default" w:ascii="Times New Roman" w:hAnsi="Times New Roman" w:eastAsia="仿宋_GB2312" w:cs="仿宋_GB2312"/>
          <w:color w:val="000000"/>
          <w:szCs w:val="32"/>
        </w:rPr>
        <w:t>4.5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个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lang w:val="en-US" w:eastAsia="zh-CN"/>
        </w:rPr>
        <w:t>二级及以上综合性医院老年医学科</w:t>
      </w:r>
      <w:r>
        <w:rPr>
          <w:rFonts w:hint="eastAsia" w:ascii="仿宋_GB2312" w:hAnsi="仿宋_GB2312" w:eastAsia="仿宋_GB2312" w:cs="仿宋_GB2312"/>
          <w:lang w:val="en-US" w:eastAsia="zh-CN"/>
        </w:rPr>
        <w:t>设置</w:t>
      </w:r>
      <w:r>
        <w:rPr>
          <w:rFonts w:hint="default" w:ascii="仿宋_GB2312" w:hAnsi="仿宋_GB2312" w:eastAsia="仿宋_GB2312" w:cs="仿宋_GB2312"/>
          <w:lang w:val="en-US" w:eastAsia="zh-CN"/>
        </w:rPr>
        <w:t>达到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60%</w:t>
      </w:r>
      <w:r>
        <w:rPr>
          <w:rFonts w:hint="default" w:ascii="仿宋_GB2312" w:hAnsi="仿宋_GB2312" w:eastAsia="仿宋_GB2312" w:cs="仿宋_GB2312"/>
          <w:lang w:val="en-US" w:eastAsia="zh-CN"/>
        </w:rPr>
        <w:t>以上，安宁疗护病房覆盖所有县（市、区）</w:t>
      </w:r>
      <w:r>
        <w:rPr>
          <w:rFonts w:hint="eastAsia" w:ascii="仿宋_GB2312" w:hAnsi="仿宋_GB2312" w:eastAsia="仿宋_GB2312" w:cs="仿宋_GB2312"/>
          <w:lang w:val="en-US" w:eastAsia="zh-CN"/>
        </w:rPr>
        <w:t>。到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2027</w:t>
      </w:r>
      <w:r>
        <w:rPr>
          <w:rFonts w:hint="eastAsia" w:ascii="仿宋_GB2312" w:hAnsi="仿宋_GB2312" w:eastAsia="仿宋_GB2312" w:cs="仿宋_GB2312"/>
          <w:lang w:val="en-US" w:eastAsia="zh-CN"/>
        </w:rPr>
        <w:t>年，积极</w:t>
      </w:r>
      <w:r>
        <w:rPr>
          <w:rFonts w:hint="default" w:ascii="仿宋_GB2312" w:hAnsi="仿宋_GB2312" w:eastAsia="仿宋_GB2312" w:cs="仿宋_GB2312"/>
          <w:lang w:val="en-US" w:eastAsia="zh-CN"/>
        </w:rPr>
        <w:t>生育</w:t>
      </w:r>
      <w:r>
        <w:rPr>
          <w:rFonts w:hint="eastAsia" w:ascii="仿宋_GB2312" w:hAnsi="仿宋_GB2312" w:eastAsia="仿宋_GB2312" w:cs="仿宋_GB2312"/>
          <w:lang w:val="en-US" w:eastAsia="zh-CN"/>
        </w:rPr>
        <w:t>支持</w:t>
      </w:r>
      <w:r>
        <w:rPr>
          <w:rFonts w:hint="default" w:ascii="仿宋_GB2312" w:hAnsi="仿宋_GB2312" w:eastAsia="仿宋_GB2312" w:cs="仿宋_GB2312"/>
          <w:lang w:val="en-US" w:eastAsia="zh-CN"/>
        </w:rPr>
        <w:t>措施</w:t>
      </w:r>
      <w:r>
        <w:rPr>
          <w:rFonts w:hint="eastAsia" w:ascii="仿宋_GB2312" w:hAnsi="仿宋_GB2312" w:eastAsia="仿宋_GB2312" w:cs="仿宋_GB2312"/>
          <w:lang w:val="en-US" w:eastAsia="zh-CN"/>
        </w:rPr>
        <w:t>逐步完善</w:t>
      </w:r>
      <w:r>
        <w:rPr>
          <w:rFonts w:hint="default" w:ascii="仿宋_GB2312" w:hAnsi="仿宋_GB2312" w:eastAsia="仿宋_GB2312" w:cs="仿宋_GB231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lang w:val="en-US" w:eastAsia="zh-CN"/>
        </w:rPr>
        <w:t>育龄群众“不敢生不愿生”得到改善，生育水平适当提高。</w:t>
      </w:r>
      <w:r>
        <w:rPr>
          <w:rFonts w:hint="default" w:ascii="仿宋_GB2312" w:hAnsi="仿宋_GB2312" w:eastAsia="仿宋_GB2312" w:cs="仿宋_GB2312"/>
          <w:lang w:val="en-US" w:eastAsia="zh-CN"/>
        </w:rPr>
        <w:t>二级及以上综合性医院老年医学科</w:t>
      </w:r>
      <w:r>
        <w:rPr>
          <w:rFonts w:hint="eastAsia" w:ascii="仿宋_GB2312" w:hAnsi="仿宋_GB2312" w:eastAsia="仿宋_GB2312" w:cs="仿宋_GB2312"/>
          <w:lang w:val="en-US" w:eastAsia="zh-CN"/>
        </w:rPr>
        <w:t>设置</w:t>
      </w:r>
      <w:r>
        <w:rPr>
          <w:rFonts w:hint="default" w:ascii="仿宋_GB2312" w:hAnsi="仿宋_GB2312" w:eastAsia="仿宋_GB2312" w:cs="仿宋_GB2312"/>
          <w:lang w:val="en-US" w:eastAsia="zh-CN"/>
        </w:rPr>
        <w:t>达到</w:t>
      </w:r>
      <w:r>
        <w:rPr>
          <w:rFonts w:hint="default" w:ascii="Times New Roman" w:hAnsi="Times New Roman" w:eastAsia="仿宋_GB2312" w:cs="仿宋_GB2312"/>
          <w:color w:val="000000"/>
          <w:szCs w:val="32"/>
        </w:rPr>
        <w:t>70%</w:t>
      </w:r>
      <w:r>
        <w:rPr>
          <w:rFonts w:hint="eastAsia" w:ascii="仿宋_GB2312" w:hAnsi="仿宋_GB2312" w:eastAsia="仿宋_GB2312" w:cs="仿宋_GB231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lang w:val="en-US" w:eastAsia="zh-CN"/>
        </w:rPr>
        <w:t>老年友善医疗机构建设比例达到</w:t>
      </w:r>
      <w:r>
        <w:rPr>
          <w:rFonts w:hint="default" w:ascii="Times New Roman" w:hAnsi="Times New Roman" w:eastAsia="仿宋_GB2312" w:cs="仿宋_GB2312"/>
          <w:color w:val="000000"/>
          <w:szCs w:val="32"/>
        </w:rPr>
        <w:t>90%</w:t>
      </w:r>
      <w:r>
        <w:rPr>
          <w:rFonts w:hint="eastAsia" w:ascii="仿宋_GB2312" w:hAnsi="仿宋_GB2312" w:eastAsia="仿宋_GB2312" w:cs="仿宋_GB2312"/>
          <w:lang w:val="en-US" w:eastAsia="zh-CN"/>
        </w:rPr>
        <w:t>，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lang w:val="en-US" w:eastAsia="zh-CN"/>
        </w:rPr>
        <w:t>岁及以上老年人城乡社区规范健康管理服务率达到</w:t>
      </w:r>
      <w:r>
        <w:rPr>
          <w:rFonts w:hint="default" w:ascii="Times New Roman" w:hAnsi="Times New Roman" w:eastAsia="仿宋_GB2312" w:cs="仿宋_GB2312"/>
          <w:color w:val="000000"/>
          <w:szCs w:val="32"/>
          <w:lang w:val="en-US" w:eastAsia="zh-CN"/>
        </w:rPr>
        <w:t>65%</w:t>
      </w:r>
      <w:r>
        <w:rPr>
          <w:rFonts w:hint="default" w:ascii="仿宋_GB2312" w:hAnsi="仿宋_GB2312" w:eastAsia="仿宋_GB2312" w:cs="仿宋_GB231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——健康科技创新能力明显增强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2023</w:t>
      </w:r>
      <w:r>
        <w:rPr>
          <w:rFonts w:hint="default" w:ascii="Times New Roman" w:hAnsi="Times New Roman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2027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，卫生健康科技创新体系稳步完备，创新能力持续提升，成果转化能力实现大幅跃升，一批医学科技成果转移转化示范基地建成投用。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三、重点任务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24"/>
          <w:u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围绕全方位全周期维护和保障群众健康，大幅提高群众健康水平，着力实施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大专项行动。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（一）群众健康素养提升专项行动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。围绕健康影响因素，开展健康知识普及，加快营养餐厅改建，增强群众健康理念，引导群众合理膳食、戒烟限酒，提高自我健康管理能力。推进群众身边体育场馆设施全覆盖，打造“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1+N”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全民健身赛事活动体系，实施社会体育指导员制度，增进运动健身参与性。深入开展爱国卫生运动，开展健康城镇、健康单元建设，力争所有设区市创建成国家卫生城市，国家卫生县城数量占比达到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40%。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到</w:t>
      </w:r>
      <w:r>
        <w:rPr>
          <w:rFonts w:hint="default" w:ascii="Times New Roman" w:hAnsi="Times New Roman" w:eastAsia="仿宋_GB2312" w:cs="仿宋_GB2312"/>
          <w:kern w:val="2"/>
          <w:sz w:val="32"/>
          <w:szCs w:val="24"/>
          <w:lang w:val="en-US" w:eastAsia="zh-CN" w:bidi="ar-SA"/>
        </w:rPr>
        <w:t>2027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年，促进健康的支持性环境基本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形成</w:t>
      </w:r>
      <w:r>
        <w:rPr>
          <w:rFonts w:hint="default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（二）优质医疗资源扩容和均衡布局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专项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。坚持“建高地”、“促均衡”、“夯基础”并重，加快推进国家医学中心、 国家区域医疗中心、国家临床重点专科群和省级区域医疗中心建设，尽早发挥辐射带动作用。推动区域均衡发展，实现每千万人口设置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1-2个省办综合性医院、2个省办中医类医院，每100万至200万人口设置1-2个市办三级综合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医院（含中医类医院），每县设置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4"/>
          <w:u w:val="none"/>
          <w:lang w:val="en-US" w:eastAsia="zh-CN"/>
        </w:rPr>
        <w:t>个县办综合医院和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1个县办中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医类医院。持续提升基层医疗机构服务能力，全人群和重点人群签约服务覆盖率每年提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升1—3个百分点，县域内就诊率持续保持在90%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以上。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（三）医疗服务能力和质量提升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专项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。按照“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1年能起步、3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年见成效、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上台阶”目标，</w:t>
      </w:r>
      <w:r>
        <w:rPr>
          <w:rFonts w:hint="eastAsia" w:ascii="Times New Roman" w:hAnsi="Times New Roman" w:eastAsia="仿宋_GB2312" w:cs="仿宋_GB2312"/>
          <w:color w:val="000000"/>
          <w:kern w:val="2"/>
          <w:sz w:val="32"/>
          <w:szCs w:val="32"/>
          <w:lang w:val="en-US" w:eastAsia="zh-CN" w:bidi="ar-SA"/>
        </w:rPr>
        <w:t>强化体系创新、技术创新、模式创新、管理创新，探索出各级各类公立医院高质量发展的路径和模式。加强质控能力建设，实现省、市、县主要专业质控网络全覆盖，单病种质控更加优化，临床路径管理更加普及，质量管理水平逐步提升。以患者为中心，积极创新医疗服务模式，实现预约诊疗、日间诊疗和多学科诊疗模式覆盖范围阶梯式上涨。打通基础研究与临床诊疗转化链条，加快卫生健康科技成果转移转化，实现健康管理和疾病防诊治能力持续提升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（四）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加快发展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“互联网+医疗健康”专项行动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。以满足群众多层次就医需求为目标，加快推进二级以上公立医疗机构“一卡通（社保卡）”推广应用和互联网医院建设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。深化智慧医院建设，推进二级以上医院应用5G智慧医疗，推广远程会诊、预约转诊、互联网复诊、远程检查。健全远程医疗服务体系，快速实现远程医疗网络和二级以上医院远程医疗服务全覆盖。推动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机器人和医学人工智能在基础理论、共性关键技术、创新应用等方面实现新突破，</w:t>
      </w:r>
      <w:r>
        <w:rPr>
          <w:rFonts w:hint="eastAsia" w:ascii="Times New Roman" w:hAnsi="Times New Roman" w:eastAsia="仿宋_GB2312" w:cs="仿宋_GB2312"/>
          <w:color w:val="000000"/>
          <w:sz w:val="32"/>
          <w:szCs w:val="32"/>
          <w:u w:val="none"/>
          <w:lang w:val="en-US" w:eastAsia="zh-CN"/>
        </w:rPr>
        <w:t>加快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人工智能辅助诊断系统等新技术新产品广泛应用。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（五）重大疫情防控救治体系建设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专项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健全完善重大疫情多渠道监测预警和多点触发机制，持续做好应急处置队伍建设和资源储备，切实提升应急处突能力。落实落细新冠病毒感染“乙类乙管”各项要求，围绕“保健康、防重症、降病亡”目标，持续做好医疗救治能力提升和药品供应投放。加强多渠道“放哨”监测和重点人群分级分类健康管理，压实三级医院分区包干和对口帮扶责任。强化重点场所、重点机构、重要节点疫情防控，持续巩固疫情低流行水平态势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（六）公共卫生服务体系建设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专项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坚持医防协同、医防融合，加快完成省、市、县三级疾病预防控制局组建，全力推进现代化疾控体系建设，形成具有河北标签、全国影响力的疾控改革成果。持续推进公共卫生服务均等化，进一步优化服务项目、提高服务质量，不断提升群众感受度和满意度。继续保持重大传染病低流行态势和地方病消除状态，持续保持免疫规划疫苗高接种水平。加快可穿戴医疗设备配置，推进健康监测、远程诊疗等一站式进家服务，基本实现基层智慧医疗卫生服务生态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（七）影响健康重大疾病防治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专项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。全面落实“防、筛、管、治”四位一体的行动策略，控制健康危险因素，实施早筛早诊早治，推动高血压、糖尿病的治疗率、控制率持续提高，心脑血管疾病、癌症和慢性呼吸系统疾病死亡率持续下降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。坚持从源头控制和减少职业病危害，全面开展粉尘、化学毒物、噪声超标治理，督促企业改善劳动条件，鼓励创建“健康企业”，实现职业病危害项目申报率、工作场所职业病危害因素监测合格率大幅提高。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（八）中医药强省建设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专项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聚力打造“全省有高峰、各市有高地、县县有特色”的中医药优质服务网络。大力推进国家中医区域医疗中心、中医疫病防治基地、中医特色重点医院、中西医协同旗舰医院等重大项目建设。启动中医康复中心、中西医协同“旗舰”科室建设，推动二级以上综合医院建设中医临床科室，加快构建领军人才、优秀人才、骨干人才梯次衔接的人才队伍，为群众提供更高质量的中医药服务。坚持传承精华、守正创新，大幅提升中医药产业科研成果转移转化能力。弘扬“治未病”理念，积极推动中医药健康养生文化更好融入生产生活，让中医药成为健康生活方式的重要组成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（九）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促进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人口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均衡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发展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专项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聚焦改善人口结构，健全完善积极生育支持政策体系和服务管理制度。推动惠民政策与生育政策有效衔接，支持用人单位、社区提供托育服务，推动建设一批方便可及、价格可接受、质量有保障的托育服务机构。实施妇幼健康保障工程，扎实开展出生缺陷综合防治，规范人类辅助生殖技术应用，切实提高优生优育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（十）积极应对人口老龄化</w:t>
      </w: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专项</w:t>
      </w:r>
      <w:r>
        <w:rPr>
          <w:rFonts w:hint="default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行动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着眼“人人享有基本养老服务”，加快综合性医院设置老年医学科，推进老年医院、康复医院、护理院（中心、站）以及优抚医院等老年友善医疗机构建设，鼓励基层医疗机构拓展康复护理、医养结合、生活照料等服务功能，完善从专业机构到社区、家庭的长期照护服务模式，</w:t>
      </w:r>
      <w:r>
        <w:rPr>
          <w:rFonts w:hint="eastAsia" w:ascii="仿宋_GB2312" w:hAnsi="仿宋_GB2312" w:eastAsia="仿宋_GB2312" w:cs="仿宋_GB2312"/>
          <w:sz w:val="32"/>
          <w:szCs w:val="24"/>
          <w:u w:val="none"/>
        </w:rPr>
        <w:t>实现优质医疗服务向老年人身边、家边和周边聚集</w:t>
      </w:r>
      <w:r>
        <w:rPr>
          <w:rFonts w:hint="eastAsia" w:ascii="仿宋_GB2312" w:hAnsi="仿宋_GB2312" w:eastAsia="仿宋_GB2312" w:cs="仿宋_GB2312"/>
          <w:kern w:val="2"/>
          <w:sz w:val="32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eastAsia="zh-CN"/>
        </w:rPr>
        <w:t>四</w:t>
      </w:r>
      <w:r>
        <w:rPr>
          <w:rFonts w:hint="eastAsia" w:ascii="黑体" w:hAnsi="黑体" w:eastAsia="黑体" w:cs="黑体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（一）强化组织领导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</w:rPr>
        <w:t>各地要把保障人民健康放在优先发展战略地位，坚定不移推动卫生健康事业高质量发展，为建设经济强省、美丽河北提供坚强健康保障。成立</w:t>
      </w:r>
      <w:r>
        <w:rPr>
          <w:rFonts w:hint="default" w:ascii="仿宋_GB2312" w:hAnsi="仿宋_GB2312" w:eastAsia="仿宋_GB2312" w:cs="仿宋_GB2312"/>
          <w:lang w:eastAsia="zh-CN"/>
        </w:rPr>
        <w:t>健康河北建设</w:t>
      </w:r>
      <w:r>
        <w:rPr>
          <w:rFonts w:hint="default" w:ascii="仿宋_GB2312" w:hAnsi="仿宋_GB2312" w:eastAsia="仿宋_GB2312" w:cs="仿宋_GB2312"/>
        </w:rPr>
        <w:t>行动领导小组，由委主要负责同志任组长，</w:t>
      </w:r>
      <w:r>
        <w:rPr>
          <w:rFonts w:hint="default" w:ascii="仿宋_GB2312" w:hAnsi="仿宋_GB2312" w:eastAsia="仿宋_GB2312" w:cs="仿宋_GB2312"/>
          <w:lang w:eastAsia="zh-CN"/>
        </w:rPr>
        <w:t>负责统筹推进中国式现代化河北场景卫生健康领域相关工作落实，</w:t>
      </w:r>
      <w:r>
        <w:rPr>
          <w:rFonts w:hint="default" w:ascii="仿宋_GB2312" w:hAnsi="仿宋_GB2312" w:eastAsia="仿宋_GB2312" w:cs="仿宋_GB2312"/>
        </w:rPr>
        <w:t>发挥统筹领导、组织协调、监督实施作用。同时成立工作专班，负责制定行动方案，以及日常推进和协调工作。各地要成立相应组织机构，结合实际制定本地工作方案，推进各项工作任务落地落实。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（二）强化行动支撑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</w:rPr>
        <w:t>积极构建“政府主导、部门联动、社会协同、人人参与”多元共治格局，形成维护和促进健康强大合力。深化人才发展体制机制改革，完善落实人才队伍政策激励机制，增加全科医生、老年健康、职业健康、托育服务等相关领域人才比例，壮大复合型卫生健康人才队伍。加大财政支持和资金统筹力度，优化调整卫生健康资金支出结构，支持医疗卫生事业发展。加强科技创新，深入推进重大课题研究和医学成果转化，加快推进智慧医疗技术突破，促进数字化医疗推广普及，用信息技术为全民健康“护航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4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（三）强化项目引领</w:t>
      </w:r>
      <w:r>
        <w:rPr>
          <w:rFonts w:hint="eastAsia" w:ascii="仿宋_GB2312" w:hAnsi="仿宋_GB2312" w:eastAsia="仿宋_GB2312" w:cs="仿宋_GB2312"/>
        </w:rPr>
        <w:t>。</w:t>
      </w:r>
      <w:r>
        <w:rPr>
          <w:rFonts w:hint="eastAsia" w:ascii="仿宋_GB2312" w:hAnsi="仿宋_GB2312" w:eastAsia="仿宋_GB2312" w:cs="仿宋_GB2312"/>
          <w:lang w:val="en-US" w:eastAsia="zh-CN"/>
        </w:rPr>
        <w:t>把抓项目作为打基础、强功能、利长</w:t>
      </w:r>
      <w:r>
        <w:rPr>
          <w:rFonts w:hint="eastAsia" w:ascii="仿宋_GB2312" w:hAnsi="仿宋_GB2312" w:eastAsia="仿宋_GB2312" w:cs="仿宋_GB2312"/>
        </w:rPr>
        <w:t>远的有力支撑，聚焦卫生健康重点领域，支持存量、吸引增量，梯</w:t>
      </w:r>
      <w:r>
        <w:rPr>
          <w:rFonts w:hint="eastAsia" w:ascii="仿宋_GB2312" w:hAnsi="仿宋_GB2312" w:eastAsia="仿宋_GB2312" w:cs="仿宋_GB2312"/>
          <w:lang w:eastAsia="zh-CN"/>
        </w:rPr>
        <w:t>次</w:t>
      </w:r>
      <w:r>
        <w:rPr>
          <w:rFonts w:hint="eastAsia" w:ascii="仿宋_GB2312" w:hAnsi="仿宋_GB2312" w:eastAsia="仿宋_GB2312" w:cs="仿宋_GB2312"/>
        </w:rPr>
        <w:t>实施一批卫生健康领域重大民生项目。强化对重点项目引进、投产和运营调度，协调加大资金、土地、能源等相关要素资源和审批等保障服务力度，推动项目落地实施，以项目工作实效推动卫生健康事业高质量发展，助力实现健康河北美好图景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left="0" w:leftChars="0"/>
        <w:textAlignment w:val="auto"/>
        <w:rPr>
          <w:rFonts w:hint="eastAsia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24"/>
          <w:lang w:val="en-US" w:eastAsia="zh-CN" w:bidi="ar-SA"/>
        </w:rPr>
        <w:t>（四）强化考核评估</w:t>
      </w:r>
      <w:r>
        <w:rPr>
          <w:rFonts w:hint="eastAsia" w:ascii="仿宋_GB2312" w:hAnsi="仿宋_GB2312" w:eastAsia="仿宋_GB2312" w:cs="仿宋_GB231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</w:rPr>
        <w:t>按照任务项目化、项目清单化要求，建立工作台账，明确目标任务、具体项目、推进措施、责任领导、责任处室、完成时限等内容，倒排工期、挂图作战，并实行动态管理，做到完成一件、销号一项，新增一件、挂账一项，确保各项重点任务落地落实。建立健全督导检查和监测评估机制，对台账完成情况适时督导监测，对落实效果开展阶段评估。健全完善考核机制，全流程、全过程对标行动目标开展考核，发挥好考核“指挥棒”作用。尊重群众首创精神，注重发现各地工作中的好经验、好做法，并及时总结推广，形成长效工作机制。</w:t>
      </w:r>
      <w:bookmarkStart w:id="0" w:name="_GoBack"/>
      <w:bookmarkEnd w:id="0"/>
    </w:p>
    <w:sectPr>
      <w:footerReference r:id="rId3" w:type="default"/>
      <w:pgSz w:w="11906" w:h="16838"/>
      <w:pgMar w:top="1814" w:right="1588" w:bottom="1814" w:left="1588" w:header="851" w:footer="992" w:gutter="0"/>
      <w:pgNumType w:fmt="numberInDash"/>
      <w:cols w:space="0" w:num="1"/>
      <w:rtlGutter w:val="0"/>
      <w:docGrid w:type="linesAndChars" w:linePitch="60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1170"/>
        <w:tab w:val="right" w:pos="8700"/>
        <w:tab w:val="right" w:pos="9180"/>
        <w:tab w:val="clear" w:pos="8306"/>
      </w:tabs>
      <w:ind w:right="3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Style w:val="16"/>
                              <w:rFonts w:hint="eastAsia" w:hAnsi="仿宋_GB2312"/>
                              <w:sz w:val="32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Style w:val="16"/>
                        <w:rFonts w:hint="eastAsia" w:hAnsi="仿宋_GB2312"/>
                        <w:sz w:val="32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6"/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mY0MGFlMTk4NjllMjMwMTQ2ODE1ZjA3OTYwZWQifQ=="/>
  </w:docVars>
  <w:rsids>
    <w:rsidRoot w:val="15EA1378"/>
    <w:rsid w:val="005D653D"/>
    <w:rsid w:val="01526ABB"/>
    <w:rsid w:val="04587CAC"/>
    <w:rsid w:val="0DE12751"/>
    <w:rsid w:val="15EA1378"/>
    <w:rsid w:val="21E43DF6"/>
    <w:rsid w:val="255D7BDB"/>
    <w:rsid w:val="296E0005"/>
    <w:rsid w:val="36484355"/>
    <w:rsid w:val="3F937B3C"/>
    <w:rsid w:val="522D0101"/>
    <w:rsid w:val="52C92E36"/>
    <w:rsid w:val="530E3DF9"/>
    <w:rsid w:val="53755060"/>
    <w:rsid w:val="55444E5C"/>
    <w:rsid w:val="62682E72"/>
    <w:rsid w:val="6BF730AB"/>
    <w:rsid w:val="761C08F1"/>
    <w:rsid w:val="781B310F"/>
    <w:rsid w:val="79F31E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宋体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黑体"/>
      <w:kern w:val="44"/>
      <w:sz w:val="32"/>
    </w:rPr>
  </w:style>
  <w:style w:type="character" w:default="1" w:styleId="14">
    <w:name w:val="Default Paragraph Font"/>
    <w:link w:val="15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200" w:firstLineChars="200"/>
    </w:pPr>
  </w:style>
  <w:style w:type="paragraph" w:styleId="3">
    <w:name w:val="index 6"/>
    <w:basedOn w:val="1"/>
    <w:next w:val="1"/>
    <w:qFormat/>
    <w:uiPriority w:val="0"/>
    <w:pPr>
      <w:ind w:left="1000" w:leftChars="1000"/>
    </w:pPr>
  </w:style>
  <w:style w:type="paragraph" w:styleId="5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0"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44"/>
      <w:szCs w:val="32"/>
    </w:rPr>
  </w:style>
  <w:style w:type="paragraph" w:customStyle="1" w:styleId="10">
    <w:name w:val="112"/>
    <w:basedOn w:val="1"/>
    <w:qFormat/>
    <w:uiPriority w:val="0"/>
    <w:rPr>
      <w:rFonts w:ascii="Calibri" w:hAnsi="Calibri" w:eastAsia="仿宋" w:cs="Times New Roman"/>
      <w:sz w:val="32"/>
      <w:szCs w:val="22"/>
    </w:rPr>
  </w:style>
  <w:style w:type="paragraph" w:styleId="11">
    <w:name w:val="Body Text First Indent"/>
    <w:basedOn w:val="5"/>
    <w:next w:val="12"/>
    <w:qFormat/>
    <w:uiPriority w:val="0"/>
    <w:pPr>
      <w:ind w:firstLine="420" w:firstLineChars="100"/>
    </w:pPr>
  </w:style>
  <w:style w:type="paragraph" w:styleId="12">
    <w:name w:val="Body Text First Indent 2"/>
    <w:basedOn w:val="6"/>
    <w:qFormat/>
    <w:uiPriority w:val="0"/>
    <w:pPr>
      <w:tabs>
        <w:tab w:val="left" w:pos="945"/>
        <w:tab w:val="left" w:pos="1155"/>
      </w:tabs>
      <w:ind w:firstLine="420" w:firstLineChars="200"/>
    </w:pPr>
    <w:rPr>
      <w:rFonts w:ascii="Times New Roman"/>
    </w:rPr>
  </w:style>
  <w:style w:type="paragraph" w:customStyle="1" w:styleId="15">
    <w:name w:val="Char"/>
    <w:basedOn w:val="1"/>
    <w:link w:val="14"/>
    <w:qFormat/>
    <w:uiPriority w:val="0"/>
  </w:style>
  <w:style w:type="character" w:styleId="16">
    <w:name w:val="page number"/>
    <w:basedOn w:val="1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40</Pages>
  <Words>17373</Words>
  <Characters>17850</Characters>
  <Lines>0</Lines>
  <Paragraphs>0</Paragraphs>
  <TotalTime>5</TotalTime>
  <ScaleCrop>false</ScaleCrop>
  <LinksUpToDate>false</LinksUpToDate>
  <CharactersWithSpaces>17975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2020-07-06T03:19:00Z</dcterms:created>
  <dc:creator>90年代</dc:creator>
  <cp:lastModifiedBy>长牙齿的石头</cp:lastModifiedBy>
  <dcterms:modified xsi:type="dcterms:W3CDTF">2023-03-23T08:57:40Z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4FD40209583D4AB291B042E0DCD55E37</vt:lpwstr>
  </property>
</Properties>
</file>