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360" w:lineRule="auto"/>
        <w:rPr>
          <w:rFonts w:ascii="Times New Roman" w:hAnsi="Times New Roman"/>
          <w:color w:val="000000"/>
          <w:shd w:val="clear" w:color="auto" w:fill="FFFFFF"/>
        </w:rPr>
      </w:pPr>
      <w:r>
        <w:rPr>
          <w:rFonts w:ascii="Times New Roman" w:hAnsi="Times New Roman"/>
          <w:color w:val="000000"/>
          <w:shd w:val="clear" w:color="auto" w:fill="FFFFFF"/>
        </w:rPr>
        <w:t>附件3：</w:t>
      </w:r>
    </w:p>
    <w:p>
      <w:pPr>
        <w:pStyle w:val="5"/>
        <w:widowControl/>
        <w:shd w:val="clear" w:color="auto" w:fill="FFFFFF"/>
        <w:spacing w:before="0" w:beforeAutospacing="0" w:after="0" w:afterAutospacing="0" w:line="360" w:lineRule="auto"/>
        <w:ind w:firstLine="420"/>
        <w:jc w:val="center"/>
        <w:rPr>
          <w:rStyle w:val="11"/>
          <w:rFonts w:ascii="Times New Roman" w:hAnsi="Times New Roman"/>
          <w:b/>
          <w:sz w:val="24"/>
          <w:lang w:bidi="ar"/>
        </w:rPr>
      </w:pPr>
      <w:r>
        <w:rPr>
          <w:rStyle w:val="11"/>
          <w:rFonts w:ascii="Times New Roman" w:hAnsi="Times New Roman"/>
          <w:b/>
          <w:sz w:val="24"/>
          <w:lang w:bidi="ar"/>
        </w:rPr>
        <w:t>《江西省药物临床试验机构备案后首次监督检查标准》</w:t>
      </w:r>
    </w:p>
    <w:p>
      <w:pPr>
        <w:spacing w:line="360" w:lineRule="auto"/>
        <w:ind w:firstLine="480" w:firstLineChars="200"/>
        <w:rPr>
          <w:rFonts w:ascii="Times New Roman" w:hAnsi="Times New Roman"/>
          <w:color w:val="000000"/>
          <w:kern w:val="0"/>
          <w:sz w:val="24"/>
          <w:shd w:val="clear" w:color="auto" w:fill="FFFFFF"/>
          <w:lang w:bidi="ar"/>
        </w:rPr>
      </w:pPr>
      <w:r>
        <w:rPr>
          <w:rFonts w:ascii="Times New Roman" w:hAnsi="Times New Roman"/>
          <w:color w:val="000000"/>
          <w:kern w:val="0"/>
          <w:sz w:val="24"/>
          <w:shd w:val="clear" w:color="auto" w:fill="FFFFFF"/>
          <w:lang w:bidi="ar"/>
        </w:rPr>
        <w:t>一、检查涉及机构、伦理委员会和试验专业三个部分，包括17个检查环节、6</w:t>
      </w:r>
      <w:r>
        <w:rPr>
          <w:rFonts w:hint="eastAsia" w:ascii="Times New Roman" w:hAnsi="Times New Roman"/>
          <w:color w:val="000000"/>
          <w:kern w:val="0"/>
          <w:sz w:val="24"/>
          <w:shd w:val="clear" w:color="auto" w:fill="FFFFFF"/>
          <w:lang w:val="en-US" w:eastAsia="zh-CN" w:bidi="ar"/>
        </w:rPr>
        <w:t>9</w:t>
      </w:r>
      <w:r>
        <w:rPr>
          <w:rFonts w:ascii="Times New Roman" w:hAnsi="Times New Roman"/>
          <w:color w:val="000000"/>
          <w:kern w:val="0"/>
          <w:sz w:val="24"/>
          <w:shd w:val="clear" w:color="auto" w:fill="FFFFFF"/>
          <w:lang w:bidi="ar"/>
        </w:rPr>
        <w:t>个检查项目。其中关键项目</w:t>
      </w:r>
      <w:r>
        <w:rPr>
          <w:rFonts w:hint="eastAsia" w:ascii="Times New Roman" w:hAnsi="Times New Roman"/>
          <w:color w:val="000000"/>
          <w:kern w:val="0"/>
          <w:sz w:val="24"/>
          <w:shd w:val="clear" w:color="auto" w:fill="FFFFFF"/>
          <w:lang w:val="en-US" w:eastAsia="zh-CN" w:bidi="ar"/>
        </w:rPr>
        <w:t>11</w:t>
      </w:r>
      <w:r>
        <w:rPr>
          <w:rFonts w:ascii="Times New Roman" w:hAnsi="Times New Roman"/>
          <w:color w:val="000000"/>
          <w:kern w:val="0"/>
          <w:sz w:val="24"/>
          <w:shd w:val="clear" w:color="auto" w:fill="FFFFFF"/>
          <w:lang w:bidi="ar"/>
        </w:rPr>
        <w:t>项（标示为“</w:t>
      </w:r>
      <w:r>
        <w:rPr>
          <w:rFonts w:ascii="Segoe UI Symbol" w:hAnsi="Segoe UI Symbol" w:cs="Segoe UI Symbol"/>
          <w:color w:val="000000"/>
          <w:kern w:val="0"/>
          <w:sz w:val="24"/>
          <w:shd w:val="clear" w:color="auto" w:fill="FFFFFF"/>
          <w:lang w:bidi="ar"/>
        </w:rPr>
        <w:t>★★</w:t>
      </w:r>
      <w:r>
        <w:rPr>
          <w:rFonts w:ascii="Times New Roman" w:hAnsi="Times New Roman"/>
          <w:color w:val="000000"/>
          <w:kern w:val="0"/>
          <w:sz w:val="24"/>
          <w:shd w:val="clear" w:color="auto" w:fill="FFFFFF"/>
          <w:lang w:bidi="ar"/>
        </w:rPr>
        <w:t>”），重点项目2</w:t>
      </w:r>
      <w:r>
        <w:rPr>
          <w:rFonts w:hint="eastAsia" w:ascii="Times New Roman" w:hAnsi="Times New Roman"/>
          <w:color w:val="000000"/>
          <w:kern w:val="0"/>
          <w:sz w:val="24"/>
          <w:shd w:val="clear" w:color="auto" w:fill="FFFFFF"/>
          <w:lang w:val="en-US" w:eastAsia="zh-CN" w:bidi="ar"/>
        </w:rPr>
        <w:t>6</w:t>
      </w:r>
      <w:r>
        <w:rPr>
          <w:rFonts w:ascii="Times New Roman" w:hAnsi="Times New Roman"/>
          <w:color w:val="000000"/>
          <w:kern w:val="0"/>
          <w:sz w:val="24"/>
          <w:shd w:val="clear" w:color="auto" w:fill="FFFFFF"/>
          <w:lang w:bidi="ar"/>
        </w:rPr>
        <w:t>项（标示为“</w:t>
      </w:r>
      <w:r>
        <w:rPr>
          <w:rFonts w:ascii="Segoe UI Symbol" w:hAnsi="Segoe UI Symbol" w:cs="Segoe UI Symbol"/>
          <w:color w:val="000000"/>
          <w:kern w:val="0"/>
          <w:sz w:val="24"/>
          <w:shd w:val="clear" w:color="auto" w:fill="FFFFFF"/>
          <w:lang w:bidi="ar"/>
        </w:rPr>
        <w:t>★</w:t>
      </w:r>
      <w:r>
        <w:rPr>
          <w:rFonts w:ascii="Times New Roman" w:hAnsi="Times New Roman"/>
          <w:color w:val="000000"/>
          <w:kern w:val="0"/>
          <w:sz w:val="24"/>
          <w:shd w:val="clear" w:color="auto" w:fill="FFFFFF"/>
          <w:lang w:bidi="ar"/>
        </w:rPr>
        <w:t>”），一般项目（未标示项）32项。</w:t>
      </w:r>
    </w:p>
    <w:p>
      <w:pPr>
        <w:spacing w:line="360" w:lineRule="auto"/>
        <w:ind w:firstLine="480" w:firstLineChars="200"/>
        <w:rPr>
          <w:rFonts w:ascii="Times New Roman" w:hAnsi="Times New Roman"/>
          <w:color w:val="000000"/>
          <w:kern w:val="0"/>
          <w:sz w:val="24"/>
          <w:shd w:val="clear" w:color="auto" w:fill="FFFFFF"/>
          <w:lang w:bidi="ar"/>
        </w:rPr>
      </w:pPr>
      <w:r>
        <w:rPr>
          <w:rFonts w:ascii="Times New Roman" w:hAnsi="Times New Roman"/>
          <w:color w:val="000000"/>
          <w:kern w:val="0"/>
          <w:sz w:val="24"/>
          <w:shd w:val="clear" w:color="auto" w:fill="FFFFFF"/>
          <w:lang w:bidi="ar"/>
        </w:rPr>
        <w:t>二、检查中发现不符合要求的项目统称为“缺陷项目”。其中，关键项目不符合要求者为“严重缺陷”，重点项目不符合要求称为“主要缺陷”，一般项目不符合要求称为“一般缺陷”。</w:t>
      </w:r>
    </w:p>
    <w:p>
      <w:pPr>
        <w:spacing w:line="360" w:lineRule="auto"/>
        <w:ind w:firstLine="480" w:firstLineChars="200"/>
        <w:contextualSpacing/>
        <w:rPr>
          <w:rFonts w:ascii="Times New Roman" w:hAnsi="Times New Roman"/>
          <w:color w:val="000000"/>
          <w:kern w:val="0"/>
          <w:sz w:val="24"/>
          <w:shd w:val="clear" w:color="auto" w:fill="FFFFFF"/>
          <w:lang w:bidi="ar"/>
        </w:rPr>
      </w:pPr>
      <w:r>
        <w:rPr>
          <w:rFonts w:ascii="Times New Roman" w:hAnsi="Times New Roman"/>
          <w:color w:val="000000"/>
          <w:kern w:val="0"/>
          <w:sz w:val="24"/>
          <w:shd w:val="clear" w:color="auto" w:fill="FFFFFF"/>
          <w:lang w:bidi="ar"/>
        </w:rPr>
        <w:t>三、检查结果评定</w:t>
      </w:r>
    </w:p>
    <w:p>
      <w:pPr>
        <w:spacing w:line="360" w:lineRule="auto"/>
        <w:ind w:firstLine="480" w:firstLineChars="200"/>
        <w:contextualSpacing/>
        <w:rPr>
          <w:rFonts w:ascii="Times New Roman" w:hAnsi="Times New Roman"/>
          <w:color w:val="000000"/>
          <w:kern w:val="0"/>
          <w:sz w:val="24"/>
          <w:shd w:val="clear" w:color="auto" w:fill="FFFFFF"/>
          <w:lang w:bidi="ar"/>
        </w:rPr>
      </w:pPr>
      <w:r>
        <w:rPr>
          <w:rFonts w:ascii="Times New Roman" w:hAnsi="Times New Roman"/>
          <w:color w:val="000000"/>
          <w:kern w:val="0"/>
          <w:sz w:val="24"/>
          <w:shd w:val="clear" w:color="auto" w:fill="FFFFFF"/>
          <w:lang w:bidi="ar"/>
        </w:rPr>
        <w:t>检查结果按机构、伦理委员会、专业三部分分别评定。</w:t>
      </w:r>
    </w:p>
    <w:p>
      <w:pPr>
        <w:spacing w:line="360" w:lineRule="auto"/>
        <w:ind w:firstLine="480" w:firstLineChars="200"/>
        <w:contextualSpacing/>
        <w:rPr>
          <w:rFonts w:ascii="Times New Roman" w:hAnsi="Times New Roman"/>
          <w:color w:val="000000"/>
          <w:kern w:val="0"/>
          <w:sz w:val="24"/>
          <w:shd w:val="clear" w:color="auto" w:fill="FFFFFF"/>
          <w:lang w:bidi="ar"/>
        </w:rPr>
      </w:pPr>
      <w:r>
        <w:rPr>
          <w:rFonts w:ascii="Times New Roman" w:hAnsi="Times New Roman"/>
          <w:color w:val="000000"/>
          <w:kern w:val="0"/>
          <w:sz w:val="24"/>
          <w:shd w:val="clear" w:color="auto" w:fill="FFFFFF"/>
          <w:lang w:bidi="ar"/>
        </w:rPr>
        <w:t>（一）未发现严重缺陷和主要缺陷，发现的一般缺陷≤10%且检查结束前已整改到位，经综合研判认为对受试者安全和/或试验数据质量无影响或影响轻微，质量管理体系比较健全的，检查结论为符合要求。</w:t>
      </w:r>
    </w:p>
    <w:p>
      <w:pPr>
        <w:spacing w:line="360" w:lineRule="auto"/>
        <w:ind w:firstLine="480" w:firstLineChars="200"/>
        <w:contextualSpacing/>
        <w:rPr>
          <w:rFonts w:ascii="Times New Roman" w:hAnsi="Times New Roman"/>
          <w:color w:val="000000"/>
          <w:kern w:val="0"/>
          <w:sz w:val="24"/>
          <w:shd w:val="clear" w:color="auto" w:fill="FFFFFF"/>
          <w:lang w:bidi="ar"/>
        </w:rPr>
      </w:pPr>
      <w:r>
        <w:rPr>
          <w:rFonts w:ascii="Times New Roman" w:hAnsi="Times New Roman"/>
          <w:color w:val="000000"/>
          <w:kern w:val="0"/>
          <w:sz w:val="24"/>
          <w:shd w:val="clear" w:color="auto" w:fill="FFFFFF"/>
          <w:lang w:bidi="ar"/>
        </w:rPr>
        <w:t>（二）未发现严重缺陷项，主要缺陷≤10%或发现的一般缺陷≥10%且≤20%，经综合研判认为对受试者安全或试验数据质量有一定影响，但质量管理体系基本健全的，检查结论为基本符合要求。</w:t>
      </w:r>
    </w:p>
    <w:p>
      <w:pPr>
        <w:spacing w:line="360" w:lineRule="auto"/>
        <w:ind w:firstLine="480" w:firstLineChars="200"/>
        <w:contextualSpacing/>
        <w:rPr>
          <w:rFonts w:ascii="Times New Roman" w:hAnsi="Times New Roman"/>
          <w:color w:val="000000"/>
          <w:kern w:val="0"/>
          <w:sz w:val="24"/>
          <w:shd w:val="clear" w:color="auto" w:fill="FFFFFF"/>
          <w:lang w:bidi="ar"/>
        </w:rPr>
      </w:pPr>
      <w:r>
        <w:rPr>
          <w:rFonts w:ascii="Times New Roman" w:hAnsi="Times New Roman"/>
          <w:color w:val="000000"/>
          <w:kern w:val="0"/>
          <w:sz w:val="24"/>
          <w:shd w:val="clear" w:color="auto" w:fill="FFFFFF"/>
          <w:lang w:bidi="ar"/>
        </w:rPr>
        <w:t>（三）严重缺陷项1项以上，主要缺陷项＞10%或一般缺陷＞20%以上，经综合研判认为给受试者安全和/或试验数据质量带来严重风险的，检查结论为不符合要求。</w:t>
      </w:r>
    </w:p>
    <w:p>
      <w:pPr>
        <w:rPr>
          <w:rFonts w:ascii="Times New Roman" w:hAnsi="Times New Roman"/>
        </w:rPr>
      </w:pPr>
    </w:p>
    <w:p>
      <w:pPr>
        <w:pStyle w:val="2"/>
        <w:ind w:firstLine="210"/>
        <w:rPr>
          <w:rFonts w:ascii="Times New Roman" w:hAnsi="Times New Roman"/>
        </w:rPr>
        <w:sectPr>
          <w:pgSz w:w="11906" w:h="16838"/>
          <w:pgMar w:top="1440" w:right="1800" w:bottom="1440" w:left="1800" w:header="851" w:footer="992" w:gutter="0"/>
          <w:cols w:space="425" w:num="1"/>
          <w:docGrid w:type="lines" w:linePitch="312" w:charSpace="0"/>
        </w:sectPr>
      </w:pPr>
    </w:p>
    <w:p>
      <w:pPr>
        <w:jc w:val="center"/>
        <w:rPr>
          <w:rFonts w:ascii="Times New Roman" w:hAnsi="Times New Roman"/>
          <w:b/>
          <w:bCs/>
          <w:color w:val="000000"/>
          <w:sz w:val="30"/>
          <w:szCs w:val="30"/>
        </w:rPr>
      </w:pPr>
      <w:r>
        <w:rPr>
          <w:rFonts w:ascii="Times New Roman" w:hAnsi="Times New Roman"/>
          <w:b/>
          <w:bCs/>
          <w:color w:val="000000"/>
          <w:kern w:val="0"/>
          <w:sz w:val="30"/>
          <w:szCs w:val="30"/>
        </w:rPr>
        <w:t>A.</w:t>
      </w:r>
      <w:r>
        <w:rPr>
          <w:rFonts w:hint="eastAsia" w:ascii="Times New Roman" w:hAnsi="Times New Roman"/>
          <w:b/>
          <w:bCs/>
          <w:color w:val="000000"/>
          <w:kern w:val="0"/>
          <w:sz w:val="30"/>
          <w:szCs w:val="30"/>
        </w:rPr>
        <w:t>药物临床试验组织管理机构检查项目</w:t>
      </w:r>
    </w:p>
    <w:tbl>
      <w:tblPr>
        <w:tblStyle w:val="6"/>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5929"/>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06" w:type="dxa"/>
            <w:vAlign w:val="center"/>
          </w:tcPr>
          <w:p>
            <w:pPr>
              <w:widowControl/>
              <w:adjustRightInd w:val="0"/>
              <w:snapToGrid w:val="0"/>
              <w:jc w:val="center"/>
              <w:rPr>
                <w:rFonts w:ascii="Times New Roman" w:hAnsi="Times New Roman"/>
                <w:b/>
                <w:bCs/>
                <w:color w:val="auto"/>
                <w:kern w:val="0"/>
                <w:sz w:val="24"/>
              </w:rPr>
            </w:pPr>
            <w:bookmarkStart w:id="0" w:name="_GoBack"/>
            <w:r>
              <w:rPr>
                <w:rFonts w:hint="eastAsia" w:ascii="Times New Roman" w:hAnsi="Times New Roman"/>
                <w:b/>
                <w:bCs/>
                <w:color w:val="auto"/>
                <w:kern w:val="0"/>
                <w:sz w:val="24"/>
              </w:rPr>
              <w:t>检查环节</w:t>
            </w:r>
          </w:p>
        </w:tc>
        <w:tc>
          <w:tcPr>
            <w:tcW w:w="5929" w:type="dxa"/>
            <w:vAlign w:val="center"/>
          </w:tcPr>
          <w:p>
            <w:pPr>
              <w:widowControl/>
              <w:adjustRightInd w:val="0"/>
              <w:snapToGrid w:val="0"/>
              <w:jc w:val="center"/>
              <w:rPr>
                <w:rFonts w:ascii="Times New Roman" w:hAnsi="Times New Roman"/>
                <w:b/>
                <w:bCs/>
                <w:color w:val="auto"/>
                <w:kern w:val="0"/>
                <w:sz w:val="24"/>
              </w:rPr>
            </w:pPr>
            <w:r>
              <w:rPr>
                <w:rFonts w:hint="eastAsia" w:ascii="Times New Roman" w:hAnsi="Times New Roman"/>
                <w:b/>
                <w:bCs/>
                <w:color w:val="auto"/>
                <w:kern w:val="0"/>
                <w:sz w:val="24"/>
              </w:rPr>
              <w:t>检查项目</w:t>
            </w:r>
          </w:p>
        </w:tc>
        <w:tc>
          <w:tcPr>
            <w:tcW w:w="1488" w:type="dxa"/>
            <w:vAlign w:val="center"/>
          </w:tcPr>
          <w:p>
            <w:pPr>
              <w:widowControl/>
              <w:adjustRightInd w:val="0"/>
              <w:snapToGrid w:val="0"/>
              <w:ind w:left="34" w:leftChars="16"/>
              <w:jc w:val="center"/>
              <w:rPr>
                <w:rFonts w:ascii="Times New Roman" w:hAnsi="Times New Roman"/>
                <w:b/>
                <w:bCs/>
                <w:color w:val="auto"/>
                <w:kern w:val="0"/>
                <w:sz w:val="24"/>
              </w:rPr>
            </w:pPr>
            <w:r>
              <w:rPr>
                <w:rFonts w:hint="eastAsia" w:ascii="Times New Roman" w:hAnsi="Times New Roman"/>
                <w:b/>
                <w:color w:val="auto"/>
                <w:kern w:val="0"/>
                <w:sz w:val="24"/>
              </w:rPr>
              <w:t>项目分级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06" w:type="dxa"/>
            <w:vMerge w:val="restart"/>
          </w:tcPr>
          <w:p>
            <w:pPr>
              <w:widowControl/>
              <w:adjustRightInd w:val="0"/>
              <w:snapToGrid w:val="0"/>
              <w:rPr>
                <w:rFonts w:ascii="Times New Roman" w:hAnsi="Times New Roman"/>
                <w:bCs/>
                <w:color w:val="auto"/>
                <w:kern w:val="0"/>
                <w:szCs w:val="21"/>
              </w:rPr>
            </w:pPr>
            <w:r>
              <w:rPr>
                <w:rFonts w:ascii="Times New Roman" w:hAnsi="Times New Roman"/>
                <w:bCs/>
                <w:color w:val="auto"/>
                <w:kern w:val="0"/>
                <w:szCs w:val="21"/>
              </w:rPr>
              <w:t>A1.</w:t>
            </w:r>
            <w:r>
              <w:rPr>
                <w:rFonts w:hint="eastAsia" w:ascii="Times New Roman" w:hAnsi="Times New Roman"/>
                <w:bCs/>
                <w:color w:val="auto"/>
                <w:kern w:val="0"/>
                <w:szCs w:val="21"/>
              </w:rPr>
              <w:t>资质条件与备案管理</w:t>
            </w: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A1.1</w:t>
            </w:r>
            <w:r>
              <w:rPr>
                <w:rFonts w:hint="eastAsia" w:ascii="Times New Roman" w:hAnsi="Times New Roman"/>
                <w:color w:val="auto"/>
                <w:kern w:val="0"/>
                <w:szCs w:val="21"/>
              </w:rPr>
              <w:t>已在国家药品监督管理局“药物临床试验机构备案管理信息平台”完成药物临床试验机构登记备案。</w:t>
            </w:r>
          </w:p>
          <w:p>
            <w:pPr>
              <w:pStyle w:val="10"/>
              <w:widowControl/>
              <w:numPr>
                <w:ilvl w:val="0"/>
                <w:numId w:val="1"/>
              </w:numPr>
              <w:adjustRightInd w:val="0"/>
              <w:snapToGrid w:val="0"/>
              <w:spacing w:before="93" w:beforeLines="30"/>
              <w:ind w:left="500" w:hanging="283" w:firstLineChars="0"/>
              <w:rPr>
                <w:rFonts w:ascii="Times New Roman" w:hAnsi="Times New Roman"/>
                <w:color w:val="auto"/>
              </w:rPr>
            </w:pPr>
            <w:r>
              <w:rPr>
                <w:rFonts w:hint="eastAsia" w:ascii="Times New Roman" w:hAnsi="Times New Roman"/>
                <w:color w:val="auto"/>
              </w:rPr>
              <w:t>具有二级甲等以上资质，具有与开展药物临床试验相适应的诊疗技术能力。</w:t>
            </w:r>
          </w:p>
          <w:p>
            <w:pPr>
              <w:pStyle w:val="10"/>
              <w:widowControl/>
              <w:numPr>
                <w:ilvl w:val="0"/>
                <w:numId w:val="1"/>
              </w:numPr>
              <w:adjustRightInd w:val="0"/>
              <w:snapToGrid w:val="0"/>
              <w:spacing w:before="93" w:beforeLines="30"/>
              <w:ind w:left="500" w:hanging="283" w:firstLineChars="0"/>
              <w:rPr>
                <w:rFonts w:ascii="Times New Roman" w:hAnsi="Times New Roman"/>
                <w:color w:val="auto"/>
              </w:rPr>
            </w:pPr>
            <w:r>
              <w:rPr>
                <w:rFonts w:hint="eastAsia" w:ascii="Times New Roman" w:hAnsi="Times New Roman"/>
                <w:color w:val="auto"/>
              </w:rPr>
              <w:t>新药Ⅰ期临床试验或者临床风险较高需要临床密切监测的药物临床试验，应由三级医疗机构实施。</w:t>
            </w:r>
          </w:p>
          <w:p>
            <w:pPr>
              <w:pStyle w:val="10"/>
              <w:widowControl/>
              <w:numPr>
                <w:ilvl w:val="0"/>
                <w:numId w:val="1"/>
              </w:numPr>
              <w:adjustRightInd w:val="0"/>
              <w:snapToGrid w:val="0"/>
              <w:spacing w:before="93" w:beforeLines="30"/>
              <w:ind w:left="500" w:hanging="283" w:firstLineChars="0"/>
              <w:rPr>
                <w:rFonts w:ascii="Times New Roman" w:hAnsi="Times New Roman"/>
                <w:color w:val="auto"/>
                <w:kern w:val="0"/>
                <w:szCs w:val="21"/>
              </w:rPr>
            </w:pPr>
            <w:r>
              <w:rPr>
                <w:rFonts w:hint="eastAsia" w:ascii="Times New Roman" w:hAnsi="Times New Roman"/>
                <w:color w:val="auto"/>
              </w:rPr>
              <w:t>疫苗临床试验应由三级医疗机构或省级以上疾病预防控制机构实施或者组织实施，实施单位应具有接种资质。</w:t>
            </w:r>
          </w:p>
        </w:tc>
        <w:tc>
          <w:tcPr>
            <w:tcW w:w="1488"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06" w:type="dxa"/>
            <w:vMerge w:val="continue"/>
            <w:vAlign w:val="center"/>
          </w:tcPr>
          <w:p>
            <w:pPr>
              <w:widowControl/>
              <w:adjustRightInd w:val="0"/>
              <w:snapToGrid w:val="0"/>
              <w:jc w:val="center"/>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A1.2备案的试验场地符合江西省卫生健康主管部门对院区（场地）的相关管理规定，且应在备案医疗机构执业许可证登记的地址范围内</w:t>
            </w:r>
            <w:r>
              <w:rPr>
                <w:rFonts w:ascii="Times New Roman" w:hAnsi="Times New Roman"/>
                <w:color w:val="auto"/>
                <w:kern w:val="0"/>
                <w:sz w:val="24"/>
                <w:shd w:val="clear" w:color="auto" w:fill="FFFFFF"/>
                <w:lang w:bidi="ar"/>
              </w:rPr>
              <w:t>。</w:t>
            </w:r>
          </w:p>
        </w:tc>
        <w:tc>
          <w:tcPr>
            <w:tcW w:w="1488" w:type="dxa"/>
            <w:vAlign w:val="center"/>
          </w:tcPr>
          <w:p>
            <w:pPr>
              <w:widowControl/>
              <w:adjustRightInd w:val="0"/>
              <w:snapToGrid w:val="0"/>
              <w:jc w:val="center"/>
              <w:rPr>
                <w:rFonts w:ascii="Times New Roman" w:hAnsi="Times New Roman"/>
                <w:color w:val="auto"/>
                <w:kern w:val="0"/>
                <w:szCs w:val="21"/>
              </w:rPr>
            </w:pPr>
            <w:r>
              <w:rPr>
                <w:rFonts w:ascii="Segoe UI Symbol" w:hAnsi="Segoe UI Symbol" w:cs="Segoe UI Symbol"/>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06" w:type="dxa"/>
            <w:vMerge w:val="continue"/>
            <w:vAlign w:val="center"/>
          </w:tcPr>
          <w:p>
            <w:pPr>
              <w:widowControl/>
              <w:adjustRightInd w:val="0"/>
              <w:snapToGrid w:val="0"/>
              <w:jc w:val="center"/>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A1.3</w:t>
            </w:r>
            <w:r>
              <w:rPr>
                <w:rFonts w:hint="eastAsia" w:ascii="Times New Roman" w:hAnsi="Times New Roman"/>
                <w:color w:val="auto"/>
                <w:kern w:val="0"/>
                <w:szCs w:val="21"/>
              </w:rPr>
              <w:t>机构负责人、管理部门负责人资质等信息与在“药物临床试验机构备案管理信息平台”上填报的备案信息与现场检查情况一致。</w:t>
            </w:r>
          </w:p>
        </w:tc>
        <w:tc>
          <w:tcPr>
            <w:tcW w:w="1488"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06" w:type="dxa"/>
            <w:vMerge w:val="continue"/>
            <w:vAlign w:val="center"/>
          </w:tcPr>
          <w:p>
            <w:pPr>
              <w:widowControl/>
              <w:adjustRightInd w:val="0"/>
              <w:snapToGrid w:val="0"/>
              <w:jc w:val="center"/>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eastAsiaTheme="minorEastAsia"/>
                <w:color w:val="auto"/>
                <w:kern w:val="0"/>
                <w:szCs w:val="21"/>
              </w:rPr>
            </w:pPr>
            <w:r>
              <w:rPr>
                <w:rFonts w:ascii="Times New Roman" w:hAnsi="Times New Roman" w:eastAsiaTheme="minorEastAsia"/>
                <w:color w:val="auto"/>
                <w:kern w:val="0"/>
                <w:szCs w:val="21"/>
              </w:rPr>
              <w:t>A1.4备案前自行或者聘请第三方对其临床试验机构及专业的技术水平、设施条件及特点进行评估。</w:t>
            </w:r>
          </w:p>
        </w:tc>
        <w:tc>
          <w:tcPr>
            <w:tcW w:w="1488" w:type="dxa"/>
            <w:vAlign w:val="center"/>
          </w:tcPr>
          <w:p>
            <w:pPr>
              <w:widowControl/>
              <w:adjustRightInd w:val="0"/>
              <w:snapToGrid w:val="0"/>
              <w:jc w:val="center"/>
              <w:rPr>
                <w:rFonts w:hint="eastAsia" w:ascii="Segoe UI Symbol" w:hAnsi="Segoe UI Symbol" w:cs="Segoe UI Symbol"/>
                <w:color w:val="auto"/>
                <w:kern w:val="0"/>
                <w:szCs w:val="21"/>
              </w:rPr>
            </w:pPr>
            <w:r>
              <w:rPr>
                <w:rFonts w:ascii="Segoe UI Symbol" w:hAnsi="Segoe UI Symbol" w:cs="Segoe UI Symbol"/>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06" w:type="dxa"/>
            <w:vMerge w:val="restart"/>
          </w:tcPr>
          <w:p>
            <w:pPr>
              <w:adjustRightInd w:val="0"/>
              <w:snapToGrid w:val="0"/>
              <w:rPr>
                <w:rFonts w:ascii="Times New Roman" w:hAnsi="Times New Roman"/>
                <w:color w:val="auto"/>
                <w:szCs w:val="21"/>
              </w:rPr>
            </w:pPr>
            <w:r>
              <w:rPr>
                <w:rFonts w:ascii="Times New Roman" w:hAnsi="Times New Roman"/>
                <w:bCs/>
                <w:color w:val="auto"/>
                <w:kern w:val="0"/>
                <w:szCs w:val="21"/>
              </w:rPr>
              <w:t>A2.</w:t>
            </w:r>
            <w:r>
              <w:rPr>
                <w:rFonts w:hint="eastAsia" w:ascii="Times New Roman" w:hAnsi="Times New Roman"/>
                <w:bCs/>
                <w:color w:val="auto"/>
                <w:kern w:val="0"/>
                <w:szCs w:val="21"/>
              </w:rPr>
              <w:t>组织架构与人员</w:t>
            </w:r>
          </w:p>
          <w:p>
            <w:pPr>
              <w:adjustRightInd w:val="0"/>
              <w:snapToGrid w:val="0"/>
              <w:rPr>
                <w:rFonts w:ascii="Times New Roman" w:hAnsi="Times New Roman"/>
                <w:color w:val="auto"/>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A2.1</w:t>
            </w:r>
            <w:r>
              <w:rPr>
                <w:rFonts w:hint="eastAsia" w:ascii="Times New Roman" w:hAnsi="Times New Roman"/>
                <w:color w:val="auto"/>
                <w:kern w:val="0"/>
                <w:szCs w:val="21"/>
              </w:rPr>
              <w:t>设立有药物临床试验组织管理专门部门，统筹药物临床试验的</w:t>
            </w:r>
            <w:r>
              <w:rPr>
                <w:rFonts w:hint="eastAsia" w:ascii="Times New Roman" w:hAnsi="Times New Roman"/>
                <w:color w:val="auto"/>
              </w:rPr>
              <w:t>立项管理、试验用药品管理、资料管理、质量管理</w:t>
            </w:r>
            <w:r>
              <w:rPr>
                <w:rFonts w:hint="eastAsia" w:ascii="Times New Roman" w:hAnsi="Times New Roman"/>
                <w:color w:val="auto"/>
                <w:kern w:val="0"/>
                <w:szCs w:val="21"/>
              </w:rPr>
              <w:t>等工作。</w:t>
            </w:r>
          </w:p>
        </w:tc>
        <w:tc>
          <w:tcPr>
            <w:tcW w:w="1488"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406" w:type="dxa"/>
            <w:vMerge w:val="continue"/>
          </w:tcPr>
          <w:p>
            <w:pPr>
              <w:adjustRightInd w:val="0"/>
              <w:snapToGrid w:val="0"/>
              <w:rPr>
                <w:rFonts w:ascii="Times New Roman" w:hAnsi="Times New Roman"/>
                <w:color w:val="auto"/>
                <w:szCs w:val="21"/>
              </w:rPr>
            </w:pPr>
          </w:p>
        </w:tc>
        <w:tc>
          <w:tcPr>
            <w:tcW w:w="5929" w:type="dxa"/>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A2.2</w:t>
            </w:r>
            <w:r>
              <w:rPr>
                <w:rFonts w:hint="eastAsia" w:ascii="Times New Roman" w:hAnsi="Times New Roman"/>
                <w:color w:val="auto"/>
                <w:kern w:val="0"/>
                <w:szCs w:val="21"/>
              </w:rPr>
              <w:t>有清晰合理的机构组织架构和明确的管理人员分工，设置有机构负责人、药物临床试验组织管理部门负责人、机构秘书、质量管理员、药物管理员、档案管理员进行相关管理工作</w:t>
            </w:r>
            <w:r>
              <w:rPr>
                <w:rFonts w:ascii="Times New Roman" w:hAnsi="Times New Roman"/>
                <w:color w:val="auto"/>
                <w:kern w:val="0"/>
                <w:sz w:val="24"/>
                <w:shd w:val="clear" w:color="auto" w:fill="FFFFFF"/>
                <w:lang w:bidi="ar"/>
              </w:rPr>
              <w:t>。</w:t>
            </w:r>
          </w:p>
        </w:tc>
        <w:tc>
          <w:tcPr>
            <w:tcW w:w="1488"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06" w:type="dxa"/>
            <w:vMerge w:val="continue"/>
          </w:tcPr>
          <w:p>
            <w:pPr>
              <w:adjustRightInd w:val="0"/>
              <w:snapToGrid w:val="0"/>
              <w:rPr>
                <w:rFonts w:ascii="Times New Roman" w:hAnsi="Times New Roman"/>
                <w:color w:val="auto"/>
                <w:szCs w:val="21"/>
              </w:rPr>
            </w:pPr>
          </w:p>
        </w:tc>
        <w:tc>
          <w:tcPr>
            <w:tcW w:w="5929" w:type="dxa"/>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A2.3</w:t>
            </w:r>
            <w:r>
              <w:rPr>
                <w:rFonts w:hint="eastAsia" w:ascii="Times New Roman" w:hAnsi="Times New Roman"/>
                <w:color w:val="auto"/>
                <w:kern w:val="0"/>
                <w:szCs w:val="21"/>
              </w:rPr>
              <w:t>机构管理人员均经过</w:t>
            </w:r>
            <w:r>
              <w:rPr>
                <w:rFonts w:ascii="Times New Roman" w:hAnsi="Times New Roman"/>
                <w:color w:val="auto"/>
                <w:kern w:val="0"/>
                <w:szCs w:val="21"/>
              </w:rPr>
              <w:t>GCP</w:t>
            </w:r>
            <w:r>
              <w:rPr>
                <w:rFonts w:hint="eastAsia" w:ascii="Times New Roman" w:hAnsi="Times New Roman"/>
                <w:color w:val="auto"/>
                <w:kern w:val="0"/>
                <w:szCs w:val="21"/>
              </w:rPr>
              <w:t>及相关法规培训，熟悉机构管理制度和标准操作规程，熟悉药物临床试验全过程的管理。</w:t>
            </w:r>
          </w:p>
        </w:tc>
        <w:tc>
          <w:tcPr>
            <w:tcW w:w="1488"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6" w:type="dxa"/>
            <w:vMerge w:val="continue"/>
          </w:tcPr>
          <w:p>
            <w:pPr>
              <w:adjustRightInd w:val="0"/>
              <w:snapToGrid w:val="0"/>
              <w:rPr>
                <w:rFonts w:ascii="Times New Roman" w:hAnsi="Times New Roman"/>
                <w:color w:val="auto"/>
                <w:szCs w:val="21"/>
              </w:rPr>
            </w:pPr>
          </w:p>
        </w:tc>
        <w:tc>
          <w:tcPr>
            <w:tcW w:w="5929" w:type="dxa"/>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A2.4</w:t>
            </w:r>
            <w:r>
              <w:rPr>
                <w:rFonts w:hint="eastAsia" w:ascii="Times New Roman" w:hAnsi="Times New Roman"/>
                <w:color w:val="auto"/>
                <w:kern w:val="0"/>
                <w:szCs w:val="21"/>
              </w:rPr>
              <w:t>机构质量管理员、药物管理员、档案管理员应根据岗位需求进行相关培训并具备相应资格要求。</w:t>
            </w:r>
          </w:p>
        </w:tc>
        <w:tc>
          <w:tcPr>
            <w:tcW w:w="1488"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406" w:type="dxa"/>
            <w:vMerge w:val="continue"/>
          </w:tcPr>
          <w:p>
            <w:pPr>
              <w:adjustRightInd w:val="0"/>
              <w:snapToGrid w:val="0"/>
              <w:rPr>
                <w:rFonts w:ascii="Times New Roman" w:hAnsi="Times New Roman"/>
                <w:color w:val="auto"/>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A2.5</w:t>
            </w:r>
            <w:r>
              <w:rPr>
                <w:rFonts w:hint="eastAsia" w:ascii="Times New Roman" w:hAnsi="Times New Roman"/>
                <w:color w:val="auto"/>
                <w:kern w:val="0"/>
                <w:szCs w:val="21"/>
              </w:rPr>
              <w:t>按培训计划实施的培训工作留存有相关记录，包括但不限于：培训记录、培训签到和考核记录等。</w:t>
            </w:r>
          </w:p>
        </w:tc>
        <w:tc>
          <w:tcPr>
            <w:tcW w:w="1488"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06" w:type="dxa"/>
            <w:vMerge w:val="restart"/>
          </w:tcPr>
          <w:p>
            <w:pPr>
              <w:widowControl/>
              <w:adjustRightInd w:val="0"/>
              <w:snapToGrid w:val="0"/>
              <w:contextualSpacing/>
              <w:rPr>
                <w:rFonts w:ascii="Times New Roman" w:hAnsi="Times New Roman"/>
                <w:color w:val="auto"/>
                <w:kern w:val="0"/>
                <w:szCs w:val="21"/>
              </w:rPr>
            </w:pPr>
            <w:r>
              <w:rPr>
                <w:rFonts w:ascii="Times New Roman" w:hAnsi="Times New Roman"/>
                <w:color w:val="auto"/>
                <w:kern w:val="0"/>
                <w:szCs w:val="21"/>
              </w:rPr>
              <w:t>A3.</w:t>
            </w:r>
            <w:r>
              <w:rPr>
                <w:rFonts w:hint="eastAsia" w:ascii="Times New Roman" w:hAnsi="Times New Roman"/>
                <w:color w:val="auto"/>
                <w:kern w:val="0"/>
                <w:szCs w:val="21"/>
              </w:rPr>
              <w:t>场所与设施设</w:t>
            </w:r>
            <w:r>
              <w:rPr>
                <w:rFonts w:hint="eastAsia" w:ascii="Times New Roman" w:hAnsi="Times New Roman"/>
                <w:bCs/>
                <w:color w:val="auto"/>
                <w:kern w:val="0"/>
                <w:szCs w:val="21"/>
              </w:rPr>
              <w:t>备</w:t>
            </w:r>
          </w:p>
        </w:tc>
        <w:tc>
          <w:tcPr>
            <w:tcW w:w="5929"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A3.1</w:t>
            </w:r>
            <w:r>
              <w:rPr>
                <w:rFonts w:hint="eastAsia" w:ascii="Times New Roman" w:hAnsi="Times New Roman"/>
                <w:color w:val="auto"/>
                <w:kern w:val="0"/>
                <w:szCs w:val="21"/>
              </w:rPr>
              <w:t>药物临床试验组织管理部门具有与药物临床试验相适应的独立工作场所以及必要的设施设备。组织管理机构部门办公设备设施情况与备案信息一致，符合机构办公管理的要求。</w:t>
            </w:r>
          </w:p>
        </w:tc>
        <w:tc>
          <w:tcPr>
            <w:tcW w:w="1488"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06" w:type="dxa"/>
            <w:vMerge w:val="continue"/>
          </w:tcPr>
          <w:p>
            <w:pPr>
              <w:widowControl/>
              <w:adjustRightInd w:val="0"/>
              <w:snapToGrid w:val="0"/>
              <w:contextualSpacing/>
              <w:rPr>
                <w:rFonts w:ascii="Times New Roman" w:hAnsi="Times New Roman"/>
                <w:color w:val="auto"/>
                <w:kern w:val="0"/>
                <w:szCs w:val="21"/>
              </w:rPr>
            </w:pPr>
          </w:p>
        </w:tc>
        <w:tc>
          <w:tcPr>
            <w:tcW w:w="5929"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A3.2</w:t>
            </w:r>
            <w:r>
              <w:rPr>
                <w:rFonts w:hint="eastAsia" w:ascii="Times New Roman" w:hAnsi="Times New Roman"/>
                <w:color w:val="auto"/>
                <w:kern w:val="0"/>
                <w:szCs w:val="21"/>
              </w:rPr>
              <w:t>具有急危重病症抢救的设施设备、人员与处置能力。疫苗临床试验需与当地医疗机构合作建立疫苗临床试验</w:t>
            </w:r>
            <w:r>
              <w:rPr>
                <w:rFonts w:ascii="Times New Roman" w:hAnsi="Times New Roman"/>
                <w:color w:val="auto"/>
                <w:kern w:val="0"/>
                <w:szCs w:val="21"/>
              </w:rPr>
              <w:t>SAE</w:t>
            </w:r>
            <w:r>
              <w:rPr>
                <w:rFonts w:hint="eastAsia" w:ascii="Times New Roman" w:hAnsi="Times New Roman"/>
                <w:color w:val="auto"/>
                <w:kern w:val="0"/>
                <w:szCs w:val="21"/>
              </w:rPr>
              <w:t>医疗救治绿色通道。</w:t>
            </w:r>
          </w:p>
        </w:tc>
        <w:tc>
          <w:tcPr>
            <w:tcW w:w="1488"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06" w:type="dxa"/>
            <w:vMerge w:val="continue"/>
          </w:tcPr>
          <w:p>
            <w:pPr>
              <w:widowControl/>
              <w:adjustRightInd w:val="0"/>
              <w:snapToGrid w:val="0"/>
              <w:contextualSpacing/>
              <w:rPr>
                <w:rFonts w:ascii="Times New Roman" w:hAnsi="Times New Roman"/>
                <w:color w:val="auto"/>
                <w:kern w:val="0"/>
                <w:szCs w:val="21"/>
              </w:rPr>
            </w:pPr>
          </w:p>
        </w:tc>
        <w:tc>
          <w:tcPr>
            <w:tcW w:w="5929"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A3.</w:t>
            </w:r>
            <w:r>
              <w:rPr>
                <w:rFonts w:hint="eastAsia" w:ascii="Times New Roman" w:hAnsi="Times New Roman"/>
                <w:color w:val="auto"/>
                <w:kern w:val="0"/>
                <w:szCs w:val="21"/>
                <w:lang w:val="en-US" w:eastAsia="zh-CN"/>
              </w:rPr>
              <w:t>3</w:t>
            </w:r>
            <w:r>
              <w:rPr>
                <w:rFonts w:hint="eastAsia" w:ascii="Times New Roman" w:hAnsi="Times New Roman"/>
                <w:color w:val="auto"/>
                <w:kern w:val="0"/>
                <w:szCs w:val="21"/>
              </w:rPr>
              <w:t>具有独立的资料档案室，其场所和设备应当具备防止光线直接照射、防水、防火、防盗、防虫等条件，有利于文件的长期保存</w:t>
            </w:r>
            <w:r>
              <w:rPr>
                <w:rFonts w:ascii="Times New Roman" w:hAnsi="Times New Roman"/>
                <w:color w:val="auto"/>
                <w:kern w:val="0"/>
                <w:sz w:val="24"/>
                <w:shd w:val="clear" w:color="auto" w:fill="FFFFFF"/>
                <w:lang w:bidi="ar"/>
              </w:rPr>
              <w:t>。</w:t>
            </w:r>
            <w:r>
              <w:rPr>
                <w:rFonts w:hint="eastAsia" w:ascii="Times New Roman" w:hAnsi="Times New Roman"/>
                <w:color w:val="auto"/>
                <w:kern w:val="0"/>
                <w:szCs w:val="21"/>
              </w:rPr>
              <w:t>资料档案室内设备设施情况与备案信息一致；保管的试验资料齐全。</w:t>
            </w:r>
          </w:p>
        </w:tc>
        <w:tc>
          <w:tcPr>
            <w:tcW w:w="1488"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06" w:type="dxa"/>
            <w:vMerge w:val="continue"/>
            <w:vAlign w:val="center"/>
          </w:tcPr>
          <w:p>
            <w:pPr>
              <w:widowControl/>
              <w:adjustRightInd w:val="0"/>
              <w:snapToGrid w:val="0"/>
              <w:contextualSpacing/>
              <w:rPr>
                <w:rFonts w:ascii="Times New Roman" w:hAnsi="Times New Roman"/>
                <w:color w:val="auto"/>
                <w:kern w:val="0"/>
                <w:szCs w:val="21"/>
              </w:rPr>
            </w:pPr>
          </w:p>
        </w:tc>
        <w:tc>
          <w:tcPr>
            <w:tcW w:w="5929"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A3.</w:t>
            </w:r>
            <w:r>
              <w:rPr>
                <w:rFonts w:hint="eastAsia" w:ascii="Times New Roman" w:hAnsi="Times New Roman"/>
                <w:color w:val="auto"/>
                <w:kern w:val="0"/>
                <w:szCs w:val="21"/>
                <w:lang w:val="en-US" w:eastAsia="zh-CN"/>
              </w:rPr>
              <w:t>4</w:t>
            </w:r>
            <w:r>
              <w:rPr>
                <w:rFonts w:hint="eastAsia" w:ascii="Times New Roman" w:hAnsi="Times New Roman"/>
                <w:color w:val="auto"/>
                <w:kern w:val="0"/>
                <w:szCs w:val="21"/>
              </w:rPr>
              <w:t>具有独立的临床试验用药房，临床试验用药房情况、设备设施与备案信息一致；其设施设备和管理系统能够满足药品储存条件和项目运行需要。</w:t>
            </w:r>
          </w:p>
        </w:tc>
        <w:tc>
          <w:tcPr>
            <w:tcW w:w="1488"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06" w:type="dxa"/>
            <w:vMerge w:val="continue"/>
            <w:vAlign w:val="center"/>
          </w:tcPr>
          <w:p>
            <w:pPr>
              <w:widowControl/>
              <w:adjustRightInd w:val="0"/>
              <w:snapToGrid w:val="0"/>
              <w:contextualSpacing/>
              <w:rPr>
                <w:rFonts w:ascii="Times New Roman" w:hAnsi="Times New Roman"/>
                <w:color w:val="auto"/>
                <w:kern w:val="0"/>
                <w:szCs w:val="21"/>
              </w:rPr>
            </w:pPr>
          </w:p>
        </w:tc>
        <w:tc>
          <w:tcPr>
            <w:tcW w:w="5929"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A3.</w:t>
            </w:r>
            <w:r>
              <w:rPr>
                <w:rFonts w:hint="eastAsia" w:ascii="Times New Roman" w:hAnsi="Times New Roman"/>
                <w:color w:val="auto"/>
                <w:kern w:val="0"/>
                <w:szCs w:val="21"/>
                <w:lang w:val="en-US" w:eastAsia="zh-CN"/>
              </w:rPr>
              <w:t>5</w:t>
            </w:r>
            <w:r>
              <w:rPr>
                <w:rFonts w:hint="eastAsia" w:ascii="Times New Roman" w:hAnsi="Times New Roman"/>
                <w:color w:val="auto"/>
                <w:kern w:val="0"/>
                <w:szCs w:val="21"/>
              </w:rPr>
              <w:t>电子化源数据、源文件保存载体稳定、可靠、准确、可溯，当计算机化系统出现变更时，如软件升级或者数据转移等，确保电子数据完整。</w:t>
            </w:r>
          </w:p>
        </w:tc>
        <w:tc>
          <w:tcPr>
            <w:tcW w:w="1488"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06" w:type="dxa"/>
            <w:vMerge w:val="continue"/>
            <w:vAlign w:val="center"/>
          </w:tcPr>
          <w:p>
            <w:pPr>
              <w:widowControl/>
              <w:adjustRightInd w:val="0"/>
              <w:snapToGrid w:val="0"/>
              <w:contextualSpacing/>
              <w:rPr>
                <w:rFonts w:ascii="Times New Roman" w:hAnsi="Times New Roman"/>
                <w:color w:val="auto"/>
                <w:kern w:val="0"/>
                <w:szCs w:val="21"/>
              </w:rPr>
            </w:pPr>
          </w:p>
        </w:tc>
        <w:tc>
          <w:tcPr>
            <w:tcW w:w="5929"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A3.</w:t>
            </w:r>
            <w:r>
              <w:rPr>
                <w:rFonts w:hint="eastAsia" w:ascii="Times New Roman" w:hAnsi="Times New Roman"/>
                <w:color w:val="auto"/>
                <w:kern w:val="0"/>
                <w:szCs w:val="21"/>
                <w:lang w:val="en-US" w:eastAsia="zh-CN"/>
              </w:rPr>
              <w:t>6</w:t>
            </w:r>
            <w:r>
              <w:rPr>
                <w:rFonts w:hint="eastAsia" w:ascii="Times New Roman" w:hAnsi="Times New Roman"/>
                <w:color w:val="auto"/>
                <w:szCs w:val="21"/>
              </w:rPr>
              <w:t>具有与开展药物临床试验相适应的医技科室，委托医学检测的承担机构应当具备相应资质；医技科室的仪器设备情况与备案信息一致，通过相关管理部门的室间质量评价且获得室间质评合格证书。</w:t>
            </w:r>
          </w:p>
        </w:tc>
        <w:tc>
          <w:tcPr>
            <w:tcW w:w="1488"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06" w:type="dxa"/>
            <w:vMerge w:val="restart"/>
            <w:vAlign w:val="center"/>
          </w:tcPr>
          <w:p>
            <w:pPr>
              <w:widowControl/>
              <w:adjustRightInd w:val="0"/>
              <w:snapToGrid w:val="0"/>
              <w:rPr>
                <w:rFonts w:ascii="Times New Roman" w:hAnsi="Times New Roman"/>
                <w:bCs/>
                <w:color w:val="auto"/>
                <w:kern w:val="0"/>
                <w:szCs w:val="21"/>
              </w:rPr>
            </w:pPr>
            <w:r>
              <w:rPr>
                <w:rFonts w:ascii="Times New Roman" w:hAnsi="Times New Roman"/>
                <w:bCs/>
                <w:color w:val="auto"/>
                <w:kern w:val="0"/>
                <w:szCs w:val="21"/>
              </w:rPr>
              <w:t>A4.</w:t>
            </w:r>
            <w:r>
              <w:rPr>
                <w:rFonts w:hint="eastAsia" w:ascii="Times New Roman" w:hAnsi="Times New Roman"/>
                <w:bCs/>
                <w:color w:val="auto"/>
                <w:kern w:val="0"/>
                <w:szCs w:val="21"/>
              </w:rPr>
              <w:t>体系文件</w:t>
            </w: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A4.1</w:t>
            </w:r>
            <w:r>
              <w:rPr>
                <w:rFonts w:hint="eastAsia" w:ascii="Times New Roman" w:hAnsi="Times New Roman"/>
                <w:color w:val="auto"/>
                <w:kern w:val="0"/>
                <w:szCs w:val="21"/>
              </w:rPr>
              <w:t>建立能够覆盖药物临床试验全过程的文件体系，制定药物临床试验管理制度、标准操作规程、应急预案等相关文件，其内容与现行法律法规相符，能有效执行，并持续改进</w:t>
            </w:r>
            <w:r>
              <w:rPr>
                <w:rFonts w:ascii="Times New Roman" w:hAnsi="Times New Roman"/>
                <w:color w:val="auto"/>
                <w:kern w:val="0"/>
                <w:sz w:val="24"/>
                <w:shd w:val="clear" w:color="auto" w:fill="FFFFFF"/>
                <w:lang w:bidi="ar"/>
              </w:rPr>
              <w:t>。</w:t>
            </w:r>
          </w:p>
        </w:tc>
        <w:tc>
          <w:tcPr>
            <w:tcW w:w="1488"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0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A4.2</w:t>
            </w:r>
            <w:r>
              <w:rPr>
                <w:rFonts w:hint="eastAsia" w:ascii="Times New Roman" w:hAnsi="Times New Roman"/>
                <w:color w:val="auto"/>
                <w:kern w:val="0"/>
                <w:szCs w:val="21"/>
              </w:rPr>
              <w:t>机构的管理制度覆盖药物临床试验运行管理各环节，能有效执行，并持续改进，包括但不限于：机构人员岗位职责、药物临床试验运行管理制度、试验药物管理制度、设备管理制度、人员培训制度、文件管理制度、合同管理制度、财务管理制度、质量管理制度、其它相关的管理制度</w:t>
            </w:r>
            <w:r>
              <w:rPr>
                <w:rFonts w:ascii="Times New Roman" w:hAnsi="Times New Roman"/>
                <w:color w:val="auto"/>
                <w:kern w:val="0"/>
                <w:sz w:val="24"/>
                <w:shd w:val="clear" w:color="auto" w:fill="FFFFFF"/>
                <w:lang w:bidi="ar"/>
              </w:rPr>
              <w:t>。</w:t>
            </w:r>
          </w:p>
        </w:tc>
        <w:tc>
          <w:tcPr>
            <w:tcW w:w="1488"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0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A4.3</w:t>
            </w:r>
            <w:r>
              <w:rPr>
                <w:rFonts w:hint="eastAsia" w:ascii="Times New Roman" w:hAnsi="Times New Roman"/>
                <w:color w:val="auto"/>
                <w:kern w:val="0"/>
                <w:szCs w:val="21"/>
              </w:rPr>
              <w:t>机构的标准操作规程覆盖药物临床试验运行管理各环节，具有可操作性，能有效执行，并持续改进，包括但不限于：制定标准操作规程的标准操作规程、试验用药品管理的标准操作规程、安全性事件处理和报告的标准操作规程、实验室检测及质量控制的标准操作规程、仪器设备使用、保养、校验标准操作规程、其它相关标准操作规程</w:t>
            </w:r>
            <w:r>
              <w:rPr>
                <w:rFonts w:hint="eastAsia" w:ascii="Times New Roman" w:hAnsi="Times New Roman"/>
                <w:color w:val="auto"/>
                <w:kern w:val="0"/>
                <w:sz w:val="24"/>
                <w:shd w:val="clear" w:color="auto" w:fill="FFFFFF"/>
                <w:lang w:bidi="ar"/>
              </w:rPr>
              <w:t>，</w:t>
            </w:r>
            <w:r>
              <w:rPr>
                <w:rFonts w:hint="eastAsia" w:ascii="Times New Roman" w:hAnsi="Times New Roman"/>
                <w:color w:val="auto"/>
                <w:kern w:val="0"/>
                <w:szCs w:val="21"/>
              </w:rPr>
              <w:t>可查询培训和执行记录。</w:t>
            </w:r>
          </w:p>
        </w:tc>
        <w:tc>
          <w:tcPr>
            <w:tcW w:w="1488"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0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eastAsia="华文仿宋"/>
                <w:b/>
                <w:color w:val="auto"/>
                <w:spacing w:val="4"/>
                <w:kern w:val="0"/>
              </w:rPr>
            </w:pPr>
            <w:r>
              <w:rPr>
                <w:rFonts w:ascii="Times New Roman" w:hAnsi="Times New Roman"/>
                <w:color w:val="auto"/>
                <w:kern w:val="0"/>
                <w:szCs w:val="21"/>
              </w:rPr>
              <w:t>A4.4</w:t>
            </w:r>
            <w:r>
              <w:rPr>
                <w:rFonts w:hint="eastAsia" w:ascii="Times New Roman" w:hAnsi="Times New Roman"/>
                <w:color w:val="auto"/>
                <w:kern w:val="0"/>
                <w:szCs w:val="21"/>
              </w:rPr>
              <w:t>机构建立有防范和处理药物临床试验中突发事件的管理机制与应急预案，并具有可操作性，能有效执行。</w:t>
            </w:r>
          </w:p>
        </w:tc>
        <w:tc>
          <w:tcPr>
            <w:tcW w:w="1488"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A4.5</w:t>
            </w:r>
            <w:r>
              <w:rPr>
                <w:rFonts w:hint="eastAsia" w:ascii="Times New Roman" w:hAnsi="Times New Roman"/>
                <w:color w:val="auto"/>
                <w:kern w:val="0"/>
                <w:szCs w:val="21"/>
              </w:rPr>
              <w:t>体系文件的起草、审核、批准、修订、发放、回收、销毁等符合本机构相关管理制度及标准操作规程的要求</w:t>
            </w:r>
            <w:r>
              <w:rPr>
                <w:rFonts w:ascii="Times New Roman" w:hAnsi="Times New Roman"/>
                <w:color w:val="auto"/>
                <w:kern w:val="0"/>
                <w:sz w:val="24"/>
                <w:shd w:val="clear" w:color="auto" w:fill="FFFFFF"/>
                <w:lang w:bidi="ar"/>
              </w:rPr>
              <w:t>。</w:t>
            </w:r>
          </w:p>
        </w:tc>
        <w:tc>
          <w:tcPr>
            <w:tcW w:w="1488"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406" w:type="dxa"/>
            <w:vMerge w:val="restart"/>
          </w:tcPr>
          <w:p>
            <w:pPr>
              <w:widowControl/>
              <w:adjustRightInd w:val="0"/>
              <w:snapToGrid w:val="0"/>
              <w:rPr>
                <w:rFonts w:ascii="Times New Roman" w:hAnsi="Times New Roman"/>
                <w:bCs/>
                <w:color w:val="auto"/>
                <w:kern w:val="0"/>
                <w:szCs w:val="21"/>
              </w:rPr>
            </w:pPr>
            <w:r>
              <w:rPr>
                <w:rFonts w:ascii="Times New Roman" w:hAnsi="Times New Roman"/>
                <w:bCs/>
                <w:color w:val="auto"/>
                <w:kern w:val="0"/>
                <w:szCs w:val="21"/>
              </w:rPr>
              <w:t>A5.</w:t>
            </w:r>
            <w:r>
              <w:rPr>
                <w:rFonts w:hint="eastAsia" w:ascii="Times New Roman" w:hAnsi="Times New Roman"/>
                <w:bCs/>
                <w:color w:val="auto"/>
                <w:kern w:val="0"/>
                <w:szCs w:val="21"/>
              </w:rPr>
              <w:t>试验用药品管理</w:t>
            </w: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A5.1</w:t>
            </w:r>
            <w:r>
              <w:rPr>
                <w:rFonts w:hint="eastAsia" w:ascii="Times New Roman" w:hAnsi="Times New Roman"/>
                <w:color w:val="auto"/>
                <w:kern w:val="0"/>
                <w:szCs w:val="21"/>
              </w:rPr>
              <w:t>试验用药品在临床试验机构的接收、贮存、分发、回收、退还及未使用的处置等管理应当遵守相应的规定并保存记录。</w:t>
            </w:r>
          </w:p>
        </w:tc>
        <w:tc>
          <w:tcPr>
            <w:tcW w:w="1488"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0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A5.2</w:t>
            </w:r>
            <w:r>
              <w:rPr>
                <w:rFonts w:hint="eastAsia" w:ascii="Times New Roman" w:hAnsi="Times New Roman"/>
                <w:color w:val="auto"/>
                <w:kern w:val="0"/>
                <w:szCs w:val="21"/>
              </w:rPr>
              <w:t>试验用药品的贮存符合相应的贮存条件，且记录完整。</w:t>
            </w:r>
          </w:p>
        </w:tc>
        <w:tc>
          <w:tcPr>
            <w:tcW w:w="1488"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40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A5.3</w:t>
            </w:r>
            <w:r>
              <w:rPr>
                <w:rFonts w:hint="eastAsia" w:ascii="Times New Roman" w:hAnsi="Times New Roman"/>
                <w:color w:val="auto"/>
                <w:kern w:val="0"/>
                <w:szCs w:val="21"/>
              </w:rPr>
              <w:t>试验用药品保存设备均有校准证书或合格文件，采用信息化温控系统的应具预警和报警功能。</w:t>
            </w:r>
          </w:p>
        </w:tc>
        <w:tc>
          <w:tcPr>
            <w:tcW w:w="1488"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406" w:type="dxa"/>
            <w:vMerge w:val="continue"/>
          </w:tcPr>
          <w:p>
            <w:pPr>
              <w:widowControl/>
              <w:adjustRightInd w:val="0"/>
              <w:snapToGrid w:val="0"/>
              <w:rPr>
                <w:rFonts w:ascii="Times New Roman" w:hAnsi="Times New Roman"/>
                <w:bCs/>
                <w:color w:val="auto"/>
                <w:kern w:val="0"/>
                <w:szCs w:val="21"/>
              </w:rPr>
            </w:pP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A5.4</w:t>
            </w:r>
            <w:r>
              <w:rPr>
                <w:rFonts w:hint="eastAsia" w:ascii="Times New Roman" w:hAnsi="Times New Roman"/>
                <w:color w:val="auto"/>
                <w:kern w:val="0"/>
                <w:szCs w:val="21"/>
              </w:rPr>
              <w:t>临床试验用特殊药品（如毒麻放药品）的管理应当符合相关法律法规等要求，并建立有相关管理制度。</w:t>
            </w:r>
          </w:p>
        </w:tc>
        <w:tc>
          <w:tcPr>
            <w:tcW w:w="1488"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406" w:type="dxa"/>
            <w:vMerge w:val="restart"/>
          </w:tcPr>
          <w:p>
            <w:pPr>
              <w:widowControl/>
              <w:adjustRightInd w:val="0"/>
              <w:snapToGrid w:val="0"/>
              <w:rPr>
                <w:rFonts w:ascii="Times New Roman" w:hAnsi="Times New Roman"/>
                <w:bCs/>
                <w:color w:val="auto"/>
                <w:kern w:val="0"/>
                <w:szCs w:val="21"/>
              </w:rPr>
            </w:pPr>
            <w:r>
              <w:rPr>
                <w:rFonts w:ascii="Times New Roman" w:hAnsi="Times New Roman"/>
                <w:bCs/>
                <w:color w:val="auto"/>
                <w:kern w:val="0"/>
                <w:szCs w:val="21"/>
              </w:rPr>
              <w:t>A6.</w:t>
            </w:r>
            <w:r>
              <w:rPr>
                <w:rFonts w:hint="eastAsia" w:ascii="Times New Roman" w:hAnsi="Times New Roman"/>
                <w:bCs/>
                <w:color w:val="auto"/>
                <w:kern w:val="0"/>
                <w:szCs w:val="21"/>
              </w:rPr>
              <w:t>质量管理体系建设</w:t>
            </w:r>
          </w:p>
        </w:tc>
        <w:tc>
          <w:tcPr>
            <w:tcW w:w="5929" w:type="dxa"/>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A6.1</w:t>
            </w:r>
            <w:r>
              <w:rPr>
                <w:rFonts w:hint="eastAsia" w:ascii="Times New Roman" w:hAnsi="Times New Roman"/>
                <w:color w:val="auto"/>
                <w:kern w:val="0"/>
                <w:szCs w:val="21"/>
              </w:rPr>
              <w:t>机构制定有质量保证体系相关的管理制度和标准操作规程，制定有质量检查相关检查内容及表格，具有可操作性</w:t>
            </w:r>
            <w:r>
              <w:rPr>
                <w:rFonts w:ascii="Times New Roman" w:hAnsi="Times New Roman"/>
                <w:color w:val="auto"/>
                <w:kern w:val="0"/>
                <w:sz w:val="24"/>
                <w:shd w:val="clear" w:color="auto" w:fill="FFFFFF"/>
                <w:lang w:bidi="ar"/>
              </w:rPr>
              <w:t>。</w:t>
            </w:r>
          </w:p>
        </w:tc>
        <w:tc>
          <w:tcPr>
            <w:tcW w:w="1488"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06" w:type="dxa"/>
            <w:vMerge w:val="continue"/>
          </w:tcPr>
          <w:p>
            <w:pPr>
              <w:widowControl/>
              <w:adjustRightInd w:val="0"/>
              <w:snapToGrid w:val="0"/>
              <w:rPr>
                <w:rFonts w:ascii="Times New Roman" w:hAnsi="Times New Roman"/>
                <w:bCs/>
                <w:color w:val="auto"/>
                <w:kern w:val="0"/>
                <w:szCs w:val="21"/>
              </w:rPr>
            </w:pPr>
          </w:p>
        </w:tc>
        <w:tc>
          <w:tcPr>
            <w:tcW w:w="5929" w:type="dxa"/>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A6.2</w:t>
            </w:r>
            <w:r>
              <w:rPr>
                <w:rFonts w:hint="eastAsia" w:ascii="Times New Roman" w:hAnsi="Times New Roman"/>
                <w:color w:val="auto"/>
                <w:kern w:val="0"/>
                <w:szCs w:val="21"/>
              </w:rPr>
              <w:t>配备有与临床试验质量保证体系运行相适应的质量管理人员，熟悉质量保证体系运行的相关制度及流程</w:t>
            </w:r>
            <w:r>
              <w:rPr>
                <w:rFonts w:ascii="Times New Roman" w:hAnsi="Times New Roman"/>
                <w:color w:val="auto"/>
                <w:kern w:val="0"/>
                <w:sz w:val="24"/>
                <w:shd w:val="clear" w:color="auto" w:fill="FFFFFF"/>
                <w:lang w:bidi="ar"/>
              </w:rPr>
              <w:t>。</w:t>
            </w:r>
          </w:p>
        </w:tc>
        <w:tc>
          <w:tcPr>
            <w:tcW w:w="1488" w:type="dxa"/>
            <w:vAlign w:val="center"/>
          </w:tcPr>
          <w:p>
            <w:pPr>
              <w:widowControl/>
              <w:adjustRightInd w:val="0"/>
              <w:snapToGrid w:val="0"/>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06" w:type="dxa"/>
          </w:tcPr>
          <w:p>
            <w:pPr>
              <w:widowControl/>
              <w:adjustRightInd w:val="0"/>
              <w:snapToGrid w:val="0"/>
              <w:rPr>
                <w:rFonts w:ascii="Times New Roman" w:hAnsi="Times New Roman"/>
                <w:color w:val="auto"/>
                <w:kern w:val="0"/>
                <w:szCs w:val="21"/>
              </w:rPr>
            </w:pPr>
            <w:r>
              <w:rPr>
                <w:rFonts w:ascii="Times New Roman" w:hAnsi="Times New Roman"/>
                <w:bCs/>
                <w:color w:val="auto"/>
                <w:kern w:val="0"/>
                <w:szCs w:val="21"/>
              </w:rPr>
              <w:t>A7.</w:t>
            </w:r>
            <w:r>
              <w:rPr>
                <w:rFonts w:hint="eastAsia" w:ascii="Times New Roman" w:hAnsi="Times New Roman"/>
                <w:bCs/>
                <w:color w:val="auto"/>
                <w:kern w:val="0"/>
                <w:szCs w:val="21"/>
              </w:rPr>
              <w:t>其它</w:t>
            </w:r>
          </w:p>
        </w:tc>
        <w:tc>
          <w:tcPr>
            <w:tcW w:w="5929"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A7.1</w:t>
            </w:r>
            <w:r>
              <w:rPr>
                <w:rFonts w:hint="eastAsia" w:ascii="Times New Roman" w:hAnsi="Times New Roman"/>
                <w:color w:val="auto"/>
                <w:kern w:val="0"/>
                <w:szCs w:val="21"/>
              </w:rPr>
              <w:t>检查过程中是否发现提供虚假信息或隐瞒真实情况的问题。</w:t>
            </w:r>
          </w:p>
        </w:tc>
        <w:tc>
          <w:tcPr>
            <w:tcW w:w="1488" w:type="dxa"/>
            <w:vAlign w:val="center"/>
          </w:tcPr>
          <w:p>
            <w:pPr>
              <w:widowControl/>
              <w:adjustRightInd w:val="0"/>
              <w:snapToGrid w:val="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bl>
    <w:p>
      <w:pPr>
        <w:spacing w:line="360" w:lineRule="auto"/>
        <w:rPr>
          <w:rFonts w:ascii="Times New Roman" w:hAnsi="Times New Roman"/>
          <w:color w:val="auto"/>
          <w:kern w:val="0"/>
          <w:szCs w:val="21"/>
        </w:rPr>
      </w:pPr>
      <w:r>
        <w:rPr>
          <w:rFonts w:hint="eastAsia" w:ascii="Times New Roman" w:hAnsi="Times New Roman"/>
          <w:color w:val="auto"/>
          <w:kern w:val="0"/>
          <w:szCs w:val="21"/>
        </w:rPr>
        <w:t>注：</w:t>
      </w:r>
      <w:r>
        <w:rPr>
          <w:rFonts w:ascii="Times New Roman" w:hAnsi="Times New Roman"/>
          <w:color w:val="auto"/>
          <w:kern w:val="0"/>
          <w:szCs w:val="21"/>
        </w:rPr>
        <w:t>A.</w:t>
      </w:r>
      <w:r>
        <w:rPr>
          <w:rFonts w:hint="eastAsia" w:ascii="Times New Roman" w:hAnsi="Times New Roman"/>
          <w:color w:val="auto"/>
          <w:kern w:val="0"/>
          <w:szCs w:val="21"/>
        </w:rPr>
        <w:t>药物临床</w:t>
      </w:r>
      <w:r>
        <w:rPr>
          <w:rFonts w:ascii="Times New Roman" w:hAnsi="Times New Roman"/>
          <w:color w:val="auto"/>
          <w:kern w:val="0"/>
          <w:szCs w:val="21"/>
        </w:rPr>
        <w:t>试验组织管理机构检查项目</w:t>
      </w:r>
      <w:r>
        <w:rPr>
          <w:rFonts w:hint="eastAsia" w:ascii="Times New Roman" w:hAnsi="Times New Roman"/>
          <w:color w:val="auto"/>
          <w:kern w:val="0"/>
          <w:szCs w:val="21"/>
        </w:rPr>
        <w:t>包括</w:t>
      </w:r>
      <w:r>
        <w:rPr>
          <w:rFonts w:ascii="Times New Roman" w:hAnsi="Times New Roman"/>
          <w:color w:val="auto"/>
          <w:kern w:val="0"/>
          <w:szCs w:val="21"/>
        </w:rPr>
        <w:t>7</w:t>
      </w:r>
      <w:r>
        <w:rPr>
          <w:rFonts w:hint="eastAsia" w:ascii="Times New Roman" w:hAnsi="Times New Roman"/>
          <w:color w:val="auto"/>
          <w:kern w:val="0"/>
          <w:szCs w:val="21"/>
        </w:rPr>
        <w:t>个检查环节、</w:t>
      </w:r>
      <w:r>
        <w:rPr>
          <w:rFonts w:ascii="Times New Roman" w:hAnsi="Times New Roman"/>
          <w:color w:val="auto"/>
          <w:kern w:val="0"/>
          <w:szCs w:val="21"/>
        </w:rPr>
        <w:t>2</w:t>
      </w:r>
      <w:r>
        <w:rPr>
          <w:rFonts w:hint="eastAsia" w:ascii="Times New Roman" w:hAnsi="Times New Roman"/>
          <w:color w:val="auto"/>
          <w:kern w:val="0"/>
          <w:szCs w:val="21"/>
          <w:lang w:val="en-US" w:eastAsia="zh-CN"/>
        </w:rPr>
        <w:t>7</w:t>
      </w:r>
      <w:r>
        <w:rPr>
          <w:rFonts w:hint="eastAsia" w:ascii="Times New Roman" w:hAnsi="Times New Roman"/>
          <w:color w:val="auto"/>
          <w:kern w:val="0"/>
          <w:szCs w:val="21"/>
        </w:rPr>
        <w:t>个检查项目，其中关键项目</w:t>
      </w:r>
      <w:r>
        <w:rPr>
          <w:rFonts w:hint="eastAsia" w:ascii="Times New Roman" w:hAnsi="Times New Roman"/>
          <w:color w:val="auto"/>
          <w:kern w:val="0"/>
          <w:szCs w:val="21"/>
          <w:lang w:val="en-US" w:eastAsia="zh-CN"/>
        </w:rPr>
        <w:t>3</w:t>
      </w:r>
      <w:r>
        <w:rPr>
          <w:rFonts w:hint="eastAsia" w:ascii="Times New Roman" w:hAnsi="Times New Roman"/>
          <w:color w:val="auto"/>
          <w:kern w:val="0"/>
          <w:szCs w:val="21"/>
        </w:rPr>
        <w:t>项，重点项目</w:t>
      </w:r>
      <w:r>
        <w:rPr>
          <w:rFonts w:ascii="Times New Roman" w:hAnsi="Times New Roman"/>
          <w:color w:val="auto"/>
          <w:kern w:val="0"/>
          <w:szCs w:val="21"/>
        </w:rPr>
        <w:t>1</w:t>
      </w:r>
      <w:r>
        <w:rPr>
          <w:rFonts w:hint="eastAsia" w:ascii="Times New Roman" w:hAnsi="Times New Roman"/>
          <w:color w:val="auto"/>
          <w:kern w:val="0"/>
          <w:szCs w:val="21"/>
          <w:lang w:val="en-US" w:eastAsia="zh-CN"/>
        </w:rPr>
        <w:t>0</w:t>
      </w:r>
      <w:r>
        <w:rPr>
          <w:rFonts w:hint="eastAsia" w:ascii="Times New Roman" w:hAnsi="Times New Roman"/>
          <w:color w:val="auto"/>
          <w:kern w:val="0"/>
          <w:szCs w:val="21"/>
        </w:rPr>
        <w:t>项，一般项目</w:t>
      </w:r>
      <w:r>
        <w:rPr>
          <w:rFonts w:ascii="Times New Roman" w:hAnsi="Times New Roman"/>
          <w:color w:val="auto"/>
          <w:kern w:val="0"/>
          <w:szCs w:val="21"/>
        </w:rPr>
        <w:t>1</w:t>
      </w:r>
      <w:r>
        <w:rPr>
          <w:rFonts w:hint="eastAsia" w:ascii="Times New Roman" w:hAnsi="Times New Roman"/>
          <w:color w:val="auto"/>
          <w:kern w:val="0"/>
          <w:szCs w:val="21"/>
          <w:lang w:val="en-US" w:eastAsia="zh-CN"/>
        </w:rPr>
        <w:t>4</w:t>
      </w:r>
      <w:r>
        <w:rPr>
          <w:rFonts w:hint="eastAsia" w:ascii="Times New Roman" w:hAnsi="Times New Roman"/>
          <w:color w:val="auto"/>
          <w:kern w:val="0"/>
          <w:szCs w:val="21"/>
        </w:rPr>
        <w:t>项。</w:t>
      </w: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rFonts w:hint="eastAsia"/>
          <w:color w:val="auto"/>
        </w:rPr>
      </w:pPr>
    </w:p>
    <w:p>
      <w:pPr>
        <w:widowControl/>
        <w:adjustRightInd w:val="0"/>
        <w:snapToGrid w:val="0"/>
        <w:spacing w:before="93" w:beforeLines="30"/>
        <w:jc w:val="center"/>
        <w:rPr>
          <w:rFonts w:ascii="Times New Roman" w:hAnsi="Times New Roman"/>
          <w:b/>
          <w:bCs/>
          <w:color w:val="auto"/>
          <w:kern w:val="0"/>
          <w:sz w:val="30"/>
          <w:szCs w:val="30"/>
        </w:rPr>
      </w:pPr>
      <w:r>
        <w:rPr>
          <w:rFonts w:ascii="Times New Roman" w:hAnsi="Times New Roman"/>
          <w:b/>
          <w:bCs/>
          <w:color w:val="auto"/>
          <w:kern w:val="0"/>
          <w:sz w:val="30"/>
          <w:szCs w:val="30"/>
        </w:rPr>
        <w:t>B.</w:t>
      </w:r>
      <w:r>
        <w:rPr>
          <w:rFonts w:hint="eastAsia" w:ascii="Times New Roman" w:hAnsi="Times New Roman"/>
          <w:b/>
          <w:bCs/>
          <w:color w:val="auto"/>
          <w:kern w:val="0"/>
          <w:sz w:val="30"/>
          <w:szCs w:val="30"/>
        </w:rPr>
        <w:t>伦理委员会检查项目</w:t>
      </w:r>
    </w:p>
    <w:tbl>
      <w:tblPr>
        <w:tblStyle w:val="6"/>
        <w:tblW w:w="8910"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6054"/>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51" w:type="dxa"/>
            <w:vAlign w:val="center"/>
          </w:tcPr>
          <w:p>
            <w:pPr>
              <w:widowControl/>
              <w:adjustRightInd w:val="0"/>
              <w:snapToGrid w:val="0"/>
              <w:spacing w:before="93" w:beforeLines="30"/>
              <w:jc w:val="center"/>
              <w:rPr>
                <w:rFonts w:ascii="Times New Roman" w:hAnsi="Times New Roman"/>
                <w:b/>
                <w:bCs/>
                <w:color w:val="auto"/>
                <w:kern w:val="0"/>
                <w:sz w:val="24"/>
              </w:rPr>
            </w:pPr>
            <w:r>
              <w:rPr>
                <w:rFonts w:hint="eastAsia" w:ascii="Times New Roman" w:hAnsi="Times New Roman"/>
                <w:b/>
                <w:bCs/>
                <w:color w:val="auto"/>
                <w:kern w:val="0"/>
                <w:sz w:val="24"/>
              </w:rPr>
              <w:t>检查</w:t>
            </w:r>
          </w:p>
          <w:p>
            <w:pPr>
              <w:widowControl/>
              <w:adjustRightInd w:val="0"/>
              <w:snapToGrid w:val="0"/>
              <w:spacing w:before="93" w:beforeLines="30"/>
              <w:jc w:val="center"/>
              <w:rPr>
                <w:rFonts w:ascii="Times New Roman" w:hAnsi="Times New Roman"/>
                <w:b/>
                <w:bCs/>
                <w:color w:val="auto"/>
                <w:kern w:val="0"/>
                <w:sz w:val="24"/>
              </w:rPr>
            </w:pPr>
            <w:r>
              <w:rPr>
                <w:rFonts w:hint="eastAsia" w:ascii="Times New Roman" w:hAnsi="Times New Roman"/>
                <w:b/>
                <w:bCs/>
                <w:color w:val="auto"/>
                <w:kern w:val="0"/>
                <w:sz w:val="24"/>
              </w:rPr>
              <w:t>环节</w:t>
            </w:r>
          </w:p>
        </w:tc>
        <w:tc>
          <w:tcPr>
            <w:tcW w:w="6054" w:type="dxa"/>
            <w:vAlign w:val="center"/>
          </w:tcPr>
          <w:p>
            <w:pPr>
              <w:widowControl/>
              <w:adjustRightInd w:val="0"/>
              <w:snapToGrid w:val="0"/>
              <w:spacing w:before="93" w:beforeLines="30"/>
              <w:jc w:val="center"/>
              <w:rPr>
                <w:rFonts w:ascii="Times New Roman" w:hAnsi="Times New Roman"/>
                <w:b/>
                <w:bCs/>
                <w:color w:val="auto"/>
                <w:kern w:val="0"/>
                <w:sz w:val="24"/>
              </w:rPr>
            </w:pPr>
            <w:r>
              <w:rPr>
                <w:rFonts w:hint="eastAsia" w:ascii="Times New Roman" w:hAnsi="Times New Roman"/>
                <w:b/>
                <w:bCs/>
                <w:color w:val="auto"/>
                <w:kern w:val="0"/>
                <w:sz w:val="24"/>
              </w:rPr>
              <w:t>检查项目</w:t>
            </w:r>
          </w:p>
        </w:tc>
        <w:tc>
          <w:tcPr>
            <w:tcW w:w="1605" w:type="dxa"/>
            <w:vAlign w:val="center"/>
          </w:tcPr>
          <w:p>
            <w:pPr>
              <w:widowControl/>
              <w:adjustRightInd w:val="0"/>
              <w:snapToGrid w:val="0"/>
              <w:spacing w:before="93" w:beforeLines="30"/>
              <w:jc w:val="center"/>
              <w:rPr>
                <w:rFonts w:ascii="Times New Roman" w:hAnsi="Times New Roman"/>
                <w:b/>
                <w:bCs/>
                <w:color w:val="auto"/>
                <w:kern w:val="0"/>
                <w:sz w:val="24"/>
              </w:rPr>
            </w:pPr>
            <w:r>
              <w:rPr>
                <w:rFonts w:hint="eastAsia" w:ascii="Times New Roman" w:hAnsi="Times New Roman"/>
                <w:b/>
                <w:bCs/>
                <w:color w:val="auto"/>
                <w:kern w:val="0"/>
                <w:sz w:val="24"/>
              </w:rPr>
              <w:t>项目分级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51" w:type="dxa"/>
            <w:vMerge w:val="restart"/>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B1.</w:t>
            </w:r>
            <w:r>
              <w:rPr>
                <w:rFonts w:hint="eastAsia" w:ascii="Times New Roman" w:hAnsi="Times New Roman"/>
                <w:color w:val="auto"/>
                <w:kern w:val="0"/>
                <w:szCs w:val="21"/>
              </w:rPr>
              <w:t>伦理委员会备案及报告</w:t>
            </w:r>
          </w:p>
        </w:tc>
        <w:tc>
          <w:tcPr>
            <w:tcW w:w="605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B1.1</w:t>
            </w:r>
            <w:r>
              <w:rPr>
                <w:rFonts w:hint="eastAsia" w:ascii="Times New Roman" w:hAnsi="Times New Roman"/>
                <w:color w:val="auto"/>
                <w:kern w:val="0"/>
                <w:szCs w:val="21"/>
              </w:rPr>
              <w:t>具有负责药物临床试验伦理审查的伦理委员会，伦理委员会相关信息已在国家药品监督管理局“药物临床试验机构备案管理信息平台”备案；</w:t>
            </w:r>
          </w:p>
          <w:p>
            <w:pPr>
              <w:widowControl/>
              <w:adjustRightInd w:val="0"/>
              <w:snapToGrid w:val="0"/>
              <w:spacing w:before="93" w:beforeLines="30"/>
              <w:rPr>
                <w:rFonts w:ascii="Times New Roman" w:hAnsi="Times New Roman"/>
                <w:color w:val="auto"/>
                <w:kern w:val="0"/>
                <w:szCs w:val="21"/>
              </w:rPr>
            </w:pPr>
            <w:r>
              <w:rPr>
                <w:rFonts w:hint="eastAsia" w:ascii="Times New Roman" w:hAnsi="Times New Roman"/>
                <w:color w:val="auto"/>
                <w:kern w:val="0"/>
                <w:szCs w:val="21"/>
              </w:rPr>
              <w:t>同时按照《涉及人的生物医学研究伦理审查办法》要求，伦理委员会应在医学研究登记备案信息系统公开有关信息，接受本机构和卫生健康主管部门的管理和公众监督。</w:t>
            </w:r>
          </w:p>
        </w:tc>
        <w:tc>
          <w:tcPr>
            <w:tcW w:w="1605" w:type="dxa"/>
            <w:vAlign w:val="center"/>
          </w:tcPr>
          <w:p>
            <w:pPr>
              <w:widowControl/>
              <w:adjustRightInd w:val="0"/>
              <w:snapToGrid w:val="0"/>
              <w:spacing w:before="93" w:beforeLines="30"/>
              <w:jc w:val="center"/>
              <w:rPr>
                <w:rFonts w:ascii="Times New Roman" w:hAnsi="Times New Roman"/>
                <w:color w:val="auto"/>
                <w:kern w:val="0"/>
                <w:sz w:val="24"/>
              </w:rPr>
            </w:pPr>
            <w:r>
              <w:rPr>
                <w:rFonts w:hint="eastAsia" w:ascii="Segoe UI Symbol" w:hAnsi="Segoe UI Symbol" w:cs="Segoe UI Symbol"/>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251" w:type="dxa"/>
            <w:vMerge w:val="continue"/>
            <w:vAlign w:val="center"/>
          </w:tcPr>
          <w:p>
            <w:pPr>
              <w:widowControl/>
              <w:adjustRightInd w:val="0"/>
              <w:snapToGrid w:val="0"/>
              <w:spacing w:before="93" w:beforeLines="30"/>
              <w:rPr>
                <w:rFonts w:ascii="Times New Roman" w:hAnsi="Times New Roman"/>
                <w:color w:val="auto"/>
                <w:kern w:val="0"/>
                <w:szCs w:val="21"/>
              </w:rPr>
            </w:pPr>
          </w:p>
        </w:tc>
        <w:tc>
          <w:tcPr>
            <w:tcW w:w="6054" w:type="dxa"/>
          </w:tcPr>
          <w:p>
            <w:pPr>
              <w:adjustRightInd w:val="0"/>
              <w:snapToGrid w:val="0"/>
              <w:spacing w:before="93" w:beforeLines="30"/>
              <w:rPr>
                <w:rFonts w:ascii="Times New Roman" w:hAnsi="Times New Roman"/>
                <w:color w:val="auto"/>
              </w:rPr>
            </w:pPr>
            <w:r>
              <w:rPr>
                <w:rFonts w:ascii="Times New Roman" w:hAnsi="Times New Roman"/>
                <w:color w:val="auto"/>
              </w:rPr>
              <w:t>B1.2</w:t>
            </w:r>
            <w:r>
              <w:rPr>
                <w:rFonts w:hint="eastAsia" w:ascii="Times New Roman" w:hAnsi="Times New Roman"/>
                <w:color w:val="auto"/>
              </w:rPr>
              <w:t>有机构组织框架图：明确伦理委员会的管理隶属关系，在管理机制上能保障其独立开展审查工作。</w:t>
            </w:r>
          </w:p>
        </w:tc>
        <w:tc>
          <w:tcPr>
            <w:tcW w:w="1605" w:type="dxa"/>
            <w:vAlign w:val="center"/>
          </w:tcPr>
          <w:p>
            <w:pPr>
              <w:adjustRightInd w:val="0"/>
              <w:snapToGrid w:val="0"/>
              <w:spacing w:before="93" w:beforeLines="30"/>
              <w:jc w:val="center"/>
              <w:rPr>
                <w:rFonts w:ascii="Times New Roman" w:hAnsi="Times New Roman"/>
                <w:color w:val="auto"/>
              </w:rPr>
            </w:pPr>
            <w:r>
              <w:rPr>
                <w:rFonts w:hint="eastAsia" w:ascii="Segoe UI Symbol" w:hAnsi="Segoe UI Symbol" w:cs="Segoe UI Symbol"/>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251" w:type="dxa"/>
            <w:vMerge w:val="continue"/>
            <w:vAlign w:val="center"/>
          </w:tcPr>
          <w:p>
            <w:pPr>
              <w:widowControl/>
              <w:adjustRightInd w:val="0"/>
              <w:snapToGrid w:val="0"/>
              <w:spacing w:before="93" w:beforeLines="30"/>
              <w:rPr>
                <w:rFonts w:ascii="Times New Roman" w:hAnsi="Times New Roman"/>
                <w:color w:val="auto"/>
                <w:kern w:val="0"/>
                <w:szCs w:val="21"/>
              </w:rPr>
            </w:pPr>
          </w:p>
        </w:tc>
        <w:tc>
          <w:tcPr>
            <w:tcW w:w="6054" w:type="dxa"/>
          </w:tcPr>
          <w:p>
            <w:pPr>
              <w:adjustRightInd w:val="0"/>
              <w:snapToGrid w:val="0"/>
              <w:spacing w:before="93" w:beforeLines="30"/>
              <w:rPr>
                <w:rFonts w:ascii="Times New Roman" w:hAnsi="Times New Roman"/>
                <w:color w:val="auto"/>
              </w:rPr>
            </w:pPr>
            <w:r>
              <w:rPr>
                <w:rFonts w:ascii="Times New Roman" w:hAnsi="Times New Roman"/>
                <w:color w:val="auto"/>
              </w:rPr>
              <w:t>B1.3</w:t>
            </w:r>
            <w:r>
              <w:rPr>
                <w:rFonts w:hint="eastAsia" w:ascii="Times New Roman" w:hAnsi="Times New Roman"/>
                <w:color w:val="auto"/>
              </w:rPr>
              <w:t>伦理委员会应通过官方网站向社会公开伦理委员会的联系方式及委员名单、专业</w:t>
            </w:r>
            <w:r>
              <w:rPr>
                <w:rFonts w:ascii="Times New Roman" w:hAnsi="Times New Roman"/>
                <w:color w:val="auto"/>
              </w:rPr>
              <w:t>/</w:t>
            </w:r>
            <w:r>
              <w:rPr>
                <w:rFonts w:hint="eastAsia" w:ascii="Times New Roman" w:hAnsi="Times New Roman"/>
                <w:color w:val="auto"/>
              </w:rPr>
              <w:t>职业、单位等信息。</w:t>
            </w:r>
          </w:p>
        </w:tc>
        <w:tc>
          <w:tcPr>
            <w:tcW w:w="1605" w:type="dxa"/>
          </w:tcPr>
          <w:p>
            <w:pPr>
              <w:adjustRightInd w:val="0"/>
              <w:snapToGrid w:val="0"/>
              <w:spacing w:before="93" w:beforeLines="30"/>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251" w:type="dxa"/>
            <w:vMerge w:val="continue"/>
            <w:vAlign w:val="center"/>
          </w:tcPr>
          <w:p>
            <w:pPr>
              <w:widowControl/>
              <w:adjustRightInd w:val="0"/>
              <w:snapToGrid w:val="0"/>
              <w:spacing w:before="93" w:beforeLines="30"/>
              <w:rPr>
                <w:rFonts w:ascii="Times New Roman" w:hAnsi="Times New Roman"/>
                <w:color w:val="auto"/>
                <w:kern w:val="0"/>
                <w:szCs w:val="21"/>
              </w:rPr>
            </w:pPr>
          </w:p>
        </w:tc>
        <w:tc>
          <w:tcPr>
            <w:tcW w:w="6054" w:type="dxa"/>
          </w:tcPr>
          <w:p>
            <w:pPr>
              <w:adjustRightInd w:val="0"/>
              <w:snapToGrid w:val="0"/>
              <w:spacing w:before="93" w:beforeLines="30"/>
              <w:rPr>
                <w:rFonts w:ascii="Times New Roman" w:hAnsi="Times New Roman"/>
                <w:color w:val="auto"/>
              </w:rPr>
            </w:pPr>
            <w:r>
              <w:rPr>
                <w:rFonts w:ascii="Times New Roman" w:hAnsi="Times New Roman"/>
                <w:color w:val="auto"/>
              </w:rPr>
              <w:t>B1.4</w:t>
            </w:r>
            <w:r>
              <w:rPr>
                <w:rFonts w:hint="eastAsia" w:ascii="Times New Roman" w:hAnsi="Times New Roman"/>
                <w:color w:val="auto"/>
              </w:rPr>
              <w:t>伦理委员会应通过官方网站向社会公开伦理委员会章程与工作程序。</w:t>
            </w:r>
          </w:p>
        </w:tc>
        <w:tc>
          <w:tcPr>
            <w:tcW w:w="1605" w:type="dxa"/>
          </w:tcPr>
          <w:p>
            <w:pPr>
              <w:adjustRightInd w:val="0"/>
              <w:snapToGrid w:val="0"/>
              <w:spacing w:before="93" w:beforeLines="30"/>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51" w:type="dxa"/>
            <w:vMerge w:val="restart"/>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B2.</w:t>
            </w:r>
            <w:r>
              <w:rPr>
                <w:rFonts w:hint="eastAsia" w:ascii="Times New Roman" w:hAnsi="Times New Roman"/>
                <w:color w:val="auto"/>
                <w:kern w:val="0"/>
                <w:szCs w:val="21"/>
              </w:rPr>
              <w:t>组成与人员</w:t>
            </w:r>
          </w:p>
        </w:tc>
        <w:tc>
          <w:tcPr>
            <w:tcW w:w="6054" w:type="dxa"/>
          </w:tcPr>
          <w:p>
            <w:pPr>
              <w:adjustRightInd w:val="0"/>
              <w:snapToGrid w:val="0"/>
              <w:spacing w:before="93" w:beforeLines="30"/>
              <w:rPr>
                <w:rFonts w:ascii="Times New Roman" w:hAnsi="Times New Roman"/>
                <w:color w:val="auto"/>
              </w:rPr>
            </w:pPr>
            <w:r>
              <w:rPr>
                <w:rFonts w:ascii="Times New Roman" w:hAnsi="Times New Roman"/>
                <w:color w:val="auto"/>
              </w:rPr>
              <w:t>B2.1</w:t>
            </w:r>
            <w:r>
              <w:rPr>
                <w:rFonts w:hint="eastAsia" w:ascii="Times New Roman" w:hAnsi="Times New Roman"/>
                <w:color w:val="auto"/>
              </w:rPr>
              <w:t>伦理委员会的委员组成符合卫生健康主管部门的要求，设主任委员、副主任委员和委员，人数不得少于</w:t>
            </w:r>
            <w:r>
              <w:rPr>
                <w:rFonts w:ascii="Times New Roman" w:hAnsi="Times New Roman"/>
                <w:color w:val="auto"/>
              </w:rPr>
              <w:t>7</w:t>
            </w:r>
            <w:r>
              <w:rPr>
                <w:rFonts w:hint="eastAsia" w:ascii="Times New Roman" w:hAnsi="Times New Roman"/>
                <w:color w:val="auto"/>
              </w:rPr>
              <w:t>人，并且应当有不同性别的委员，伦理委员会委员专业背景符合要求，应为生物医学领域和伦理学、法学、社会学等领域的专家和非本机构的社会人士。</w:t>
            </w:r>
          </w:p>
        </w:tc>
        <w:tc>
          <w:tcPr>
            <w:tcW w:w="1605" w:type="dxa"/>
            <w:vAlign w:val="center"/>
          </w:tcPr>
          <w:p>
            <w:pPr>
              <w:adjustRightInd w:val="0"/>
              <w:snapToGrid w:val="0"/>
              <w:spacing w:before="93" w:beforeLines="30"/>
              <w:jc w:val="center"/>
              <w:rPr>
                <w:rFonts w:ascii="Times New Roman" w:hAnsi="Times New Roman"/>
                <w:color w:val="auto"/>
              </w:rPr>
            </w:pPr>
            <w:r>
              <w:rPr>
                <w:rFonts w:hint="eastAsia" w:ascii="Segoe UI Symbol" w:hAnsi="Segoe UI Symbol" w:cs="Segoe UI Symbol"/>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51" w:type="dxa"/>
            <w:vMerge w:val="continue"/>
          </w:tcPr>
          <w:p>
            <w:pPr>
              <w:widowControl/>
              <w:adjustRightInd w:val="0"/>
              <w:snapToGrid w:val="0"/>
              <w:spacing w:before="93" w:beforeLines="30"/>
              <w:rPr>
                <w:rFonts w:ascii="Times New Roman" w:hAnsi="Times New Roman"/>
                <w:color w:val="auto"/>
                <w:kern w:val="0"/>
                <w:szCs w:val="21"/>
              </w:rPr>
            </w:pPr>
          </w:p>
        </w:tc>
        <w:tc>
          <w:tcPr>
            <w:tcW w:w="6054" w:type="dxa"/>
          </w:tcPr>
          <w:p>
            <w:pPr>
              <w:adjustRightInd w:val="0"/>
              <w:snapToGrid w:val="0"/>
              <w:spacing w:before="93" w:beforeLines="30"/>
              <w:rPr>
                <w:rFonts w:ascii="Times New Roman" w:hAnsi="Times New Roman"/>
                <w:color w:val="auto"/>
              </w:rPr>
            </w:pPr>
            <w:r>
              <w:rPr>
                <w:rFonts w:ascii="Times New Roman" w:hAnsi="Times New Roman"/>
                <w:color w:val="auto"/>
              </w:rPr>
              <w:t>B2.2</w:t>
            </w:r>
            <w:r>
              <w:rPr>
                <w:rFonts w:hint="eastAsia" w:ascii="Times New Roman" w:hAnsi="Times New Roman"/>
                <w:color w:val="auto"/>
              </w:rPr>
              <w:t>委员资质合格：具备必需的经验、知识、技术，并接受药物临床试验相关法律法规、本单位伦理审查工作程序、伦理审查专业知识等培训，获得相关培训证书。</w:t>
            </w:r>
          </w:p>
        </w:tc>
        <w:tc>
          <w:tcPr>
            <w:tcW w:w="1605" w:type="dxa"/>
            <w:vAlign w:val="center"/>
          </w:tcPr>
          <w:p>
            <w:pPr>
              <w:adjustRightInd w:val="0"/>
              <w:snapToGrid w:val="0"/>
              <w:spacing w:before="93" w:beforeLines="30"/>
              <w:jc w:val="center"/>
              <w:rPr>
                <w:rFonts w:ascii="Times New Roman" w:hAnsi="Times New Roman"/>
                <w:color w:val="auto"/>
              </w:rPr>
            </w:pPr>
            <w:r>
              <w:rPr>
                <w:rFonts w:hint="eastAsia" w:ascii="Segoe UI Symbol" w:hAnsi="Segoe UI Symbol" w:cs="Segoe UI Symbol"/>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51" w:type="dxa"/>
            <w:vMerge w:val="continue"/>
            <w:vAlign w:val="center"/>
          </w:tcPr>
          <w:p>
            <w:pPr>
              <w:widowControl/>
              <w:adjustRightInd w:val="0"/>
              <w:snapToGrid w:val="0"/>
              <w:spacing w:before="93" w:beforeLines="30"/>
              <w:rPr>
                <w:rFonts w:ascii="Times New Roman" w:hAnsi="Times New Roman"/>
                <w:color w:val="auto"/>
                <w:kern w:val="0"/>
                <w:szCs w:val="21"/>
              </w:rPr>
            </w:pPr>
          </w:p>
        </w:tc>
        <w:tc>
          <w:tcPr>
            <w:tcW w:w="6054" w:type="dxa"/>
            <w:vAlign w:val="center"/>
          </w:tcPr>
          <w:p>
            <w:pPr>
              <w:widowControl/>
              <w:adjustRightInd w:val="0"/>
              <w:snapToGrid w:val="0"/>
              <w:spacing w:before="93" w:beforeLines="30"/>
              <w:rPr>
                <w:rFonts w:ascii="Times New Roman" w:hAnsi="Times New Roman"/>
                <w:color w:val="auto"/>
              </w:rPr>
            </w:pPr>
            <w:r>
              <w:rPr>
                <w:rFonts w:ascii="Times New Roman" w:hAnsi="Times New Roman"/>
                <w:color w:val="auto"/>
              </w:rPr>
              <w:t>B2.3</w:t>
            </w:r>
            <w:r>
              <w:rPr>
                <w:rFonts w:hint="eastAsia" w:ascii="Times New Roman" w:hAnsi="Times New Roman"/>
                <w:color w:val="auto"/>
              </w:rPr>
              <w:t>配备固定</w:t>
            </w:r>
            <w:r>
              <w:rPr>
                <w:rFonts w:ascii="Times New Roman" w:hAnsi="Times New Roman"/>
                <w:color w:val="auto"/>
              </w:rPr>
              <w:t>/</w:t>
            </w:r>
            <w:r>
              <w:rPr>
                <w:rFonts w:hint="eastAsia" w:ascii="Times New Roman" w:hAnsi="Times New Roman"/>
                <w:color w:val="auto"/>
              </w:rPr>
              <w:t>专职秘书和工作人员</w:t>
            </w:r>
            <w:r>
              <w:rPr>
                <w:rFonts w:ascii="Times New Roman" w:hAnsi="Times New Roman"/>
                <w:color w:val="auto"/>
              </w:rPr>
              <w:t xml:space="preserve">, </w:t>
            </w:r>
            <w:r>
              <w:rPr>
                <w:rFonts w:hint="eastAsia" w:ascii="Times New Roman" w:hAnsi="Times New Roman"/>
                <w:color w:val="auto"/>
              </w:rPr>
              <w:t>人员资质合格</w:t>
            </w:r>
            <w:r>
              <w:rPr>
                <w:rFonts w:ascii="Times New Roman" w:hAnsi="Times New Roman"/>
                <w:color w:val="auto"/>
              </w:rPr>
              <w:t>,</w:t>
            </w:r>
            <w:r>
              <w:rPr>
                <w:rFonts w:hint="eastAsia" w:ascii="Times New Roman" w:hAnsi="Times New Roman"/>
                <w:color w:val="auto"/>
              </w:rPr>
              <w:t>具备必要的经验、知识、技术，并接受药物临床试验相关法律法规、本单位伦理审查工作程序、伦理审查专业知识等培训，获得相关培训证书。</w:t>
            </w:r>
          </w:p>
        </w:tc>
        <w:tc>
          <w:tcPr>
            <w:tcW w:w="1605" w:type="dxa"/>
            <w:vAlign w:val="center"/>
          </w:tcPr>
          <w:p>
            <w:pPr>
              <w:adjustRightInd w:val="0"/>
              <w:snapToGrid w:val="0"/>
              <w:spacing w:before="93" w:beforeLines="30"/>
              <w:jc w:val="center"/>
              <w:rPr>
                <w:rFonts w:ascii="Times New Roman" w:hAnsi="Times New Roman"/>
                <w:color w:val="auto"/>
              </w:rPr>
            </w:pPr>
            <w:r>
              <w:rPr>
                <w:rFonts w:hint="eastAsia" w:ascii="Segoe UI Symbol" w:hAnsi="Segoe UI Symbol" w:cs="Segoe UI Symbol"/>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51" w:type="dxa"/>
            <w:vMerge w:val="continue"/>
            <w:vAlign w:val="center"/>
          </w:tcPr>
          <w:p>
            <w:pPr>
              <w:widowControl/>
              <w:adjustRightInd w:val="0"/>
              <w:snapToGrid w:val="0"/>
              <w:spacing w:before="93" w:beforeLines="30"/>
              <w:rPr>
                <w:rFonts w:ascii="Times New Roman" w:hAnsi="Times New Roman"/>
                <w:color w:val="auto"/>
                <w:kern w:val="0"/>
                <w:szCs w:val="21"/>
              </w:rPr>
            </w:pPr>
          </w:p>
        </w:tc>
        <w:tc>
          <w:tcPr>
            <w:tcW w:w="605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B2.4</w:t>
            </w:r>
            <w:r>
              <w:rPr>
                <w:rFonts w:hint="eastAsia" w:ascii="Times New Roman" w:hAnsi="Times New Roman"/>
                <w:color w:val="auto"/>
                <w:kern w:val="0"/>
                <w:szCs w:val="21"/>
              </w:rPr>
              <w:t>伦理委员会委员应签署利益冲突声明，签署有关审查项目、受试者信息和相关事宜的保密协议</w:t>
            </w:r>
            <w:r>
              <w:rPr>
                <w:rFonts w:ascii="Times New Roman" w:hAnsi="Times New Roman"/>
                <w:color w:val="auto"/>
                <w:kern w:val="0"/>
                <w:sz w:val="24"/>
                <w:shd w:val="clear" w:color="auto" w:fill="FFFFFF"/>
                <w:lang w:bidi="ar"/>
              </w:rPr>
              <w:t>。</w:t>
            </w:r>
          </w:p>
        </w:tc>
        <w:tc>
          <w:tcPr>
            <w:tcW w:w="1605" w:type="dxa"/>
            <w:vAlign w:val="center"/>
          </w:tcPr>
          <w:p>
            <w:pPr>
              <w:widowControl/>
              <w:adjustRightInd w:val="0"/>
              <w:snapToGrid w:val="0"/>
              <w:spacing w:before="93" w:beforeLines="30"/>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51" w:type="dxa"/>
            <w:vMerge w:val="continue"/>
            <w:vAlign w:val="center"/>
          </w:tcPr>
          <w:p>
            <w:pPr>
              <w:widowControl/>
              <w:adjustRightInd w:val="0"/>
              <w:snapToGrid w:val="0"/>
              <w:spacing w:before="93" w:beforeLines="30"/>
              <w:rPr>
                <w:rFonts w:ascii="Times New Roman" w:hAnsi="Times New Roman"/>
                <w:color w:val="auto"/>
                <w:kern w:val="0"/>
                <w:szCs w:val="21"/>
              </w:rPr>
            </w:pPr>
          </w:p>
        </w:tc>
        <w:tc>
          <w:tcPr>
            <w:tcW w:w="605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B2.5</w:t>
            </w:r>
            <w:r>
              <w:rPr>
                <w:rFonts w:hint="eastAsia" w:ascii="Times New Roman" w:hAnsi="Times New Roman"/>
                <w:color w:val="auto"/>
                <w:kern w:val="0"/>
                <w:szCs w:val="21"/>
              </w:rPr>
              <w:t>伦理委员会委员、秘书及相关工作人员熟练掌握药物临床试验和伦理审查相关法律法规、本单位伦理审查程序、审查内容相关要求。</w:t>
            </w:r>
          </w:p>
        </w:tc>
        <w:tc>
          <w:tcPr>
            <w:tcW w:w="1605" w:type="dxa"/>
          </w:tcPr>
          <w:p>
            <w:pPr>
              <w:adjustRightInd w:val="0"/>
              <w:snapToGrid w:val="0"/>
              <w:spacing w:before="93" w:beforeLines="30"/>
              <w:jc w:val="center"/>
              <w:rPr>
                <w:rFonts w:ascii="Times New Roman" w:hAnsi="Times New Roman"/>
                <w:color w:val="auto"/>
              </w:rPr>
            </w:pPr>
            <w:r>
              <w:rPr>
                <w:rFonts w:hint="eastAsia" w:ascii="Segoe UI Symbol" w:hAnsi="Segoe UI Symbol" w:cs="Segoe UI Symbol"/>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51" w:type="dxa"/>
            <w:vMerge w:val="restart"/>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B3.</w:t>
            </w:r>
            <w:r>
              <w:rPr>
                <w:rFonts w:hint="eastAsia" w:ascii="Times New Roman" w:hAnsi="Times New Roman"/>
                <w:color w:val="auto"/>
                <w:kern w:val="0"/>
                <w:szCs w:val="21"/>
              </w:rPr>
              <w:t>场所与设施设备</w:t>
            </w:r>
          </w:p>
        </w:tc>
        <w:tc>
          <w:tcPr>
            <w:tcW w:w="605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B3.1</w:t>
            </w:r>
            <w:r>
              <w:rPr>
                <w:rFonts w:hint="eastAsia" w:ascii="Times New Roman" w:hAnsi="Times New Roman"/>
                <w:color w:val="auto"/>
                <w:kern w:val="0"/>
                <w:szCs w:val="21"/>
              </w:rPr>
              <w:t>伦理委员会具有独立的工作场所，具备必要的办公条件。包括但不限于专用办公室、文件柜、直拨电话</w:t>
            </w:r>
            <w:r>
              <w:rPr>
                <w:rFonts w:ascii="Times New Roman" w:hAnsi="Times New Roman"/>
                <w:color w:val="auto"/>
                <w:kern w:val="0"/>
                <w:szCs w:val="21"/>
              </w:rPr>
              <w:t>/</w:t>
            </w:r>
            <w:r>
              <w:rPr>
                <w:rFonts w:hint="eastAsia" w:ascii="Times New Roman" w:hAnsi="Times New Roman"/>
                <w:color w:val="auto"/>
                <w:kern w:val="0"/>
                <w:szCs w:val="21"/>
              </w:rPr>
              <w:t>传真机、联网计算机、复印设备等</w:t>
            </w:r>
            <w:r>
              <w:rPr>
                <w:rFonts w:ascii="Times New Roman" w:hAnsi="Times New Roman"/>
                <w:color w:val="auto"/>
                <w:kern w:val="0"/>
                <w:sz w:val="24"/>
                <w:shd w:val="clear" w:color="auto" w:fill="FFFFFF"/>
                <w:lang w:bidi="ar"/>
              </w:rPr>
              <w:t>。</w:t>
            </w:r>
          </w:p>
        </w:tc>
        <w:tc>
          <w:tcPr>
            <w:tcW w:w="1605" w:type="dxa"/>
            <w:vAlign w:val="center"/>
          </w:tcPr>
          <w:p>
            <w:pPr>
              <w:widowControl/>
              <w:adjustRightInd w:val="0"/>
              <w:snapToGrid w:val="0"/>
              <w:spacing w:before="93" w:beforeLines="3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51" w:type="dxa"/>
            <w:vMerge w:val="continue"/>
            <w:vAlign w:val="center"/>
          </w:tcPr>
          <w:p>
            <w:pPr>
              <w:widowControl/>
              <w:adjustRightInd w:val="0"/>
              <w:snapToGrid w:val="0"/>
              <w:spacing w:before="93" w:beforeLines="30"/>
              <w:rPr>
                <w:rFonts w:ascii="Times New Roman" w:hAnsi="Times New Roman"/>
                <w:color w:val="auto"/>
                <w:kern w:val="0"/>
                <w:szCs w:val="21"/>
              </w:rPr>
            </w:pPr>
          </w:p>
        </w:tc>
        <w:tc>
          <w:tcPr>
            <w:tcW w:w="605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B3.2</w:t>
            </w:r>
            <w:r>
              <w:rPr>
                <w:rFonts w:hint="eastAsia" w:ascii="Times New Roman" w:hAnsi="Times New Roman"/>
                <w:color w:val="auto"/>
                <w:kern w:val="0"/>
                <w:szCs w:val="21"/>
              </w:rPr>
              <w:t>具有伦理委员会档案室，设施设备能够满足相关资料管理需要，具备防止光线直接照射、防潮、防火、防盗等条件</w:t>
            </w:r>
            <w:r>
              <w:rPr>
                <w:rFonts w:ascii="Times New Roman" w:hAnsi="Times New Roman"/>
                <w:color w:val="auto"/>
                <w:kern w:val="0"/>
                <w:sz w:val="24"/>
                <w:shd w:val="clear" w:color="auto" w:fill="FFFFFF"/>
                <w:lang w:bidi="ar"/>
              </w:rPr>
              <w:t>。</w:t>
            </w:r>
          </w:p>
        </w:tc>
        <w:tc>
          <w:tcPr>
            <w:tcW w:w="1605" w:type="dxa"/>
            <w:vAlign w:val="center"/>
          </w:tcPr>
          <w:p>
            <w:pPr>
              <w:widowControl/>
              <w:adjustRightInd w:val="0"/>
              <w:snapToGrid w:val="0"/>
              <w:spacing w:before="93" w:beforeLines="30"/>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51" w:type="dxa"/>
            <w:vMerge w:val="restart"/>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B4.</w:t>
            </w:r>
            <w:r>
              <w:rPr>
                <w:rFonts w:hint="eastAsia" w:ascii="Times New Roman" w:hAnsi="Times New Roman"/>
                <w:color w:val="auto"/>
                <w:kern w:val="0"/>
                <w:szCs w:val="21"/>
              </w:rPr>
              <w:t>人员培训</w:t>
            </w:r>
          </w:p>
        </w:tc>
        <w:tc>
          <w:tcPr>
            <w:tcW w:w="6054"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B4.1</w:t>
            </w:r>
            <w:r>
              <w:rPr>
                <w:rFonts w:hint="eastAsia" w:ascii="Times New Roman" w:hAnsi="Times New Roman"/>
                <w:color w:val="auto"/>
                <w:kern w:val="0"/>
                <w:szCs w:val="21"/>
              </w:rPr>
              <w:t>制定有伦理委员会委员培训计划，伦理委员定期接受生物医学研究伦理知识及相关法律法规知识培训</w:t>
            </w:r>
            <w:r>
              <w:rPr>
                <w:rFonts w:ascii="Times New Roman" w:hAnsi="Times New Roman"/>
                <w:color w:val="auto"/>
                <w:kern w:val="0"/>
                <w:sz w:val="24"/>
                <w:shd w:val="clear" w:color="auto" w:fill="FFFFFF"/>
                <w:lang w:bidi="ar"/>
              </w:rPr>
              <w:t>。</w:t>
            </w:r>
          </w:p>
        </w:tc>
        <w:tc>
          <w:tcPr>
            <w:tcW w:w="1605" w:type="dxa"/>
            <w:vAlign w:val="center"/>
          </w:tcPr>
          <w:p>
            <w:pPr>
              <w:widowControl/>
              <w:adjustRightInd w:val="0"/>
              <w:snapToGrid w:val="0"/>
              <w:spacing w:before="93" w:beforeLines="30"/>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51" w:type="dxa"/>
            <w:vMerge w:val="continue"/>
            <w:vAlign w:val="center"/>
          </w:tcPr>
          <w:p>
            <w:pPr>
              <w:widowControl/>
              <w:adjustRightInd w:val="0"/>
              <w:snapToGrid w:val="0"/>
              <w:spacing w:before="93" w:beforeLines="30"/>
              <w:rPr>
                <w:rFonts w:ascii="Times New Roman" w:hAnsi="Times New Roman"/>
                <w:color w:val="auto"/>
                <w:kern w:val="0"/>
                <w:szCs w:val="21"/>
              </w:rPr>
            </w:pPr>
          </w:p>
        </w:tc>
        <w:tc>
          <w:tcPr>
            <w:tcW w:w="6054"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B4.2培训工作</w:t>
            </w:r>
            <w:r>
              <w:rPr>
                <w:rFonts w:hint="eastAsia" w:ascii="Times New Roman" w:hAnsi="Times New Roman"/>
                <w:color w:val="auto"/>
                <w:kern w:val="0"/>
                <w:szCs w:val="21"/>
              </w:rPr>
              <w:t>计划实施并留存相关记录，包括但不限于：培训方案、培训记录、培训签到和考核记录等</w:t>
            </w:r>
            <w:r>
              <w:rPr>
                <w:rFonts w:ascii="Times New Roman" w:hAnsi="Times New Roman"/>
                <w:color w:val="auto"/>
                <w:kern w:val="0"/>
                <w:sz w:val="24"/>
                <w:shd w:val="clear" w:color="auto" w:fill="FFFFFF"/>
                <w:lang w:bidi="ar"/>
              </w:rPr>
              <w:t>。</w:t>
            </w:r>
          </w:p>
        </w:tc>
        <w:tc>
          <w:tcPr>
            <w:tcW w:w="1605" w:type="dxa"/>
            <w:vAlign w:val="center"/>
          </w:tcPr>
          <w:p>
            <w:pPr>
              <w:widowControl/>
              <w:adjustRightInd w:val="0"/>
              <w:snapToGrid w:val="0"/>
              <w:spacing w:before="93" w:beforeLines="30"/>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51" w:type="dxa"/>
            <w:vMerge w:val="restart"/>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B5.</w:t>
            </w:r>
            <w:r>
              <w:rPr>
                <w:rFonts w:hint="eastAsia" w:ascii="Times New Roman" w:hAnsi="Times New Roman"/>
                <w:color w:val="auto"/>
                <w:kern w:val="0"/>
                <w:szCs w:val="21"/>
              </w:rPr>
              <w:t>体系文件</w:t>
            </w:r>
          </w:p>
        </w:tc>
        <w:tc>
          <w:tcPr>
            <w:tcW w:w="605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B5.1</w:t>
            </w:r>
            <w:r>
              <w:rPr>
                <w:rFonts w:hint="eastAsia" w:ascii="Times New Roman" w:hAnsi="Times New Roman"/>
                <w:color w:val="auto"/>
                <w:kern w:val="0"/>
                <w:szCs w:val="21"/>
              </w:rPr>
              <w:t>伦理委员会有工作章程，内容包括</w:t>
            </w:r>
            <w:r>
              <w:rPr>
                <w:rFonts w:ascii="Times New Roman" w:hAnsi="Times New Roman"/>
                <w:color w:val="auto"/>
                <w:kern w:val="0"/>
                <w:szCs w:val="21"/>
              </w:rPr>
              <w:t>(</w:t>
            </w:r>
            <w:r>
              <w:rPr>
                <w:rFonts w:hint="eastAsia" w:ascii="Times New Roman" w:hAnsi="Times New Roman"/>
                <w:color w:val="auto"/>
                <w:kern w:val="0"/>
                <w:szCs w:val="21"/>
              </w:rPr>
              <w:t>但不限于</w:t>
            </w:r>
            <w:r>
              <w:rPr>
                <w:rFonts w:ascii="Times New Roman" w:hAnsi="Times New Roman"/>
                <w:color w:val="auto"/>
                <w:kern w:val="0"/>
                <w:szCs w:val="21"/>
              </w:rPr>
              <w:t>)</w:t>
            </w:r>
            <w:r>
              <w:rPr>
                <w:rFonts w:hint="eastAsia" w:ascii="Times New Roman" w:hAnsi="Times New Roman"/>
                <w:color w:val="auto"/>
                <w:kern w:val="0"/>
                <w:szCs w:val="21"/>
              </w:rPr>
              <w:t>：总则、组织架构、组织管理、职责、委员任职条件、产生、构成、任期、换届等程序，审查运行，利益冲突管理及章程修订等。</w:t>
            </w:r>
          </w:p>
        </w:tc>
        <w:tc>
          <w:tcPr>
            <w:tcW w:w="1605" w:type="dxa"/>
            <w:vAlign w:val="center"/>
          </w:tcPr>
          <w:p>
            <w:pPr>
              <w:widowControl/>
              <w:adjustRightInd w:val="0"/>
              <w:snapToGrid w:val="0"/>
              <w:spacing w:before="93" w:beforeLines="30"/>
              <w:jc w:val="center"/>
              <w:rPr>
                <w:rFonts w:ascii="Times New Roman" w:hAnsi="Times New Roman"/>
                <w:color w:val="auto"/>
                <w:kern w:val="0"/>
                <w:sz w:val="24"/>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51" w:type="dxa"/>
            <w:vMerge w:val="continue"/>
          </w:tcPr>
          <w:p>
            <w:pPr>
              <w:widowControl/>
              <w:adjustRightInd w:val="0"/>
              <w:snapToGrid w:val="0"/>
              <w:spacing w:before="93" w:beforeLines="30"/>
              <w:jc w:val="left"/>
              <w:rPr>
                <w:rFonts w:ascii="Times New Roman" w:hAnsi="Times New Roman"/>
                <w:color w:val="auto"/>
                <w:kern w:val="0"/>
                <w:szCs w:val="21"/>
              </w:rPr>
            </w:pPr>
          </w:p>
        </w:tc>
        <w:tc>
          <w:tcPr>
            <w:tcW w:w="6054"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B5.2</w:t>
            </w:r>
            <w:r>
              <w:rPr>
                <w:rFonts w:hint="eastAsia" w:ascii="Times New Roman" w:hAnsi="Times New Roman"/>
                <w:color w:val="auto"/>
                <w:kern w:val="0"/>
                <w:szCs w:val="21"/>
              </w:rPr>
              <w:t>制定管理制度符合规定：涵盖伦理日常工作及审查工作各个环节，包括（但不限于）：组织管理制度、独立顾问工作制度、财务管理制度、利益冲突管理制度、保密和隐私保护制度、人员培训制度、文档管理制度、受试者咨询和投诉管理制度、突发公共卫生事件等紧急情况伦理审查规则等。</w:t>
            </w:r>
          </w:p>
        </w:tc>
        <w:tc>
          <w:tcPr>
            <w:tcW w:w="1605" w:type="dxa"/>
            <w:vAlign w:val="center"/>
          </w:tcPr>
          <w:p>
            <w:pPr>
              <w:widowControl/>
              <w:adjustRightInd w:val="0"/>
              <w:snapToGrid w:val="0"/>
              <w:spacing w:before="93" w:beforeLines="3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51" w:type="dxa"/>
            <w:vMerge w:val="continue"/>
          </w:tcPr>
          <w:p>
            <w:pPr>
              <w:widowControl/>
              <w:adjustRightInd w:val="0"/>
              <w:snapToGrid w:val="0"/>
              <w:spacing w:before="93" w:beforeLines="30"/>
              <w:jc w:val="left"/>
              <w:rPr>
                <w:rFonts w:ascii="Times New Roman" w:hAnsi="Times New Roman"/>
                <w:color w:val="auto"/>
                <w:kern w:val="0"/>
                <w:szCs w:val="21"/>
              </w:rPr>
            </w:pPr>
          </w:p>
        </w:tc>
        <w:tc>
          <w:tcPr>
            <w:tcW w:w="6054"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B5.3</w:t>
            </w:r>
            <w:r>
              <w:rPr>
                <w:rFonts w:hint="eastAsia" w:ascii="Times New Roman" w:hAnsi="Times New Roman"/>
                <w:color w:val="auto"/>
                <w:kern w:val="0"/>
                <w:szCs w:val="21"/>
              </w:rPr>
              <w:t>制定标准操作规程符合国内法律法规的规定</w:t>
            </w:r>
            <w:r>
              <w:rPr>
                <w:rFonts w:ascii="Times New Roman" w:hAnsi="Times New Roman"/>
                <w:color w:val="auto"/>
                <w:kern w:val="0"/>
                <w:szCs w:val="21"/>
              </w:rPr>
              <w:t>:</w:t>
            </w:r>
            <w:r>
              <w:rPr>
                <w:rFonts w:hint="eastAsia" w:ascii="Times New Roman" w:hAnsi="Times New Roman"/>
                <w:color w:val="auto"/>
                <w:kern w:val="0"/>
                <w:szCs w:val="21"/>
              </w:rPr>
              <w:t>内容应涵盖伦理委员会所有职责及审查的全过程，包括但不限于：标准操作规程的制定、伦理委员会的组织与管理、伦理审查的方式和流程、会议组织与管理、文件与档案管理等。</w:t>
            </w:r>
            <w:r>
              <w:rPr>
                <w:rFonts w:ascii="Times New Roman" w:hAnsi="Times New Roman"/>
                <w:color w:val="auto"/>
                <w:kern w:val="0"/>
                <w:szCs w:val="21"/>
              </w:rPr>
              <w:t xml:space="preserve"> </w:t>
            </w:r>
          </w:p>
        </w:tc>
        <w:tc>
          <w:tcPr>
            <w:tcW w:w="1605" w:type="dxa"/>
            <w:vAlign w:val="center"/>
          </w:tcPr>
          <w:p>
            <w:pPr>
              <w:widowControl/>
              <w:adjustRightInd w:val="0"/>
              <w:snapToGrid w:val="0"/>
              <w:spacing w:before="93" w:beforeLines="3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51" w:type="dxa"/>
            <w:vMerge w:val="continue"/>
          </w:tcPr>
          <w:p>
            <w:pPr>
              <w:widowControl/>
              <w:adjustRightInd w:val="0"/>
              <w:snapToGrid w:val="0"/>
              <w:spacing w:before="93" w:beforeLines="30"/>
              <w:jc w:val="left"/>
              <w:rPr>
                <w:rFonts w:ascii="Times New Roman" w:hAnsi="Times New Roman"/>
                <w:color w:val="auto"/>
                <w:kern w:val="0"/>
                <w:szCs w:val="21"/>
              </w:rPr>
            </w:pPr>
          </w:p>
        </w:tc>
        <w:tc>
          <w:tcPr>
            <w:tcW w:w="6054"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B5.4</w:t>
            </w:r>
            <w:r>
              <w:rPr>
                <w:rFonts w:hint="eastAsia" w:ascii="Times New Roman" w:hAnsi="Times New Roman"/>
                <w:color w:val="auto"/>
                <w:kern w:val="0"/>
                <w:szCs w:val="21"/>
              </w:rPr>
              <w:t>伦理委员会文件的起草、审核、批准、修订、发放、回收、销毁等，应符合本单位伦理委员会文件管理要求</w:t>
            </w:r>
            <w:r>
              <w:rPr>
                <w:rFonts w:ascii="Times New Roman" w:hAnsi="Times New Roman"/>
                <w:color w:val="auto"/>
                <w:kern w:val="0"/>
                <w:sz w:val="24"/>
                <w:shd w:val="clear" w:color="auto" w:fill="FFFFFF"/>
                <w:lang w:bidi="ar"/>
              </w:rPr>
              <w:t>。</w:t>
            </w:r>
          </w:p>
        </w:tc>
        <w:tc>
          <w:tcPr>
            <w:tcW w:w="1605" w:type="dxa"/>
            <w:vAlign w:val="center"/>
          </w:tcPr>
          <w:p>
            <w:pPr>
              <w:widowControl/>
              <w:adjustRightInd w:val="0"/>
              <w:snapToGrid w:val="0"/>
              <w:spacing w:before="93" w:beforeLines="30"/>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51" w:type="dxa"/>
            <w:vMerge w:val="restart"/>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B6.</w:t>
            </w:r>
            <w:r>
              <w:rPr>
                <w:rFonts w:hint="eastAsia" w:ascii="Times New Roman" w:hAnsi="Times New Roman"/>
                <w:color w:val="auto"/>
                <w:kern w:val="0"/>
                <w:szCs w:val="21"/>
              </w:rPr>
              <w:t>文件档案管理</w:t>
            </w:r>
          </w:p>
        </w:tc>
        <w:tc>
          <w:tcPr>
            <w:tcW w:w="6054" w:type="dxa"/>
            <w:vAlign w:val="center"/>
          </w:tcPr>
          <w:p>
            <w:pPr>
              <w:widowControl/>
              <w:adjustRightInd w:val="0"/>
              <w:snapToGrid w:val="0"/>
              <w:spacing w:before="93" w:beforeLines="30"/>
              <w:jc w:val="left"/>
              <w:rPr>
                <w:rFonts w:ascii="Times New Roman" w:hAnsi="Times New Roman"/>
                <w:color w:val="auto"/>
                <w:kern w:val="0"/>
                <w:szCs w:val="21"/>
              </w:rPr>
            </w:pPr>
            <w:r>
              <w:rPr>
                <w:rFonts w:hint="eastAsia" w:ascii="Times New Roman" w:hAnsi="Times New Roman"/>
                <w:color w:val="auto"/>
                <w:kern w:val="0"/>
                <w:szCs w:val="21"/>
              </w:rPr>
              <w:t>项目文件、管理文件，应分开管理存储：</w:t>
            </w:r>
          </w:p>
          <w:p>
            <w:pPr>
              <w:widowControl/>
              <w:adjustRightInd w:val="0"/>
              <w:snapToGrid w:val="0"/>
              <w:spacing w:before="93" w:beforeLines="30"/>
              <w:jc w:val="left"/>
              <w:rPr>
                <w:color w:val="auto"/>
                <w:kern w:val="0"/>
                <w:szCs w:val="21"/>
              </w:rPr>
            </w:pPr>
            <w:r>
              <w:rPr>
                <w:rFonts w:ascii="Times New Roman" w:hAnsi="Times New Roman"/>
                <w:color w:val="auto"/>
                <w:kern w:val="0"/>
                <w:szCs w:val="21"/>
              </w:rPr>
              <w:t>B6.1</w:t>
            </w:r>
            <w:r>
              <w:rPr>
                <w:rFonts w:hint="eastAsia"/>
                <w:color w:val="auto"/>
                <w:kern w:val="0"/>
                <w:szCs w:val="21"/>
              </w:rPr>
              <w:t>管理类文件，包括但不限于：工作制度与人员职责、委员</w:t>
            </w:r>
            <w:r>
              <w:rPr>
                <w:color w:val="auto"/>
                <w:kern w:val="0"/>
                <w:szCs w:val="21"/>
              </w:rPr>
              <w:t>/</w:t>
            </w:r>
            <w:r>
              <w:rPr>
                <w:rFonts w:hint="eastAsia"/>
                <w:color w:val="auto"/>
                <w:kern w:val="0"/>
                <w:szCs w:val="21"/>
              </w:rPr>
              <w:t>独立顾问</w:t>
            </w:r>
            <w:r>
              <w:rPr>
                <w:color w:val="auto"/>
                <w:kern w:val="0"/>
                <w:szCs w:val="21"/>
              </w:rPr>
              <w:t>/</w:t>
            </w:r>
            <w:r>
              <w:rPr>
                <w:rFonts w:hint="eastAsia"/>
                <w:color w:val="auto"/>
                <w:kern w:val="0"/>
                <w:szCs w:val="21"/>
              </w:rPr>
              <w:t>秘书和工作人员履历与任命文件、利益冲突声明、保密协议、培训文件、指南、标准操作规程、经费管理文件与记录、工作计划与年度报告等；既往版本保存完整。</w:t>
            </w:r>
          </w:p>
        </w:tc>
        <w:tc>
          <w:tcPr>
            <w:tcW w:w="1605" w:type="dxa"/>
            <w:vAlign w:val="center"/>
          </w:tcPr>
          <w:p>
            <w:pPr>
              <w:widowControl/>
              <w:adjustRightInd w:val="0"/>
              <w:snapToGrid w:val="0"/>
              <w:spacing w:before="93" w:beforeLines="3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51" w:type="dxa"/>
            <w:vMerge w:val="continue"/>
          </w:tcPr>
          <w:p>
            <w:pPr>
              <w:widowControl/>
              <w:adjustRightInd w:val="0"/>
              <w:snapToGrid w:val="0"/>
              <w:spacing w:before="93" w:beforeLines="30"/>
              <w:jc w:val="left"/>
              <w:rPr>
                <w:rFonts w:ascii="Times New Roman" w:hAnsi="Times New Roman"/>
                <w:color w:val="auto"/>
                <w:kern w:val="0"/>
                <w:szCs w:val="21"/>
              </w:rPr>
            </w:pPr>
          </w:p>
        </w:tc>
        <w:tc>
          <w:tcPr>
            <w:tcW w:w="6054"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B6.2</w:t>
            </w:r>
            <w:r>
              <w:rPr>
                <w:color w:val="auto"/>
                <w:kern w:val="0"/>
                <w:szCs w:val="21"/>
              </w:rPr>
              <w:t>项目文件类，包括但不限于：申请人提交的审查材料、审查工作表单、会议日程、签到表、投票单、会议记录、审查决定文件、沟通记录等。</w:t>
            </w:r>
          </w:p>
        </w:tc>
        <w:tc>
          <w:tcPr>
            <w:tcW w:w="1605" w:type="dxa"/>
            <w:vAlign w:val="center"/>
          </w:tcPr>
          <w:p>
            <w:pPr>
              <w:widowControl/>
              <w:adjustRightInd w:val="0"/>
              <w:snapToGrid w:val="0"/>
              <w:spacing w:before="93" w:beforeLines="3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bl>
    <w:p>
      <w:pPr>
        <w:pStyle w:val="2"/>
        <w:adjustRightInd w:val="0"/>
        <w:snapToGrid w:val="0"/>
        <w:spacing w:before="93" w:beforeLines="30"/>
        <w:ind w:firstLine="210"/>
        <w:rPr>
          <w:rFonts w:ascii="Times New Roman" w:hAnsi="Times New Roman" w:eastAsia="宋体"/>
          <w:color w:val="auto"/>
          <w:kern w:val="0"/>
          <w:szCs w:val="21"/>
        </w:rPr>
      </w:pPr>
      <w:r>
        <w:rPr>
          <w:rFonts w:hint="eastAsia" w:ascii="Times New Roman" w:hAnsi="Times New Roman" w:eastAsia="宋体"/>
          <w:color w:val="auto"/>
          <w:kern w:val="0"/>
          <w:szCs w:val="21"/>
        </w:rPr>
        <w:t>注：</w:t>
      </w:r>
      <w:r>
        <w:rPr>
          <w:rFonts w:ascii="Times New Roman" w:hAnsi="Times New Roman" w:eastAsia="宋体"/>
          <w:color w:val="auto"/>
          <w:kern w:val="0"/>
          <w:szCs w:val="21"/>
        </w:rPr>
        <w:t>B.</w:t>
      </w:r>
      <w:r>
        <w:rPr>
          <w:rFonts w:hint="eastAsia" w:ascii="Times New Roman" w:hAnsi="Times New Roman" w:eastAsia="宋体"/>
          <w:color w:val="auto"/>
          <w:kern w:val="0"/>
          <w:szCs w:val="21"/>
        </w:rPr>
        <w:t>伦理委员会检查项目包括</w:t>
      </w:r>
      <w:r>
        <w:rPr>
          <w:rFonts w:ascii="Times New Roman" w:hAnsi="Times New Roman" w:eastAsia="宋体"/>
          <w:color w:val="auto"/>
          <w:kern w:val="0"/>
          <w:szCs w:val="21"/>
        </w:rPr>
        <w:t>6</w:t>
      </w:r>
      <w:r>
        <w:rPr>
          <w:rFonts w:hint="eastAsia" w:ascii="Times New Roman" w:hAnsi="Times New Roman" w:eastAsia="宋体"/>
          <w:color w:val="auto"/>
          <w:kern w:val="0"/>
          <w:szCs w:val="21"/>
        </w:rPr>
        <w:t>个检查环节、</w:t>
      </w:r>
      <w:r>
        <w:rPr>
          <w:rFonts w:hint="eastAsia" w:ascii="Times New Roman" w:hAnsi="Times New Roman" w:eastAsia="宋体"/>
          <w:color w:val="auto"/>
          <w:kern w:val="0"/>
          <w:szCs w:val="21"/>
          <w:lang w:val="en-US" w:eastAsia="zh-CN"/>
        </w:rPr>
        <w:t>19</w:t>
      </w:r>
      <w:r>
        <w:rPr>
          <w:rFonts w:hint="eastAsia" w:ascii="Times New Roman" w:hAnsi="Times New Roman" w:eastAsia="宋体"/>
          <w:color w:val="auto"/>
          <w:kern w:val="0"/>
          <w:szCs w:val="21"/>
        </w:rPr>
        <w:t>个检查项目，其中关键项目</w:t>
      </w:r>
      <w:r>
        <w:rPr>
          <w:rFonts w:ascii="Times New Roman" w:hAnsi="Times New Roman" w:eastAsia="宋体"/>
          <w:color w:val="auto"/>
          <w:kern w:val="0"/>
          <w:szCs w:val="21"/>
        </w:rPr>
        <w:t>6</w:t>
      </w:r>
      <w:r>
        <w:rPr>
          <w:rFonts w:hint="eastAsia" w:ascii="Times New Roman" w:hAnsi="Times New Roman" w:eastAsia="宋体"/>
          <w:color w:val="auto"/>
          <w:kern w:val="0"/>
          <w:szCs w:val="21"/>
        </w:rPr>
        <w:t>项，重点项目</w:t>
      </w:r>
      <w:r>
        <w:rPr>
          <w:rFonts w:hint="eastAsia" w:ascii="Times New Roman" w:hAnsi="Times New Roman" w:eastAsia="宋体"/>
          <w:color w:val="auto"/>
          <w:kern w:val="0"/>
          <w:szCs w:val="21"/>
          <w:lang w:val="en-US" w:eastAsia="zh-CN"/>
        </w:rPr>
        <w:t>6</w:t>
      </w:r>
      <w:r>
        <w:rPr>
          <w:rFonts w:hint="eastAsia" w:ascii="Times New Roman" w:hAnsi="Times New Roman" w:eastAsia="宋体"/>
          <w:color w:val="auto"/>
          <w:kern w:val="0"/>
          <w:szCs w:val="21"/>
        </w:rPr>
        <w:t>项，一般项目</w:t>
      </w:r>
      <w:r>
        <w:rPr>
          <w:rFonts w:hint="eastAsia" w:ascii="Times New Roman" w:hAnsi="Times New Roman" w:eastAsia="宋体"/>
          <w:color w:val="auto"/>
          <w:kern w:val="0"/>
          <w:szCs w:val="21"/>
          <w:lang w:val="en-US" w:eastAsia="zh-CN"/>
        </w:rPr>
        <w:t>7</w:t>
      </w:r>
      <w:r>
        <w:rPr>
          <w:rFonts w:hint="eastAsia" w:ascii="Times New Roman" w:hAnsi="Times New Roman" w:eastAsia="宋体"/>
          <w:color w:val="auto"/>
          <w:kern w:val="0"/>
          <w:szCs w:val="21"/>
        </w:rPr>
        <w:t>项。</w:t>
      </w: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pStyle w:val="2"/>
        <w:adjustRightInd w:val="0"/>
        <w:snapToGrid w:val="0"/>
        <w:spacing w:before="93" w:beforeLines="30"/>
        <w:ind w:firstLine="210"/>
        <w:rPr>
          <w:rFonts w:ascii="Times New Roman" w:hAnsi="Times New Roman"/>
          <w:color w:val="auto"/>
        </w:rPr>
      </w:pPr>
    </w:p>
    <w:p>
      <w:pPr>
        <w:widowControl/>
        <w:adjustRightInd w:val="0"/>
        <w:snapToGrid w:val="0"/>
        <w:spacing w:before="93" w:beforeLines="30"/>
        <w:jc w:val="center"/>
        <w:rPr>
          <w:rFonts w:ascii="Times New Roman" w:hAnsi="Times New Roman"/>
          <w:b/>
          <w:bCs/>
          <w:color w:val="auto"/>
          <w:kern w:val="0"/>
          <w:sz w:val="30"/>
          <w:szCs w:val="30"/>
        </w:rPr>
      </w:pPr>
    </w:p>
    <w:p>
      <w:pPr>
        <w:widowControl/>
        <w:adjustRightInd w:val="0"/>
        <w:snapToGrid w:val="0"/>
        <w:spacing w:before="93" w:beforeLines="30"/>
        <w:jc w:val="center"/>
        <w:rPr>
          <w:rFonts w:ascii="Times New Roman" w:hAnsi="Times New Roman"/>
          <w:b/>
          <w:bCs/>
          <w:color w:val="auto"/>
          <w:kern w:val="0"/>
          <w:sz w:val="30"/>
          <w:szCs w:val="30"/>
        </w:rPr>
      </w:pPr>
      <w:r>
        <w:rPr>
          <w:rFonts w:ascii="Times New Roman" w:hAnsi="Times New Roman"/>
          <w:b/>
          <w:bCs/>
          <w:color w:val="auto"/>
          <w:kern w:val="0"/>
          <w:sz w:val="30"/>
          <w:szCs w:val="30"/>
        </w:rPr>
        <w:t>C.</w:t>
      </w:r>
      <w:r>
        <w:rPr>
          <w:rFonts w:hint="eastAsia" w:ascii="Times New Roman" w:hAnsi="Times New Roman"/>
          <w:b/>
          <w:bCs/>
          <w:color w:val="auto"/>
          <w:kern w:val="0"/>
          <w:sz w:val="30"/>
          <w:szCs w:val="30"/>
        </w:rPr>
        <w:t>专业组检查项目</w:t>
      </w:r>
    </w:p>
    <w:tbl>
      <w:tblPr>
        <w:tblStyle w:val="6"/>
        <w:tblW w:w="8910"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604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5" w:type="dxa"/>
            <w:vAlign w:val="center"/>
          </w:tcPr>
          <w:p>
            <w:pPr>
              <w:widowControl/>
              <w:adjustRightInd w:val="0"/>
              <w:snapToGrid w:val="0"/>
              <w:spacing w:before="93" w:beforeLines="30"/>
              <w:jc w:val="center"/>
              <w:rPr>
                <w:rFonts w:ascii="Times New Roman" w:hAnsi="Times New Roman"/>
                <w:b/>
                <w:bCs/>
                <w:color w:val="auto"/>
                <w:kern w:val="0"/>
                <w:sz w:val="24"/>
              </w:rPr>
            </w:pPr>
            <w:r>
              <w:rPr>
                <w:rFonts w:hint="eastAsia" w:ascii="Times New Roman" w:hAnsi="Times New Roman"/>
                <w:b/>
                <w:bCs/>
                <w:color w:val="auto"/>
                <w:kern w:val="0"/>
                <w:sz w:val="24"/>
              </w:rPr>
              <w:t>检查</w:t>
            </w:r>
          </w:p>
          <w:p>
            <w:pPr>
              <w:widowControl/>
              <w:adjustRightInd w:val="0"/>
              <w:snapToGrid w:val="0"/>
              <w:spacing w:before="93" w:beforeLines="30"/>
              <w:jc w:val="center"/>
              <w:rPr>
                <w:rFonts w:ascii="Times New Roman" w:hAnsi="Times New Roman"/>
                <w:b/>
                <w:bCs/>
                <w:color w:val="auto"/>
                <w:kern w:val="0"/>
                <w:sz w:val="24"/>
              </w:rPr>
            </w:pPr>
            <w:r>
              <w:rPr>
                <w:rFonts w:hint="eastAsia" w:ascii="Times New Roman" w:hAnsi="Times New Roman"/>
                <w:b/>
                <w:bCs/>
                <w:color w:val="auto"/>
                <w:kern w:val="0"/>
                <w:sz w:val="24"/>
              </w:rPr>
              <w:t>环节</w:t>
            </w:r>
          </w:p>
        </w:tc>
        <w:tc>
          <w:tcPr>
            <w:tcW w:w="6045" w:type="dxa"/>
            <w:vAlign w:val="center"/>
          </w:tcPr>
          <w:p>
            <w:pPr>
              <w:widowControl/>
              <w:adjustRightInd w:val="0"/>
              <w:snapToGrid w:val="0"/>
              <w:spacing w:before="93" w:beforeLines="30"/>
              <w:jc w:val="center"/>
              <w:rPr>
                <w:rFonts w:ascii="Times New Roman" w:hAnsi="Times New Roman"/>
                <w:b/>
                <w:bCs/>
                <w:color w:val="auto"/>
                <w:kern w:val="0"/>
                <w:sz w:val="24"/>
              </w:rPr>
            </w:pPr>
            <w:r>
              <w:rPr>
                <w:rFonts w:hint="eastAsia" w:ascii="Times New Roman" w:hAnsi="Times New Roman"/>
                <w:b/>
                <w:bCs/>
                <w:color w:val="auto"/>
                <w:kern w:val="0"/>
                <w:sz w:val="24"/>
              </w:rPr>
              <w:t>检查项目</w:t>
            </w:r>
          </w:p>
        </w:tc>
        <w:tc>
          <w:tcPr>
            <w:tcW w:w="1620" w:type="dxa"/>
            <w:vAlign w:val="center"/>
          </w:tcPr>
          <w:p>
            <w:pPr>
              <w:widowControl/>
              <w:adjustRightInd w:val="0"/>
              <w:snapToGrid w:val="0"/>
              <w:spacing w:before="93" w:beforeLines="30"/>
              <w:ind w:left="34" w:leftChars="16"/>
              <w:jc w:val="center"/>
              <w:rPr>
                <w:rFonts w:ascii="Times New Roman" w:hAnsi="Times New Roman"/>
                <w:b/>
                <w:bCs/>
                <w:color w:val="auto"/>
                <w:kern w:val="0"/>
                <w:sz w:val="24"/>
              </w:rPr>
            </w:pPr>
            <w:r>
              <w:rPr>
                <w:rFonts w:hint="eastAsia" w:ascii="Times New Roman" w:hAnsi="Times New Roman"/>
                <w:b/>
                <w:color w:val="auto"/>
                <w:kern w:val="0"/>
                <w:sz w:val="24"/>
              </w:rPr>
              <w:t>项目分级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restart"/>
            <w:vAlign w:val="center"/>
          </w:tcPr>
          <w:p>
            <w:pPr>
              <w:widowControl/>
              <w:adjustRightInd w:val="0"/>
              <w:snapToGrid w:val="0"/>
              <w:spacing w:before="93" w:beforeLines="30"/>
              <w:rPr>
                <w:rFonts w:ascii="Times New Roman" w:hAnsi="Times New Roman"/>
                <w:bCs/>
                <w:color w:val="auto"/>
                <w:kern w:val="0"/>
                <w:szCs w:val="21"/>
              </w:rPr>
            </w:pPr>
            <w:r>
              <w:rPr>
                <w:rFonts w:ascii="Times New Roman" w:hAnsi="Times New Roman"/>
                <w:bCs/>
                <w:color w:val="auto"/>
                <w:kern w:val="0"/>
                <w:szCs w:val="21"/>
              </w:rPr>
              <w:t>C1.</w:t>
            </w:r>
            <w:r>
              <w:rPr>
                <w:rFonts w:hint="eastAsia" w:ascii="Times New Roman" w:hAnsi="Times New Roman"/>
                <w:bCs/>
                <w:color w:val="auto"/>
                <w:kern w:val="0"/>
                <w:szCs w:val="21"/>
              </w:rPr>
              <w:t>资质与备案管理</w:t>
            </w:r>
          </w:p>
        </w:tc>
        <w:tc>
          <w:tcPr>
            <w:tcW w:w="6045" w:type="dxa"/>
            <w:vAlign w:val="center"/>
          </w:tcPr>
          <w:p>
            <w:pPr>
              <w:widowControl/>
              <w:adjustRightInd w:val="0"/>
              <w:snapToGrid w:val="0"/>
              <w:spacing w:before="93" w:beforeLines="30"/>
              <w:jc w:val="left"/>
              <w:rPr>
                <w:rFonts w:ascii="Times New Roman" w:hAnsi="Times New Roman"/>
                <w:bCs/>
                <w:color w:val="auto"/>
                <w:kern w:val="0"/>
                <w:szCs w:val="21"/>
              </w:rPr>
            </w:pPr>
            <w:r>
              <w:rPr>
                <w:rFonts w:ascii="Times New Roman" w:hAnsi="Times New Roman"/>
                <w:color w:val="auto"/>
                <w:kern w:val="0"/>
                <w:szCs w:val="21"/>
              </w:rPr>
              <w:t>C1.1</w:t>
            </w:r>
            <w:r>
              <w:rPr>
                <w:rFonts w:hint="eastAsia" w:ascii="Times New Roman" w:hAnsi="Times New Roman"/>
                <w:color w:val="auto"/>
                <w:kern w:val="0"/>
                <w:szCs w:val="21"/>
              </w:rPr>
              <w:t>专业已在</w:t>
            </w:r>
            <w:r>
              <w:rPr>
                <w:rFonts w:ascii="Times New Roman" w:hAnsi="Times New Roman"/>
                <w:color w:val="auto"/>
                <w:kern w:val="0"/>
                <w:szCs w:val="21"/>
              </w:rPr>
              <w:t>“</w:t>
            </w:r>
            <w:r>
              <w:rPr>
                <w:rFonts w:hint="eastAsia" w:ascii="Times New Roman" w:hAnsi="Times New Roman"/>
                <w:color w:val="auto"/>
                <w:kern w:val="0"/>
                <w:szCs w:val="21"/>
              </w:rPr>
              <w:t>药物临床试验机构备案管理信息平台</w:t>
            </w:r>
            <w:r>
              <w:rPr>
                <w:rFonts w:ascii="Times New Roman" w:hAnsi="Times New Roman"/>
                <w:color w:val="auto"/>
                <w:kern w:val="0"/>
                <w:szCs w:val="21"/>
              </w:rPr>
              <w:t>”</w:t>
            </w:r>
            <w:r>
              <w:rPr>
                <w:rFonts w:hint="eastAsia" w:ascii="Times New Roman" w:hAnsi="Times New Roman"/>
                <w:color w:val="auto"/>
                <w:kern w:val="0"/>
                <w:szCs w:val="21"/>
              </w:rPr>
              <w:t>备案，且备案信息与实际一致。</w:t>
            </w:r>
          </w:p>
        </w:tc>
        <w:tc>
          <w:tcPr>
            <w:tcW w:w="162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5"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045"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C1.2</w:t>
            </w:r>
            <w:r>
              <w:rPr>
                <w:rFonts w:hint="eastAsia" w:ascii="Times New Roman" w:hAnsi="Times New Roman"/>
                <w:color w:val="auto"/>
                <w:kern w:val="0"/>
                <w:szCs w:val="21"/>
              </w:rPr>
              <w:t>开展以患者为受试者的药物临床试验的专业应当与医疗机构执业许可的诊疗科目相一致。</w:t>
            </w:r>
          </w:p>
        </w:tc>
        <w:tc>
          <w:tcPr>
            <w:tcW w:w="1620" w:type="dxa"/>
            <w:vAlign w:val="center"/>
          </w:tcPr>
          <w:p>
            <w:pPr>
              <w:widowControl/>
              <w:adjustRightInd w:val="0"/>
              <w:snapToGrid w:val="0"/>
              <w:spacing w:before="93" w:beforeLines="30"/>
              <w:jc w:val="center"/>
              <w:rPr>
                <w:rFonts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5"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045"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C1.3开展健康受试者的Ⅰ期药物临床试验、生物等效性试验应当为Ⅰ期临床试验研究室专业。</w:t>
            </w:r>
          </w:p>
        </w:tc>
        <w:tc>
          <w:tcPr>
            <w:tcW w:w="1620" w:type="dxa"/>
            <w:vAlign w:val="center"/>
          </w:tcPr>
          <w:p>
            <w:pPr>
              <w:widowControl/>
              <w:adjustRightInd w:val="0"/>
              <w:snapToGrid w:val="0"/>
              <w:spacing w:before="93" w:beforeLines="30"/>
              <w:jc w:val="center"/>
              <w:rPr>
                <w:rFonts w:hint="eastAsia" w:ascii="Times New Roman" w:hAnsi="Times New Roman"/>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5"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045" w:type="dxa"/>
            <w:vAlign w:val="center"/>
          </w:tcPr>
          <w:p>
            <w:pPr>
              <w:widowControl/>
              <w:adjustRightInd w:val="0"/>
              <w:snapToGrid w:val="0"/>
              <w:spacing w:before="93" w:beforeLines="30"/>
              <w:jc w:val="left"/>
              <w:rPr>
                <w:rFonts w:ascii="Times New Roman" w:hAnsi="Times New Roman"/>
                <w:bCs/>
                <w:color w:val="auto"/>
                <w:kern w:val="0"/>
                <w:szCs w:val="21"/>
              </w:rPr>
            </w:pPr>
            <w:r>
              <w:rPr>
                <w:rFonts w:ascii="Times New Roman" w:hAnsi="Times New Roman"/>
                <w:color w:val="auto"/>
                <w:kern w:val="0"/>
                <w:szCs w:val="21"/>
              </w:rPr>
              <w:t>C1.4</w:t>
            </w:r>
            <w:r>
              <w:rPr>
                <w:rFonts w:hint="eastAsia" w:ascii="Times New Roman" w:hAnsi="Times New Roman"/>
                <w:color w:val="auto"/>
                <w:kern w:val="0"/>
                <w:szCs w:val="21"/>
              </w:rPr>
              <w:t>疫苗临床试验应当由符合国务院药品监管部门和国务院卫生健康主管部门规定条件的三级医疗机构或者省级以上疾病预防控制机构实施或组织实施。</w:t>
            </w:r>
          </w:p>
        </w:tc>
        <w:tc>
          <w:tcPr>
            <w:tcW w:w="162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5"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045" w:type="dxa"/>
            <w:vAlign w:val="center"/>
          </w:tcPr>
          <w:p>
            <w:pPr>
              <w:widowControl/>
              <w:adjustRightInd w:val="0"/>
              <w:snapToGrid w:val="0"/>
              <w:spacing w:before="93" w:beforeLines="30"/>
              <w:jc w:val="left"/>
              <w:rPr>
                <w:rFonts w:ascii="Times New Roman" w:hAnsi="Times New Roman"/>
                <w:bCs/>
                <w:color w:val="auto"/>
                <w:kern w:val="0"/>
                <w:szCs w:val="21"/>
              </w:rPr>
            </w:pPr>
            <w:r>
              <w:rPr>
                <w:rFonts w:ascii="Times New Roman" w:hAnsi="Times New Roman"/>
                <w:color w:val="auto"/>
                <w:kern w:val="0"/>
                <w:szCs w:val="21"/>
              </w:rPr>
              <w:t>C1.5</w:t>
            </w:r>
            <w:r>
              <w:rPr>
                <w:rFonts w:hint="eastAsia" w:ascii="Times New Roman" w:hAnsi="Times New Roman"/>
                <w:color w:val="auto"/>
                <w:kern w:val="0"/>
                <w:szCs w:val="21"/>
              </w:rPr>
              <w:t>开展疫苗临床试验，试验现场单位应具备疫苗预防接种资质，并在备案平台上进行登记备案。</w:t>
            </w:r>
          </w:p>
        </w:tc>
        <w:tc>
          <w:tcPr>
            <w:tcW w:w="162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245" w:type="dxa"/>
            <w:vMerge w:val="restart"/>
            <w:vAlign w:val="center"/>
          </w:tcPr>
          <w:p>
            <w:pPr>
              <w:widowControl/>
              <w:adjustRightInd w:val="0"/>
              <w:snapToGrid w:val="0"/>
              <w:spacing w:before="93" w:beforeLines="30"/>
              <w:rPr>
                <w:rFonts w:ascii="Times New Roman" w:hAnsi="Times New Roman"/>
                <w:bCs/>
                <w:color w:val="auto"/>
                <w:kern w:val="0"/>
                <w:szCs w:val="21"/>
              </w:rPr>
            </w:pPr>
            <w:r>
              <w:rPr>
                <w:rFonts w:ascii="Times New Roman" w:hAnsi="Times New Roman"/>
                <w:bCs/>
                <w:color w:val="auto"/>
                <w:kern w:val="0"/>
                <w:szCs w:val="21"/>
              </w:rPr>
              <w:t>C2.</w:t>
            </w:r>
            <w:r>
              <w:rPr>
                <w:rFonts w:hint="eastAsia" w:ascii="Times New Roman" w:hAnsi="Times New Roman"/>
                <w:bCs/>
                <w:color w:val="auto"/>
                <w:kern w:val="0"/>
                <w:szCs w:val="21"/>
              </w:rPr>
              <w:t>研究团队组成与人员</w:t>
            </w:r>
          </w:p>
        </w:tc>
        <w:tc>
          <w:tcPr>
            <w:tcW w:w="6045"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C2.1</w:t>
            </w:r>
            <w:r>
              <w:rPr>
                <w:rFonts w:hint="eastAsia" w:ascii="Times New Roman" w:hAnsi="Times New Roman"/>
                <w:color w:val="auto"/>
                <w:kern w:val="0"/>
                <w:szCs w:val="21"/>
              </w:rPr>
              <w:t>研究团队组成、分工清晰合理，满足临床试验项目运行需要。设有专业负责人、</w:t>
            </w:r>
            <w:r>
              <w:rPr>
                <w:color w:val="auto"/>
                <w:kern w:val="0"/>
                <w:szCs w:val="21"/>
              </w:rPr>
              <w:t>设有专业负责人、主要研究者、研究医生、研究护士及药物管理员等岗位</w:t>
            </w:r>
            <w:r>
              <w:rPr>
                <w:color w:val="auto"/>
                <w:kern w:val="0"/>
                <w:sz w:val="24"/>
                <w:shd w:val="clear" w:color="auto" w:fill="FFFFFF"/>
                <w:lang w:bidi="ar"/>
              </w:rPr>
              <w:t>。</w:t>
            </w:r>
          </w:p>
        </w:tc>
        <w:tc>
          <w:tcPr>
            <w:tcW w:w="162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45"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045"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C2.2研究团队人员至少包含3名医生和3名护理人员</w:t>
            </w:r>
            <w:r>
              <w:rPr>
                <w:rFonts w:ascii="Times New Roman" w:hAnsi="Times New Roman"/>
                <w:color w:val="auto"/>
                <w:kern w:val="0"/>
                <w:szCs w:val="21"/>
                <w:shd w:val="clear" w:color="auto" w:fill="FFFFFF"/>
                <w:lang w:bidi="ar"/>
              </w:rPr>
              <w:t>。</w:t>
            </w:r>
          </w:p>
        </w:tc>
        <w:tc>
          <w:tcPr>
            <w:tcW w:w="162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45"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045"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C2.3专业负责人具有高级职称，担任</w:t>
            </w:r>
            <w:r>
              <w:rPr>
                <w:rFonts w:hint="eastAsia" w:ascii="Times New Roman" w:hAnsi="Times New Roman"/>
                <w:color w:val="auto"/>
                <w:kern w:val="0"/>
                <w:szCs w:val="21"/>
              </w:rPr>
              <w:t>科室</w:t>
            </w:r>
            <w:r>
              <w:rPr>
                <w:rFonts w:ascii="Times New Roman" w:hAnsi="Times New Roman"/>
                <w:color w:val="auto"/>
                <w:kern w:val="0"/>
                <w:szCs w:val="21"/>
              </w:rPr>
              <w:t>行政管理职务</w:t>
            </w:r>
            <w:r>
              <w:rPr>
                <w:rFonts w:ascii="Times New Roman" w:hAnsi="Times New Roman"/>
                <w:color w:val="auto"/>
                <w:kern w:val="0"/>
                <w:szCs w:val="21"/>
                <w:shd w:val="clear" w:color="auto" w:fill="FFFFFF"/>
                <w:lang w:bidi="ar"/>
              </w:rPr>
              <w:t>。</w:t>
            </w:r>
          </w:p>
        </w:tc>
        <w:tc>
          <w:tcPr>
            <w:tcW w:w="162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245"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045"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C2.4</w:t>
            </w:r>
            <w:r>
              <w:rPr>
                <w:rFonts w:hint="eastAsia" w:ascii="Times New Roman" w:hAnsi="Times New Roman"/>
                <w:color w:val="auto"/>
                <w:kern w:val="0"/>
                <w:szCs w:val="21"/>
              </w:rPr>
              <w:t>主要研究者应具有高级职称并实质上参加过</w:t>
            </w:r>
            <w:r>
              <w:rPr>
                <w:rFonts w:ascii="Times New Roman" w:hAnsi="Times New Roman"/>
                <w:color w:val="auto"/>
                <w:kern w:val="0"/>
                <w:szCs w:val="21"/>
              </w:rPr>
              <w:t>3</w:t>
            </w:r>
            <w:r>
              <w:rPr>
                <w:rFonts w:hint="eastAsia" w:ascii="Times New Roman" w:hAnsi="Times New Roman"/>
                <w:color w:val="auto"/>
                <w:kern w:val="0"/>
                <w:szCs w:val="21"/>
              </w:rPr>
              <w:t>个以上药物临床试验，具有在临床试验机构的执业资格及临床试验所需的专业知识、培训经历和能力，且在</w:t>
            </w:r>
            <w:r>
              <w:rPr>
                <w:rFonts w:ascii="Times New Roman" w:hAnsi="Times New Roman"/>
                <w:color w:val="auto"/>
                <w:kern w:val="0"/>
                <w:szCs w:val="21"/>
              </w:rPr>
              <w:t>“</w:t>
            </w:r>
            <w:r>
              <w:rPr>
                <w:rFonts w:hint="eastAsia" w:ascii="Times New Roman" w:hAnsi="Times New Roman"/>
                <w:color w:val="auto"/>
                <w:kern w:val="0"/>
                <w:szCs w:val="21"/>
              </w:rPr>
              <w:t>药物临床试验机构备案管理信息平台</w:t>
            </w:r>
            <w:r>
              <w:rPr>
                <w:rFonts w:ascii="Times New Roman" w:hAnsi="Times New Roman"/>
                <w:color w:val="auto"/>
                <w:kern w:val="0"/>
                <w:szCs w:val="21"/>
              </w:rPr>
              <w:t>”</w:t>
            </w:r>
            <w:r>
              <w:rPr>
                <w:rFonts w:hint="eastAsia" w:ascii="Times New Roman" w:hAnsi="Times New Roman"/>
                <w:color w:val="auto"/>
                <w:kern w:val="0"/>
                <w:szCs w:val="21"/>
              </w:rPr>
              <w:t>完成备案。</w:t>
            </w:r>
          </w:p>
        </w:tc>
        <w:tc>
          <w:tcPr>
            <w:tcW w:w="162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245"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045" w:type="dxa"/>
            <w:vAlign w:val="center"/>
          </w:tcPr>
          <w:p>
            <w:pPr>
              <w:widowControl/>
              <w:adjustRightInd w:val="0"/>
              <w:snapToGrid w:val="0"/>
              <w:spacing w:before="93" w:beforeLines="30"/>
              <w:jc w:val="left"/>
              <w:rPr>
                <w:rFonts w:hint="default" w:ascii="Times New Roman" w:hAnsi="Times New Roman"/>
                <w:color w:val="auto"/>
                <w:kern w:val="0"/>
                <w:szCs w:val="21"/>
              </w:rPr>
            </w:pPr>
            <w:r>
              <w:rPr>
                <w:rFonts w:ascii="Times New Roman" w:hAnsi="Times New Roman"/>
                <w:color w:val="auto"/>
                <w:kern w:val="0"/>
                <w:szCs w:val="21"/>
              </w:rPr>
              <w:t>C2.5研究团队人员具有在本机构的执业资格、临床试验所需的专业知识</w:t>
            </w:r>
            <w:r>
              <w:rPr>
                <w:rFonts w:hint="default" w:ascii="Times New Roman" w:hAnsi="Times New Roman"/>
                <w:color w:val="auto"/>
                <w:kern w:val="0"/>
              </w:rPr>
              <w:t>；且均</w:t>
            </w:r>
            <w:r>
              <w:rPr>
                <w:rFonts w:ascii="Times New Roman" w:hAnsi="Times New Roman"/>
                <w:color w:val="auto"/>
                <w:kern w:val="0"/>
                <w:szCs w:val="21"/>
              </w:rPr>
              <w:t>经过药物临床试验相关法规、GCP及临床试验技术等培训，具有GCP培训证书</w:t>
            </w:r>
            <w:r>
              <w:rPr>
                <w:rFonts w:ascii="Times New Roman" w:hAnsi="Times New Roman"/>
                <w:color w:val="auto"/>
                <w:kern w:val="0"/>
                <w:sz w:val="24"/>
                <w:shd w:val="clear" w:color="auto" w:fill="FFFFFF"/>
                <w:lang w:bidi="ar"/>
              </w:rPr>
              <w:t>。</w:t>
            </w:r>
          </w:p>
        </w:tc>
        <w:tc>
          <w:tcPr>
            <w:tcW w:w="1620" w:type="dxa"/>
            <w:vAlign w:val="center"/>
          </w:tcPr>
          <w:p>
            <w:pPr>
              <w:widowControl/>
              <w:adjustRightInd w:val="0"/>
              <w:snapToGrid w:val="0"/>
              <w:spacing w:before="93" w:beforeLines="30"/>
              <w:jc w:val="center"/>
              <w:rPr>
                <w:rFonts w:hint="eastAsia" w:ascii="Segoe UI Symbol" w:hAnsi="Segoe UI Symbol" w:cs="Segoe UI Symbo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245"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045"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C2.6</w:t>
            </w:r>
            <w:r>
              <w:rPr>
                <w:rFonts w:hint="eastAsia" w:ascii="Times New Roman" w:hAnsi="Times New Roman"/>
                <w:color w:val="auto"/>
                <w:kern w:val="0"/>
                <w:szCs w:val="21"/>
              </w:rPr>
              <w:t>研究团队理解并掌握GCP临床试验技术知识、熟悉岗位职责及相应的管理制度和标准操作规程，且与其实际履职情况一致。</w:t>
            </w:r>
          </w:p>
        </w:tc>
        <w:tc>
          <w:tcPr>
            <w:tcW w:w="1620" w:type="dxa"/>
            <w:vAlign w:val="center"/>
          </w:tcPr>
          <w:p>
            <w:pPr>
              <w:widowControl/>
              <w:adjustRightInd w:val="0"/>
              <w:snapToGrid w:val="0"/>
              <w:spacing w:before="93" w:beforeLines="30"/>
              <w:jc w:val="center"/>
              <w:rPr>
                <w:rFonts w:hint="eastAsia" w:ascii="Segoe UI Symbol" w:hAnsi="Segoe UI Symbol" w:cs="Segoe UI Symbol"/>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245"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045"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C2.7建立有</w:t>
            </w:r>
            <w:r>
              <w:rPr>
                <w:rFonts w:hint="eastAsia" w:ascii="Times New Roman" w:hAnsi="Times New Roman"/>
                <w:color w:val="auto"/>
                <w:kern w:val="0"/>
                <w:szCs w:val="21"/>
              </w:rPr>
              <w:t>专业的</w:t>
            </w:r>
            <w:r>
              <w:rPr>
                <w:rFonts w:ascii="Times New Roman" w:hAnsi="Times New Roman"/>
                <w:color w:val="auto"/>
                <w:kern w:val="0"/>
                <w:szCs w:val="21"/>
              </w:rPr>
              <w:t>培训计划，按计划实施培训工作并留存相关记录，包括但不限于：培训方案、培训讲义、培训签到表和考核记录等</w:t>
            </w:r>
            <w:r>
              <w:rPr>
                <w:rFonts w:ascii="Times New Roman" w:hAnsi="Times New Roman"/>
                <w:color w:val="auto"/>
                <w:kern w:val="0"/>
                <w:sz w:val="24"/>
                <w:shd w:val="clear" w:color="auto" w:fill="FFFFFF"/>
                <w:lang w:bidi="ar"/>
              </w:rPr>
              <w:t>。</w:t>
            </w:r>
          </w:p>
        </w:tc>
        <w:tc>
          <w:tcPr>
            <w:tcW w:w="1620" w:type="dxa"/>
            <w:vAlign w:val="center"/>
          </w:tcPr>
          <w:p>
            <w:pPr>
              <w:widowControl/>
              <w:adjustRightInd w:val="0"/>
              <w:snapToGrid w:val="0"/>
              <w:spacing w:before="93" w:beforeLines="30"/>
              <w:jc w:val="center"/>
              <w:rPr>
                <w:rFonts w:hint="eastAsia" w:ascii="Segoe UI Symbol" w:hAnsi="Segoe UI Symbol" w:cs="Segoe UI Symbo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5" w:type="dxa"/>
            <w:vMerge w:val="restart"/>
            <w:vAlign w:val="center"/>
          </w:tcPr>
          <w:p>
            <w:pPr>
              <w:widowControl/>
              <w:adjustRightInd w:val="0"/>
              <w:snapToGrid w:val="0"/>
              <w:spacing w:before="93" w:beforeLines="30"/>
              <w:rPr>
                <w:rFonts w:ascii="Times New Roman" w:hAnsi="Times New Roman"/>
                <w:bCs/>
                <w:color w:val="auto"/>
                <w:kern w:val="0"/>
                <w:szCs w:val="21"/>
              </w:rPr>
            </w:pPr>
            <w:r>
              <w:rPr>
                <w:rFonts w:ascii="Times New Roman" w:hAnsi="Times New Roman"/>
                <w:bCs/>
                <w:color w:val="auto"/>
                <w:kern w:val="0"/>
                <w:szCs w:val="21"/>
              </w:rPr>
              <w:t>C3.</w:t>
            </w:r>
            <w:r>
              <w:rPr>
                <w:rFonts w:hint="eastAsia" w:ascii="Times New Roman" w:hAnsi="Times New Roman"/>
                <w:bCs/>
                <w:color w:val="auto"/>
                <w:kern w:val="0"/>
                <w:szCs w:val="21"/>
              </w:rPr>
              <w:t>专业条件与设施设备</w:t>
            </w:r>
          </w:p>
        </w:tc>
        <w:tc>
          <w:tcPr>
            <w:tcW w:w="6045"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C3.1具有与承担药物临床试验相适应的床位数、年均入院和门诊就诊人数，其病种能够满足临床试验的要求。</w:t>
            </w:r>
          </w:p>
        </w:tc>
        <w:tc>
          <w:tcPr>
            <w:tcW w:w="162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5"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045"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C3.2设有受试者接待室，能满足保护受试者隐私及温馨知情谈话的需要。</w:t>
            </w:r>
          </w:p>
        </w:tc>
        <w:tc>
          <w:tcPr>
            <w:tcW w:w="162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5"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045"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C3.3具有满足</w:t>
            </w:r>
            <w:r>
              <w:rPr>
                <w:rFonts w:hint="eastAsia" w:ascii="Times New Roman" w:hAnsi="Times New Roman"/>
                <w:color w:val="auto"/>
                <w:kern w:val="0"/>
                <w:szCs w:val="21"/>
              </w:rPr>
              <w:t>试验用</w:t>
            </w:r>
            <w:r>
              <w:rPr>
                <w:rFonts w:ascii="Times New Roman" w:hAnsi="Times New Roman"/>
                <w:color w:val="auto"/>
                <w:kern w:val="0"/>
                <w:szCs w:val="21"/>
              </w:rPr>
              <w:t>药品储存、调配等</w:t>
            </w:r>
            <w:r>
              <w:rPr>
                <w:rFonts w:hint="eastAsia" w:ascii="Times New Roman" w:hAnsi="Times New Roman"/>
                <w:color w:val="auto"/>
                <w:kern w:val="0"/>
                <w:szCs w:val="21"/>
              </w:rPr>
              <w:t>设施</w:t>
            </w:r>
            <w:r>
              <w:rPr>
                <w:rFonts w:ascii="Times New Roman" w:hAnsi="Times New Roman"/>
                <w:color w:val="auto"/>
                <w:kern w:val="0"/>
                <w:szCs w:val="21"/>
              </w:rPr>
              <w:t>条件</w:t>
            </w:r>
            <w:r>
              <w:rPr>
                <w:rFonts w:hint="eastAsia" w:ascii="Times New Roman" w:hAnsi="Times New Roman"/>
                <w:color w:val="auto"/>
                <w:kern w:val="0"/>
                <w:szCs w:val="21"/>
              </w:rPr>
              <w:t>，</w:t>
            </w:r>
            <w:r>
              <w:rPr>
                <w:rFonts w:ascii="Times New Roman" w:hAnsi="Times New Roman"/>
                <w:color w:val="auto"/>
                <w:kern w:val="0"/>
                <w:szCs w:val="21"/>
              </w:rPr>
              <w:t>专业组对试验用药品管理流程清晰</w:t>
            </w:r>
            <w:r>
              <w:rPr>
                <w:rFonts w:hint="eastAsia" w:ascii="Times New Roman" w:hAnsi="Times New Roman"/>
                <w:color w:val="auto"/>
                <w:kern w:val="0"/>
                <w:szCs w:val="21"/>
              </w:rPr>
              <w:t>且可操作</w:t>
            </w:r>
            <w:r>
              <w:rPr>
                <w:rFonts w:ascii="Times New Roman" w:hAnsi="Times New Roman"/>
                <w:color w:val="auto"/>
                <w:kern w:val="0"/>
                <w:szCs w:val="21"/>
              </w:rPr>
              <w:t>。</w:t>
            </w:r>
          </w:p>
        </w:tc>
        <w:tc>
          <w:tcPr>
            <w:tcW w:w="162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5"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045"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C3.4具有专用的试验资料保管设备，具备防止光线直接照射、防潮、防火、防盗、防虫害等条件。</w:t>
            </w:r>
          </w:p>
        </w:tc>
        <w:tc>
          <w:tcPr>
            <w:tcW w:w="162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5"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045"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C3.5</w:t>
            </w:r>
            <w:r>
              <w:rPr>
                <w:rFonts w:hint="eastAsia" w:ascii="Times New Roman" w:hAnsi="Times New Roman"/>
                <w:color w:val="auto"/>
                <w:kern w:val="0"/>
                <w:szCs w:val="21"/>
              </w:rPr>
              <w:t>试验相关设施设备应当定期进行校准、验证、维护保养等操作，并保留相应记录。</w:t>
            </w:r>
          </w:p>
        </w:tc>
        <w:tc>
          <w:tcPr>
            <w:tcW w:w="162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5"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045"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C3.6</w:t>
            </w:r>
            <w:r>
              <w:rPr>
                <w:rFonts w:hint="eastAsia" w:ascii="Times New Roman" w:hAnsi="Times New Roman"/>
                <w:color w:val="auto"/>
                <w:kern w:val="0"/>
                <w:szCs w:val="21"/>
              </w:rPr>
              <w:t>具有急危重病症抢救和转运设施设备及有关人员具备相应处置能力；或建立有可操作的紧急转运绿色通道确保受试者安全。抢救车应配备简易呼吸器，急救药物种类、效期、数量及其管理能满足临床试验急救的需要。</w:t>
            </w:r>
          </w:p>
        </w:tc>
        <w:tc>
          <w:tcPr>
            <w:tcW w:w="1620" w:type="dxa"/>
            <w:vAlign w:val="center"/>
          </w:tcPr>
          <w:p>
            <w:pPr>
              <w:widowControl/>
              <w:adjustRightInd w:val="0"/>
              <w:snapToGrid w:val="0"/>
              <w:spacing w:before="93" w:beforeLines="30"/>
              <w:jc w:val="center"/>
              <w:rPr>
                <w:rFonts w:ascii="Times New Roman" w:hAnsi="Times New Roman"/>
                <w:bCs/>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5" w:type="dxa"/>
            <w:vMerge w:val="restart"/>
            <w:vAlign w:val="center"/>
          </w:tcPr>
          <w:p>
            <w:pPr>
              <w:widowControl/>
              <w:adjustRightInd w:val="0"/>
              <w:snapToGrid w:val="0"/>
              <w:spacing w:before="93" w:beforeLines="30"/>
              <w:rPr>
                <w:rFonts w:ascii="Times New Roman" w:hAnsi="Times New Roman"/>
                <w:bCs/>
                <w:color w:val="auto"/>
                <w:kern w:val="0"/>
                <w:szCs w:val="21"/>
              </w:rPr>
            </w:pPr>
            <w:r>
              <w:rPr>
                <w:rFonts w:ascii="Times New Roman" w:hAnsi="Times New Roman"/>
                <w:bCs/>
                <w:color w:val="auto"/>
                <w:kern w:val="0"/>
                <w:szCs w:val="21"/>
              </w:rPr>
              <w:t>C4.</w:t>
            </w:r>
            <w:r>
              <w:rPr>
                <w:rFonts w:hint="eastAsia" w:ascii="Times New Roman" w:hAnsi="Times New Roman"/>
                <w:bCs/>
                <w:color w:val="auto"/>
                <w:kern w:val="0"/>
                <w:szCs w:val="21"/>
              </w:rPr>
              <w:t>管理体系文件</w:t>
            </w:r>
          </w:p>
          <w:p>
            <w:pPr>
              <w:adjustRightInd w:val="0"/>
              <w:snapToGrid w:val="0"/>
              <w:spacing w:before="93" w:beforeLines="30"/>
              <w:rPr>
                <w:rFonts w:ascii="Times New Roman" w:hAnsi="Times New Roman"/>
                <w:bCs/>
                <w:color w:val="auto"/>
                <w:kern w:val="0"/>
                <w:szCs w:val="21"/>
              </w:rPr>
            </w:pPr>
          </w:p>
        </w:tc>
        <w:tc>
          <w:tcPr>
            <w:tcW w:w="6045"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C4.1</w:t>
            </w:r>
            <w:r>
              <w:rPr>
                <w:rFonts w:hint="eastAsia" w:ascii="Times New Roman" w:hAnsi="Times New Roman"/>
                <w:color w:val="auto"/>
                <w:kern w:val="0"/>
                <w:szCs w:val="21"/>
              </w:rPr>
              <w:t>建立有覆盖临床试验项目全过程的管理文件，具有可操作性并与机构管理文件上下贯通可有效执行，亦应根据现行法律法规和实际工作需要及时修订和完善。</w:t>
            </w:r>
          </w:p>
        </w:tc>
        <w:tc>
          <w:tcPr>
            <w:tcW w:w="1620" w:type="dxa"/>
            <w:vAlign w:val="center"/>
          </w:tcPr>
          <w:p>
            <w:pPr>
              <w:widowControl/>
              <w:adjustRightInd w:val="0"/>
              <w:snapToGrid w:val="0"/>
              <w:spacing w:before="93" w:beforeLines="30"/>
              <w:jc w:val="center"/>
              <w:rPr>
                <w:rFonts w:hint="eastAsia" w:ascii="Segoe UI Symbol" w:hAnsi="Segoe UI Symbol" w:cs="Segoe UI Symbol"/>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245" w:type="dxa"/>
            <w:vMerge w:val="continue"/>
            <w:vAlign w:val="center"/>
          </w:tcPr>
          <w:p>
            <w:pPr>
              <w:adjustRightInd w:val="0"/>
              <w:snapToGrid w:val="0"/>
              <w:spacing w:before="93" w:beforeLines="30"/>
              <w:rPr>
                <w:rFonts w:ascii="Times New Roman" w:hAnsi="Times New Roman"/>
                <w:bCs/>
                <w:color w:val="auto"/>
                <w:kern w:val="0"/>
                <w:szCs w:val="21"/>
              </w:rPr>
            </w:pPr>
          </w:p>
        </w:tc>
        <w:tc>
          <w:tcPr>
            <w:tcW w:w="6045"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C4.2</w:t>
            </w:r>
            <w:r>
              <w:rPr>
                <w:rFonts w:hint="eastAsia" w:ascii="Times New Roman" w:hAnsi="Times New Roman"/>
                <w:color w:val="auto"/>
                <w:kern w:val="0"/>
                <w:szCs w:val="21"/>
              </w:rPr>
              <w:t>建立有本专业特色的覆盖临床试验项目全过程的标准操作规程，并与机构标准操作规程上下贯通可有效执行，具有可操作性，并遵照执行。</w:t>
            </w:r>
          </w:p>
        </w:tc>
        <w:tc>
          <w:tcPr>
            <w:tcW w:w="1620" w:type="dxa"/>
            <w:vAlign w:val="center"/>
          </w:tcPr>
          <w:p>
            <w:pPr>
              <w:widowControl/>
              <w:adjustRightInd w:val="0"/>
              <w:snapToGrid w:val="0"/>
              <w:spacing w:before="93" w:beforeLines="30"/>
              <w:jc w:val="center"/>
              <w:rPr>
                <w:rFonts w:ascii="Segoe UI Symbol" w:hAnsi="Segoe UI Symbol" w:cs="Segoe UI Symbol"/>
                <w:color w:val="auto"/>
                <w:kern w:val="0"/>
                <w:szCs w:val="21"/>
              </w:rPr>
            </w:pPr>
            <w:r>
              <w:rPr>
                <w:rFonts w:hint="eastAsia" w:ascii="Segoe UI Symbol" w:hAnsi="Segoe UI Symbol" w:cs="Segoe UI Symbol"/>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245" w:type="dxa"/>
            <w:vMerge w:val="continue"/>
            <w:vAlign w:val="center"/>
          </w:tcPr>
          <w:p>
            <w:pPr>
              <w:adjustRightInd w:val="0"/>
              <w:snapToGrid w:val="0"/>
              <w:spacing w:before="93" w:beforeLines="30"/>
              <w:rPr>
                <w:rFonts w:ascii="Times New Roman" w:hAnsi="Times New Roman"/>
                <w:bCs/>
                <w:color w:val="auto"/>
                <w:kern w:val="0"/>
                <w:szCs w:val="21"/>
              </w:rPr>
            </w:pPr>
          </w:p>
        </w:tc>
        <w:tc>
          <w:tcPr>
            <w:tcW w:w="6045" w:type="dxa"/>
            <w:vAlign w:val="center"/>
          </w:tcPr>
          <w:p>
            <w:pPr>
              <w:widowControl/>
              <w:adjustRightInd w:val="0"/>
              <w:snapToGrid w:val="0"/>
              <w:spacing w:before="93" w:beforeLines="30"/>
              <w:rPr>
                <w:rFonts w:ascii="Times New Roman" w:hAnsi="Times New Roman"/>
                <w:color w:val="auto"/>
                <w:kern w:val="0"/>
                <w:szCs w:val="21"/>
              </w:rPr>
            </w:pPr>
            <w:r>
              <w:rPr>
                <w:rFonts w:ascii="Times New Roman" w:hAnsi="Times New Roman"/>
                <w:color w:val="auto"/>
                <w:kern w:val="0"/>
                <w:szCs w:val="21"/>
              </w:rPr>
              <w:t>C4.3</w:t>
            </w:r>
            <w:r>
              <w:rPr>
                <w:rFonts w:hint="eastAsia" w:ascii="Times New Roman" w:hAnsi="Times New Roman"/>
                <w:color w:val="auto"/>
                <w:kern w:val="0"/>
                <w:szCs w:val="21"/>
              </w:rPr>
              <w:t>文件的起草、修订、审核、批准等符合机构</w:t>
            </w:r>
            <w:r>
              <w:rPr>
                <w:rFonts w:ascii="Times New Roman" w:hAnsi="Times New Roman"/>
                <w:color w:val="auto"/>
                <w:kern w:val="0"/>
                <w:szCs w:val="21"/>
              </w:rPr>
              <w:t>/</w:t>
            </w:r>
            <w:r>
              <w:rPr>
                <w:rFonts w:hint="eastAsia" w:ascii="Times New Roman" w:hAnsi="Times New Roman"/>
                <w:color w:val="auto"/>
                <w:kern w:val="0"/>
                <w:szCs w:val="21"/>
              </w:rPr>
              <w:t>专业相关管理制度及标准操作规程的要求。</w:t>
            </w:r>
          </w:p>
        </w:tc>
        <w:tc>
          <w:tcPr>
            <w:tcW w:w="162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45" w:type="dxa"/>
            <w:vMerge w:val="continue"/>
            <w:vAlign w:val="center"/>
          </w:tcPr>
          <w:p>
            <w:pPr>
              <w:adjustRightInd w:val="0"/>
              <w:snapToGrid w:val="0"/>
              <w:spacing w:before="93" w:beforeLines="30"/>
              <w:rPr>
                <w:rFonts w:ascii="Times New Roman" w:hAnsi="Times New Roman"/>
                <w:bCs/>
                <w:color w:val="auto"/>
                <w:kern w:val="0"/>
                <w:szCs w:val="21"/>
              </w:rPr>
            </w:pPr>
          </w:p>
        </w:tc>
        <w:tc>
          <w:tcPr>
            <w:tcW w:w="6045"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C4.4</w:t>
            </w:r>
            <w:r>
              <w:rPr>
                <w:rFonts w:hint="eastAsia" w:ascii="Times New Roman" w:hAnsi="Times New Roman"/>
                <w:color w:val="auto"/>
                <w:kern w:val="0"/>
                <w:szCs w:val="21"/>
              </w:rPr>
              <w:t>管理体系文件均应对研究团队相关人员进行培训，保存有培训记录。</w:t>
            </w:r>
          </w:p>
        </w:tc>
        <w:tc>
          <w:tcPr>
            <w:tcW w:w="1620" w:type="dxa"/>
            <w:vAlign w:val="center"/>
          </w:tcPr>
          <w:p>
            <w:pPr>
              <w:widowControl/>
              <w:adjustRightInd w:val="0"/>
              <w:snapToGrid w:val="0"/>
              <w:spacing w:before="93" w:beforeLines="30"/>
              <w:jc w:val="center"/>
              <w:rPr>
                <w:rFonts w:ascii="Times New Roman" w:hAnsi="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245" w:type="dxa"/>
            <w:vMerge w:val="continue"/>
            <w:vAlign w:val="center"/>
          </w:tcPr>
          <w:p>
            <w:pPr>
              <w:widowControl/>
              <w:adjustRightInd w:val="0"/>
              <w:snapToGrid w:val="0"/>
              <w:spacing w:before="93" w:beforeLines="30"/>
              <w:rPr>
                <w:rFonts w:ascii="Times New Roman" w:hAnsi="Times New Roman"/>
                <w:bCs/>
                <w:color w:val="auto"/>
                <w:kern w:val="0"/>
                <w:szCs w:val="21"/>
              </w:rPr>
            </w:pPr>
          </w:p>
        </w:tc>
        <w:tc>
          <w:tcPr>
            <w:tcW w:w="6045" w:type="dxa"/>
            <w:vAlign w:val="center"/>
          </w:tcPr>
          <w:p>
            <w:pPr>
              <w:widowControl/>
              <w:adjustRightInd w:val="0"/>
              <w:snapToGrid w:val="0"/>
              <w:spacing w:before="93" w:beforeLines="30"/>
              <w:jc w:val="left"/>
              <w:rPr>
                <w:rFonts w:ascii="Times New Roman" w:hAnsi="Times New Roman"/>
                <w:color w:val="auto"/>
                <w:kern w:val="0"/>
                <w:szCs w:val="21"/>
              </w:rPr>
            </w:pPr>
            <w:r>
              <w:rPr>
                <w:rFonts w:ascii="Times New Roman" w:hAnsi="Times New Roman"/>
                <w:color w:val="auto"/>
                <w:kern w:val="0"/>
                <w:szCs w:val="21"/>
              </w:rPr>
              <w:t>C4.5</w:t>
            </w:r>
            <w:r>
              <w:rPr>
                <w:rFonts w:hint="eastAsia" w:ascii="Times New Roman" w:hAnsi="Times New Roman"/>
                <w:color w:val="auto"/>
                <w:kern w:val="0"/>
                <w:szCs w:val="21"/>
              </w:rPr>
              <w:t>专业的质量管理人员熟悉开展临床试验项目的质量管理的相关规定。</w:t>
            </w:r>
          </w:p>
        </w:tc>
        <w:tc>
          <w:tcPr>
            <w:tcW w:w="1620" w:type="dxa"/>
            <w:vAlign w:val="center"/>
          </w:tcPr>
          <w:p>
            <w:pPr>
              <w:widowControl/>
              <w:adjustRightInd w:val="0"/>
              <w:snapToGrid w:val="0"/>
              <w:spacing w:before="93" w:beforeLines="30"/>
              <w:jc w:val="center"/>
              <w:rPr>
                <w:rFonts w:ascii="Times New Roman" w:hAnsi="Times New Roman"/>
                <w:bCs/>
                <w:color w:val="auto"/>
                <w:kern w:val="0"/>
                <w:szCs w:val="21"/>
              </w:rPr>
            </w:pPr>
          </w:p>
        </w:tc>
      </w:tr>
    </w:tbl>
    <w:p>
      <w:pPr>
        <w:adjustRightInd w:val="0"/>
        <w:snapToGrid w:val="0"/>
        <w:spacing w:before="93" w:beforeLines="30"/>
      </w:pPr>
      <w:r>
        <w:rPr>
          <w:rFonts w:hint="eastAsia" w:ascii="Times New Roman" w:hAnsi="Times New Roman"/>
          <w:color w:val="auto"/>
          <w:kern w:val="0"/>
          <w:szCs w:val="21"/>
        </w:rPr>
        <w:t>注：</w:t>
      </w:r>
      <w:r>
        <w:rPr>
          <w:rFonts w:ascii="Times New Roman" w:hAnsi="Times New Roman"/>
          <w:color w:val="auto"/>
          <w:kern w:val="0"/>
          <w:szCs w:val="21"/>
        </w:rPr>
        <w:t>C.</w:t>
      </w:r>
      <w:r>
        <w:rPr>
          <w:rFonts w:hint="eastAsia" w:ascii="Times New Roman" w:hAnsi="Times New Roman"/>
          <w:color w:val="auto"/>
          <w:kern w:val="0"/>
          <w:szCs w:val="21"/>
        </w:rPr>
        <w:t>专业检查项目包括</w:t>
      </w:r>
      <w:r>
        <w:rPr>
          <w:rFonts w:ascii="Times New Roman" w:hAnsi="Times New Roman"/>
          <w:color w:val="auto"/>
          <w:kern w:val="0"/>
          <w:szCs w:val="21"/>
        </w:rPr>
        <w:t>4</w:t>
      </w:r>
      <w:r>
        <w:rPr>
          <w:rFonts w:hint="eastAsia" w:ascii="Times New Roman" w:hAnsi="Times New Roman"/>
          <w:color w:val="auto"/>
          <w:kern w:val="0"/>
          <w:szCs w:val="21"/>
        </w:rPr>
        <w:t>个检查环节、</w:t>
      </w:r>
      <w:r>
        <w:rPr>
          <w:rFonts w:ascii="Times New Roman" w:hAnsi="Times New Roman"/>
          <w:color w:val="auto"/>
          <w:kern w:val="0"/>
          <w:szCs w:val="21"/>
        </w:rPr>
        <w:t>2</w:t>
      </w:r>
      <w:r>
        <w:rPr>
          <w:rFonts w:hint="eastAsia" w:ascii="Times New Roman" w:hAnsi="Times New Roman"/>
          <w:color w:val="auto"/>
          <w:kern w:val="0"/>
          <w:szCs w:val="21"/>
          <w:lang w:val="en-US" w:eastAsia="zh-CN"/>
        </w:rPr>
        <w:t>3</w:t>
      </w:r>
      <w:r>
        <w:rPr>
          <w:rFonts w:hint="eastAsia" w:ascii="Times New Roman" w:hAnsi="Times New Roman"/>
          <w:color w:val="auto"/>
          <w:kern w:val="0"/>
          <w:szCs w:val="21"/>
        </w:rPr>
        <w:t>个检查项目，其中关键项目</w:t>
      </w:r>
      <w:r>
        <w:rPr>
          <w:rFonts w:ascii="Times New Roman" w:hAnsi="Times New Roman"/>
          <w:color w:val="auto"/>
          <w:kern w:val="0"/>
          <w:szCs w:val="21"/>
        </w:rPr>
        <w:t>2</w:t>
      </w:r>
      <w:r>
        <w:rPr>
          <w:rFonts w:hint="eastAsia" w:ascii="Times New Roman" w:hAnsi="Times New Roman"/>
          <w:color w:val="auto"/>
          <w:kern w:val="0"/>
          <w:szCs w:val="21"/>
        </w:rPr>
        <w:t>项，重点项目</w:t>
      </w:r>
      <w:r>
        <w:rPr>
          <w:rFonts w:hint="eastAsia" w:ascii="Times New Roman" w:hAnsi="Times New Roman"/>
          <w:color w:val="auto"/>
          <w:kern w:val="0"/>
          <w:szCs w:val="21"/>
          <w:lang w:val="en-US" w:eastAsia="zh-CN"/>
        </w:rPr>
        <w:t>10</w:t>
      </w:r>
      <w:r>
        <w:rPr>
          <w:rFonts w:hint="eastAsia" w:ascii="Times New Roman" w:hAnsi="Times New Roman"/>
          <w:color w:val="auto"/>
          <w:kern w:val="0"/>
          <w:szCs w:val="21"/>
        </w:rPr>
        <w:t>项，一般项目</w:t>
      </w:r>
      <w:r>
        <w:rPr>
          <w:rFonts w:ascii="Times New Roman" w:hAnsi="Times New Roman"/>
          <w:color w:val="auto"/>
          <w:kern w:val="0"/>
          <w:szCs w:val="21"/>
        </w:rPr>
        <w:t>1</w:t>
      </w:r>
      <w:r>
        <w:rPr>
          <w:rFonts w:hint="eastAsia" w:ascii="Times New Roman" w:hAnsi="Times New Roman"/>
          <w:color w:val="auto"/>
          <w:kern w:val="0"/>
          <w:szCs w:val="21"/>
          <w:lang w:val="en-US" w:eastAsia="zh-CN"/>
        </w:rPr>
        <w:t>1</w:t>
      </w:r>
      <w:r>
        <w:rPr>
          <w:rFonts w:hint="eastAsia" w:ascii="Times New Roman" w:hAnsi="Times New Roman"/>
          <w:color w:val="auto"/>
          <w:kern w:val="0"/>
          <w:szCs w:val="21"/>
        </w:rPr>
        <w:t>项。</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Segoe UI Symbol">
    <w:altName w:val="Noto Sans"/>
    <w:panose1 w:val="020B0502040204020203"/>
    <w:charset w:val="00"/>
    <w:family w:val="swiss"/>
    <w:pitch w:val="default"/>
    <w:sig w:usb0="00000000" w:usb1="00000000" w:usb2="0064C000" w:usb3="00000002" w:csb0="00000001" w:csb1="4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Noto Sans">
    <w:panose1 w:val="020B0502040504020204"/>
    <w:charset w:val="00"/>
    <w:family w:val="auto"/>
    <w:pitch w:val="default"/>
    <w:sig w:usb0="E00002FF" w:usb1="00000000" w:usb2="00000000" w:usb3="00000000" w:csb0="2000019F" w:csb1="DFD7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方正仿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F2967"/>
    <w:multiLevelType w:val="multilevel"/>
    <w:tmpl w:val="11AF2967"/>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YmZiYjA5OGJjNzY3M2UyZGQyYzMxYjY3Zjg1MjkifQ=="/>
  </w:docVars>
  <w:rsids>
    <w:rsidRoot w:val="4AB84093"/>
    <w:rsid w:val="00081B12"/>
    <w:rsid w:val="000B73EB"/>
    <w:rsid w:val="001470C3"/>
    <w:rsid w:val="001B3514"/>
    <w:rsid w:val="001B4747"/>
    <w:rsid w:val="001C6329"/>
    <w:rsid w:val="001E241D"/>
    <w:rsid w:val="0024441D"/>
    <w:rsid w:val="002D4A20"/>
    <w:rsid w:val="00305453"/>
    <w:rsid w:val="00316296"/>
    <w:rsid w:val="0037093D"/>
    <w:rsid w:val="003B61A0"/>
    <w:rsid w:val="005565AC"/>
    <w:rsid w:val="00625684"/>
    <w:rsid w:val="0062575F"/>
    <w:rsid w:val="00642D0C"/>
    <w:rsid w:val="0070550C"/>
    <w:rsid w:val="007532FC"/>
    <w:rsid w:val="00834D02"/>
    <w:rsid w:val="00872E92"/>
    <w:rsid w:val="009157EC"/>
    <w:rsid w:val="00932CC5"/>
    <w:rsid w:val="009632EC"/>
    <w:rsid w:val="00A55D19"/>
    <w:rsid w:val="00A76DD1"/>
    <w:rsid w:val="00AB55FD"/>
    <w:rsid w:val="00C01319"/>
    <w:rsid w:val="00C10BC1"/>
    <w:rsid w:val="00C86D3E"/>
    <w:rsid w:val="00CC3B74"/>
    <w:rsid w:val="00D60899"/>
    <w:rsid w:val="00D610DE"/>
    <w:rsid w:val="00E204F2"/>
    <w:rsid w:val="00E32B55"/>
    <w:rsid w:val="00E330E5"/>
    <w:rsid w:val="00E46CE4"/>
    <w:rsid w:val="00EC34E7"/>
    <w:rsid w:val="00F87073"/>
    <w:rsid w:val="00FC3A50"/>
    <w:rsid w:val="0E81661D"/>
    <w:rsid w:val="34605415"/>
    <w:rsid w:val="3F6B1080"/>
    <w:rsid w:val="3FB6D06E"/>
    <w:rsid w:val="3FFFF047"/>
    <w:rsid w:val="4AB84093"/>
    <w:rsid w:val="5F7B6316"/>
    <w:rsid w:val="5F7F8215"/>
    <w:rsid w:val="73EB7A1B"/>
    <w:rsid w:val="FFBEA742"/>
    <w:rsid w:val="FFD17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3"/>
    <w:qFormat/>
    <w:uiPriority w:val="0"/>
    <w:pPr>
      <w:ind w:firstLine="100" w:firstLineChars="100"/>
    </w:pPr>
  </w:style>
  <w:style w:type="paragraph" w:customStyle="1" w:styleId="3">
    <w:name w:val="UserStyle_1"/>
    <w:basedOn w:val="1"/>
    <w:qFormat/>
    <w:uiPriority w:val="0"/>
    <w:pPr>
      <w:textAlignment w:val="baseline"/>
    </w:pPr>
    <w:rPr>
      <w:rFonts w:eastAsia="仿宋"/>
    </w:rPr>
  </w:style>
  <w:style w:type="paragraph" w:styleId="4">
    <w:name w:val="annotation text"/>
    <w:basedOn w:val="1"/>
    <w:qFormat/>
    <w:uiPriority w:val="0"/>
    <w:pPr>
      <w:jc w:val="left"/>
    </w:pPr>
  </w:style>
  <w:style w:type="paragraph" w:styleId="5">
    <w:name w:val="Normal (Web)"/>
    <w:basedOn w:val="1"/>
    <w:qFormat/>
    <w:uiPriority w:val="0"/>
    <w:pPr>
      <w:spacing w:before="100" w:beforeAutospacing="1" w:after="100" w:afterAutospacing="1"/>
      <w:jc w:val="left"/>
    </w:pPr>
    <w:rPr>
      <w:kern w:val="0"/>
      <w:sz w:val="24"/>
    </w:rPr>
  </w:style>
  <w:style w:type="character" w:styleId="8">
    <w:name w:val="annotation reference"/>
    <w:basedOn w:val="7"/>
    <w:qFormat/>
    <w:uiPriority w:val="0"/>
    <w:rPr>
      <w:sz w:val="21"/>
      <w:szCs w:val="21"/>
    </w:rPr>
  </w:style>
  <w:style w:type="character" w:customStyle="1" w:styleId="9">
    <w:name w:val="font71"/>
    <w:qFormat/>
    <w:uiPriority w:val="0"/>
    <w:rPr>
      <w:rFonts w:hint="eastAsia" w:ascii="宋体" w:hAnsi="宋体" w:eastAsia="宋体" w:cs="宋体"/>
      <w:color w:val="000000"/>
      <w:sz w:val="24"/>
      <w:szCs w:val="24"/>
      <w:u w:val="none"/>
    </w:rPr>
  </w:style>
  <w:style w:type="paragraph" w:styleId="10">
    <w:name w:val="List Paragraph"/>
    <w:basedOn w:val="1"/>
    <w:qFormat/>
    <w:uiPriority w:val="99"/>
    <w:pPr>
      <w:ind w:firstLine="420" w:firstLineChars="200"/>
    </w:pPr>
  </w:style>
  <w:style w:type="character" w:customStyle="1" w:styleId="11">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12677</Words>
  <Characters>13420</Characters>
  <Lines>101</Lines>
  <Paragraphs>28</Paragraphs>
  <TotalTime>355</TotalTime>
  <ScaleCrop>false</ScaleCrop>
  <LinksUpToDate>false</LinksUpToDate>
  <CharactersWithSpaces>13432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2022-11-30T13:17:00Z</dcterms:created>
  <dc:creator>✨龚婷✨</dc:creator>
  <cp:lastModifiedBy>test</cp:lastModifiedBy>
  <dcterms:modified xsi:type="dcterms:W3CDTF">2023-02-02T13:20:52Z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CB46D04D3D204869A2768C18FDBC9D7D</vt:lpwstr>
  </property>
</Properties>
</file>