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592" w:lineRule="exact"/>
        <w:jc w:val="center"/>
        <w:rPr>
          <w:rFonts w:ascii="Times New Roman" w:hAnsi="Times New Roman" w:eastAsia="方正小标宋简体" w:cs="Times New Roman"/>
          <w:sz w:val="44"/>
          <w:szCs w:val="44"/>
        </w:rPr>
      </w:pPr>
      <w:bookmarkStart w:id="1" w:name="_GoBack"/>
      <w:r>
        <w:rPr>
          <w:rFonts w:ascii="Times New Roman" w:hAnsi="Times New Roman" w:eastAsia="方正小标宋简体" w:cs="Times New Roman"/>
          <w:sz w:val="44"/>
          <w:szCs w:val="44"/>
        </w:rPr>
        <w:t>湖南省医保定点医疗机构违规收费问题清单（第一批）</w:t>
      </w:r>
    </w:p>
    <w:bookmarkEnd w:id="1"/>
    <w:p>
      <w:pPr>
        <w:spacing w:line="400" w:lineRule="exact"/>
        <w:ind w:firstLine="480" w:firstLineChars="200"/>
        <w:jc w:val="left"/>
        <w:rPr>
          <w:rFonts w:ascii="Times New Roman" w:hAnsi="Times New Roman" w:eastAsia="仿宋_GB2312" w:cs="Times New Roman"/>
          <w:kern w:val="0"/>
          <w:sz w:val="24"/>
          <w:szCs w:val="24"/>
        </w:rPr>
      </w:pPr>
    </w:p>
    <w:p>
      <w:pPr>
        <w:spacing w:line="36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重复收费是指医保定点医疗机构对所提供的某一医疗服务重复收费的行为。常见表现形式为收取某一医疗服务</w:t>
      </w:r>
      <w:r>
        <w:rPr>
          <w:rFonts w:hint="eastAsia" w:ascii="Times New Roman" w:hAnsi="Times New Roman" w:eastAsia="仿宋_GB2312" w:cs="Times New Roman"/>
          <w:kern w:val="0"/>
          <w:sz w:val="24"/>
          <w:szCs w:val="24"/>
        </w:rPr>
        <w:t>价格</w:t>
      </w:r>
      <w:r>
        <w:rPr>
          <w:rFonts w:ascii="Times New Roman" w:hAnsi="Times New Roman" w:eastAsia="仿宋_GB2312" w:cs="Times New Roman"/>
          <w:kern w:val="0"/>
          <w:sz w:val="24"/>
          <w:szCs w:val="24"/>
        </w:rPr>
        <w:t>项目费用的数量超过实际提供服务的数量。</w:t>
      </w:r>
    </w:p>
    <w:p>
      <w:pPr>
        <w:spacing w:line="36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超标准收费是指医保定点医疗机构对所提供的某一医疗服务，超过该医疗服务价格项目相关定价标准（或医保定点非公立医疗机构医疗服务协议约定价格标准）收取费用的行为。常见表现形式包括：超过政府最高指导价收费，超过该医疗服务价格项目相关价格加收标准等。</w:t>
      </w:r>
    </w:p>
    <w:p>
      <w:pPr>
        <w:spacing w:line="36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分解项目收费是指医保定点医疗机构对所提供的某一医疗服务，分解加收该医疗服务</w:t>
      </w:r>
      <w:r>
        <w:rPr>
          <w:rFonts w:hint="eastAsia" w:ascii="Times New Roman" w:hAnsi="Times New Roman" w:eastAsia="仿宋_GB2312" w:cs="Times New Roman"/>
          <w:kern w:val="0"/>
          <w:sz w:val="24"/>
          <w:szCs w:val="24"/>
        </w:rPr>
        <w:t>价格</w:t>
      </w:r>
      <w:r>
        <w:rPr>
          <w:rFonts w:ascii="Times New Roman" w:hAnsi="Times New Roman" w:eastAsia="仿宋_GB2312" w:cs="Times New Roman"/>
          <w:kern w:val="0"/>
          <w:sz w:val="24"/>
          <w:szCs w:val="24"/>
        </w:rPr>
        <w:t>项目内涵、步骤（过程）等涵盖的医疗服务项目、特殊器械、耗材等费用的行为。常见表现形式包括：不据实收取该医疗服务</w:t>
      </w:r>
      <w:r>
        <w:rPr>
          <w:rFonts w:hint="eastAsia" w:ascii="Times New Roman" w:hAnsi="Times New Roman" w:eastAsia="仿宋_GB2312" w:cs="Times New Roman"/>
          <w:kern w:val="0"/>
          <w:sz w:val="24"/>
          <w:szCs w:val="24"/>
        </w:rPr>
        <w:t>价格</w:t>
      </w:r>
      <w:r>
        <w:rPr>
          <w:rFonts w:ascii="Times New Roman" w:hAnsi="Times New Roman" w:eastAsia="仿宋_GB2312" w:cs="Times New Roman"/>
          <w:kern w:val="0"/>
          <w:sz w:val="24"/>
          <w:szCs w:val="24"/>
        </w:rPr>
        <w:t>项目费用，而将这一医疗服务</w:t>
      </w:r>
      <w:r>
        <w:rPr>
          <w:rFonts w:hint="eastAsia" w:ascii="Times New Roman" w:hAnsi="Times New Roman" w:eastAsia="仿宋_GB2312" w:cs="Times New Roman"/>
          <w:kern w:val="0"/>
          <w:sz w:val="24"/>
          <w:szCs w:val="24"/>
        </w:rPr>
        <w:t>价格</w:t>
      </w:r>
      <w:r>
        <w:rPr>
          <w:rFonts w:ascii="Times New Roman" w:hAnsi="Times New Roman" w:eastAsia="仿宋_GB2312" w:cs="Times New Roman"/>
          <w:kern w:val="0"/>
          <w:sz w:val="24"/>
          <w:szCs w:val="24"/>
        </w:rPr>
        <w:t>项目按内涵或步骤（过程）分解为多个医疗服务价格项目收费；收取该医疗服务</w:t>
      </w:r>
      <w:r>
        <w:rPr>
          <w:rFonts w:hint="eastAsia" w:ascii="Times New Roman" w:hAnsi="Times New Roman" w:eastAsia="仿宋_GB2312" w:cs="Times New Roman"/>
          <w:kern w:val="0"/>
          <w:sz w:val="24"/>
          <w:szCs w:val="24"/>
        </w:rPr>
        <w:t>价格</w:t>
      </w:r>
      <w:r>
        <w:rPr>
          <w:rFonts w:ascii="Times New Roman" w:hAnsi="Times New Roman" w:eastAsia="仿宋_GB2312" w:cs="Times New Roman"/>
          <w:kern w:val="0"/>
          <w:sz w:val="24"/>
          <w:szCs w:val="24"/>
        </w:rPr>
        <w:t>项目费用同时，加收这一医疗服务</w:t>
      </w:r>
      <w:r>
        <w:rPr>
          <w:rFonts w:hint="eastAsia" w:ascii="Times New Roman" w:hAnsi="Times New Roman" w:eastAsia="仿宋_GB2312" w:cs="Times New Roman"/>
          <w:kern w:val="0"/>
          <w:sz w:val="24"/>
          <w:szCs w:val="24"/>
        </w:rPr>
        <w:t>价格</w:t>
      </w:r>
      <w:r>
        <w:rPr>
          <w:rFonts w:ascii="Times New Roman" w:hAnsi="Times New Roman" w:eastAsia="仿宋_GB2312" w:cs="Times New Roman"/>
          <w:kern w:val="0"/>
          <w:sz w:val="24"/>
          <w:szCs w:val="24"/>
        </w:rPr>
        <w:t>项目内涵或步骤（过程）涵盖的一个及以上医疗服务项目费用；收取该医疗服务</w:t>
      </w:r>
      <w:r>
        <w:rPr>
          <w:rFonts w:hint="eastAsia" w:ascii="Times New Roman" w:hAnsi="Times New Roman" w:eastAsia="仿宋_GB2312" w:cs="Times New Roman"/>
          <w:kern w:val="0"/>
          <w:sz w:val="24"/>
          <w:szCs w:val="24"/>
        </w:rPr>
        <w:t>价格</w:t>
      </w:r>
      <w:r>
        <w:rPr>
          <w:rFonts w:ascii="Times New Roman" w:hAnsi="Times New Roman" w:eastAsia="仿宋_GB2312" w:cs="Times New Roman"/>
          <w:kern w:val="0"/>
          <w:sz w:val="24"/>
          <w:szCs w:val="24"/>
        </w:rPr>
        <w:t>项目“除外内容”和“说明”中未明确规定可另计费用的医疗仪器和医用卫生材料、医用特殊物品费用。</w:t>
      </w:r>
    </w:p>
    <w:tbl>
      <w:tblPr>
        <w:tblStyle w:val="3"/>
        <w:tblW w:w="15384" w:type="dxa"/>
        <w:jc w:val="center"/>
        <w:tblInd w:w="0" w:type="dxa"/>
        <w:tblLayout w:type="fixed"/>
        <w:tblCellMar>
          <w:top w:w="0" w:type="dxa"/>
          <w:left w:w="108" w:type="dxa"/>
          <w:bottom w:w="0" w:type="dxa"/>
          <w:right w:w="108" w:type="dxa"/>
        </w:tblCellMar>
      </w:tblPr>
      <w:tblGrid>
        <w:gridCol w:w="704"/>
        <w:gridCol w:w="1244"/>
        <w:gridCol w:w="2300"/>
        <w:gridCol w:w="2499"/>
        <w:gridCol w:w="4272"/>
        <w:gridCol w:w="4365"/>
      </w:tblGrid>
      <w:tr>
        <w:tblPrEx>
          <w:tblLayout w:type="fixed"/>
          <w:tblCellMar>
            <w:top w:w="0" w:type="dxa"/>
            <w:left w:w="108" w:type="dxa"/>
            <w:bottom w:w="0" w:type="dxa"/>
            <w:right w:w="108" w:type="dxa"/>
          </w:tblCellMar>
        </w:tblPrEx>
        <w:trPr>
          <w:trHeight w:val="767" w:hRule="atLeast"/>
          <w:tblHeade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黑体" w:cs="Times New Roman"/>
                <w:b w:val="0"/>
                <w:bCs w:val="0"/>
                <w:kern w:val="0"/>
                <w:sz w:val="24"/>
                <w:szCs w:val="24"/>
              </w:rPr>
            </w:pPr>
            <w:bookmarkStart w:id="0" w:name="_Hlk121996495"/>
            <w:r>
              <w:rPr>
                <w:rFonts w:ascii="Times New Roman" w:hAnsi="Times New Roman" w:eastAsia="黑体" w:cs="Times New Roman"/>
                <w:b w:val="0"/>
                <w:bCs w:val="0"/>
                <w:kern w:val="0"/>
                <w:sz w:val="24"/>
                <w:szCs w:val="24"/>
              </w:rPr>
              <w:t>序号</w:t>
            </w:r>
          </w:p>
        </w:tc>
        <w:tc>
          <w:tcPr>
            <w:tcW w:w="124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黑体" w:cs="Times New Roman"/>
                <w:b w:val="0"/>
                <w:bCs w:val="0"/>
                <w:kern w:val="0"/>
                <w:sz w:val="24"/>
                <w:szCs w:val="24"/>
              </w:rPr>
            </w:pPr>
            <w:r>
              <w:rPr>
                <w:rFonts w:ascii="Times New Roman" w:hAnsi="Times New Roman" w:eastAsia="黑体" w:cs="Times New Roman"/>
                <w:b w:val="0"/>
                <w:bCs w:val="0"/>
                <w:kern w:val="0"/>
                <w:sz w:val="24"/>
                <w:szCs w:val="24"/>
              </w:rPr>
              <w:t>违规类型</w:t>
            </w:r>
          </w:p>
        </w:tc>
        <w:tc>
          <w:tcPr>
            <w:tcW w:w="23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黑体" w:cs="Times New Roman"/>
                <w:b w:val="0"/>
                <w:bCs w:val="0"/>
                <w:kern w:val="0"/>
                <w:sz w:val="24"/>
                <w:szCs w:val="24"/>
              </w:rPr>
            </w:pPr>
            <w:r>
              <w:rPr>
                <w:rFonts w:ascii="Times New Roman" w:hAnsi="Times New Roman" w:eastAsia="黑体" w:cs="Times New Roman"/>
                <w:b w:val="0"/>
                <w:bCs w:val="0"/>
                <w:kern w:val="0"/>
                <w:sz w:val="24"/>
                <w:szCs w:val="24"/>
              </w:rPr>
              <w:t>问题描述</w:t>
            </w:r>
          </w:p>
        </w:tc>
        <w:tc>
          <w:tcPr>
            <w:tcW w:w="249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黑体" w:cs="Times New Roman"/>
                <w:b w:val="0"/>
                <w:bCs w:val="0"/>
                <w:kern w:val="0"/>
                <w:sz w:val="24"/>
                <w:szCs w:val="24"/>
              </w:rPr>
            </w:pPr>
            <w:r>
              <w:rPr>
                <w:rFonts w:ascii="Times New Roman" w:hAnsi="Times New Roman" w:eastAsia="黑体" w:cs="Times New Roman"/>
                <w:b w:val="0"/>
                <w:bCs w:val="0"/>
                <w:kern w:val="0"/>
                <w:sz w:val="24"/>
                <w:szCs w:val="24"/>
              </w:rPr>
              <w:t>涉及医疗服务</w:t>
            </w:r>
          </w:p>
          <w:p>
            <w:pPr>
              <w:widowControl/>
              <w:spacing w:line="300" w:lineRule="exact"/>
              <w:jc w:val="center"/>
              <w:rPr>
                <w:rFonts w:ascii="Times New Roman" w:hAnsi="Times New Roman" w:eastAsia="黑体" w:cs="Times New Roman"/>
                <w:b w:val="0"/>
                <w:bCs w:val="0"/>
                <w:kern w:val="0"/>
                <w:sz w:val="24"/>
                <w:szCs w:val="24"/>
              </w:rPr>
            </w:pPr>
            <w:r>
              <w:rPr>
                <w:rFonts w:ascii="Times New Roman" w:hAnsi="Times New Roman" w:eastAsia="黑体" w:cs="Times New Roman"/>
                <w:b w:val="0"/>
                <w:bCs w:val="0"/>
                <w:kern w:val="0"/>
                <w:sz w:val="24"/>
                <w:szCs w:val="24"/>
              </w:rPr>
              <w:t>价格项目</w:t>
            </w:r>
          </w:p>
        </w:tc>
        <w:tc>
          <w:tcPr>
            <w:tcW w:w="42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黑体" w:cs="Times New Roman"/>
                <w:b w:val="0"/>
                <w:bCs w:val="0"/>
                <w:kern w:val="0"/>
                <w:sz w:val="24"/>
                <w:szCs w:val="24"/>
              </w:rPr>
            </w:pPr>
            <w:r>
              <w:rPr>
                <w:rFonts w:ascii="Times New Roman" w:hAnsi="Times New Roman" w:eastAsia="黑体" w:cs="Times New Roman"/>
                <w:b w:val="0"/>
                <w:bCs w:val="0"/>
                <w:kern w:val="0"/>
                <w:sz w:val="24"/>
                <w:szCs w:val="24"/>
              </w:rPr>
              <w:t>典型案例</w:t>
            </w:r>
          </w:p>
        </w:tc>
        <w:tc>
          <w:tcPr>
            <w:tcW w:w="436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黑体" w:cs="Times New Roman"/>
                <w:b w:val="0"/>
                <w:bCs w:val="0"/>
                <w:kern w:val="0"/>
                <w:sz w:val="24"/>
                <w:szCs w:val="24"/>
              </w:rPr>
            </w:pPr>
            <w:r>
              <w:rPr>
                <w:rFonts w:ascii="Times New Roman" w:hAnsi="Times New Roman" w:eastAsia="黑体" w:cs="Times New Roman"/>
                <w:b w:val="0"/>
                <w:bCs w:val="0"/>
                <w:kern w:val="0"/>
                <w:sz w:val="24"/>
                <w:szCs w:val="24"/>
              </w:rPr>
              <w:t>判定违规相关依据</w:t>
            </w:r>
          </w:p>
        </w:tc>
      </w:tr>
      <w:tr>
        <w:tblPrEx>
          <w:tblLayout w:type="fixed"/>
          <w:tblCellMar>
            <w:top w:w="0" w:type="dxa"/>
            <w:left w:w="108" w:type="dxa"/>
            <w:bottom w:w="0" w:type="dxa"/>
            <w:right w:w="108" w:type="dxa"/>
          </w:tblCellMar>
        </w:tblPrEx>
        <w:trPr>
          <w:trHeight w:val="1939"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244"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重复收费</w:t>
            </w:r>
          </w:p>
        </w:tc>
        <w:tc>
          <w:tcPr>
            <w:tcW w:w="2300"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计价单位为“日”的医疗服务价格项目，收费数量超过住院天数</w:t>
            </w:r>
          </w:p>
        </w:tc>
        <w:tc>
          <w:tcPr>
            <w:tcW w:w="2499"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住院诊查费（110200007）；病房空调费（110800001）；普通病房床位费（110900001）；Ⅰ级护理（120100003）；皮肤牵引术（331523002）等</w:t>
            </w:r>
          </w:p>
        </w:tc>
        <w:tc>
          <w:tcPr>
            <w:tcW w:w="4272"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某医院神经内科，某患者2022年11月1日上午8:00入院，11月12日下午15:00出院，住院天数11天，收取该患者床位费“两人间”、“住院诊查费”、“Ⅰ级护理”费用12天，超出住院天数1天。</w:t>
            </w:r>
          </w:p>
        </w:tc>
        <w:tc>
          <w:tcPr>
            <w:tcW w:w="4365"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《湖南省现行医疗服务价格项目目录（2022）》“综合医疗服务类”说明第3点：出、入院时间的计算：一日内不论什么时间入院按一天计算住院天数，一日内无论什么时间出院均不计算住院天数。</w:t>
            </w:r>
          </w:p>
        </w:tc>
      </w:tr>
      <w:tr>
        <w:tblPrEx>
          <w:tblLayout w:type="fixed"/>
          <w:tblCellMar>
            <w:top w:w="0" w:type="dxa"/>
            <w:left w:w="108" w:type="dxa"/>
            <w:bottom w:w="0" w:type="dxa"/>
            <w:right w:w="108" w:type="dxa"/>
          </w:tblCellMar>
        </w:tblPrEx>
        <w:trPr>
          <w:trHeight w:val="1939"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244"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重复收费</w:t>
            </w:r>
          </w:p>
        </w:tc>
        <w:tc>
          <w:tcPr>
            <w:tcW w:w="2300"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计价单位为“次”的医疗服务项目（如： “微针针刺”、“灸法”），按“部位”重复收费</w:t>
            </w:r>
          </w:p>
        </w:tc>
        <w:tc>
          <w:tcPr>
            <w:tcW w:w="2499"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微针针刺（430000005）；</w:t>
            </w:r>
          </w:p>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灸法（440000001）</w:t>
            </w:r>
          </w:p>
        </w:tc>
        <w:tc>
          <w:tcPr>
            <w:tcW w:w="4272"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某医院</w:t>
            </w:r>
            <w:r>
              <w:rPr>
                <w:rFonts w:hint="eastAsia" w:ascii="Times New Roman" w:hAnsi="Times New Roman" w:eastAsia="仿宋_GB2312" w:cs="Times New Roman"/>
                <w:kern w:val="0"/>
                <w:sz w:val="24"/>
                <w:szCs w:val="24"/>
              </w:rPr>
              <w:t>康复理疗科</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为肩颈痛患者行“灸法”治疗，每日两次。实际每日收取“灸法”费用4次。</w:t>
            </w:r>
          </w:p>
        </w:tc>
        <w:tc>
          <w:tcPr>
            <w:tcW w:w="4365"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《湖南省现行医疗服务价格项目目录（2022）》，“微针针刺”、“灸法”等医疗服务项目，计价单位为“次”。</w:t>
            </w:r>
          </w:p>
        </w:tc>
      </w:tr>
      <w:tr>
        <w:tblPrEx>
          <w:tblLayout w:type="fixed"/>
          <w:tblCellMar>
            <w:top w:w="0" w:type="dxa"/>
            <w:left w:w="108" w:type="dxa"/>
            <w:bottom w:w="0" w:type="dxa"/>
            <w:right w:w="108" w:type="dxa"/>
          </w:tblCellMar>
        </w:tblPrEx>
        <w:trPr>
          <w:trHeight w:val="2285"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244"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超标准</w:t>
            </w:r>
          </w:p>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收费</w:t>
            </w:r>
          </w:p>
        </w:tc>
        <w:tc>
          <w:tcPr>
            <w:tcW w:w="2300"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超限价标准收取“X线计算机体层(CT)螺旋平扫”费用</w:t>
            </w:r>
          </w:p>
        </w:tc>
        <w:tc>
          <w:tcPr>
            <w:tcW w:w="2499"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X线计算机体层(CT)螺旋平扫（210300001）</w:t>
            </w:r>
          </w:p>
        </w:tc>
        <w:tc>
          <w:tcPr>
            <w:tcW w:w="4272"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某民营专科一级医院，医保服务协议约定执行公立医院同类医疗机构收费标准。医院CT室CT设备为16排二手CT,为就诊患者行“X线计算机体层（CT）螺旋平扫”每个部位按照“X线计算机体层（CT）螺旋平扫A等”收费。</w:t>
            </w:r>
          </w:p>
        </w:tc>
        <w:tc>
          <w:tcPr>
            <w:tcW w:w="4365"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湖南省现行医疗服务价格项目目录（2022）》“X线计算机体层(CT)扫描”说明项第3点：特等为设备≧64排、三级医疗机构，A等为≧16排，&lt;64排、二级及以上医疗机构，B等为小于16排的螺旋CT、一级及以上，C等为非螺旋CT或任意排数的二手CT、一级及以上。</w:t>
            </w:r>
          </w:p>
        </w:tc>
      </w:tr>
      <w:tr>
        <w:tblPrEx>
          <w:tblLayout w:type="fixed"/>
          <w:tblCellMar>
            <w:top w:w="0" w:type="dxa"/>
            <w:left w:w="108" w:type="dxa"/>
            <w:bottom w:w="0" w:type="dxa"/>
            <w:right w:w="108" w:type="dxa"/>
          </w:tblCellMar>
        </w:tblPrEx>
        <w:trPr>
          <w:trHeight w:val="3118"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244"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超标准</w:t>
            </w:r>
          </w:p>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收费</w:t>
            </w:r>
          </w:p>
        </w:tc>
        <w:tc>
          <w:tcPr>
            <w:tcW w:w="2300"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“彩色多普勒超声常规检查”，第二个及以上部位按照该项目全价收取费用</w:t>
            </w:r>
          </w:p>
        </w:tc>
        <w:tc>
          <w:tcPr>
            <w:tcW w:w="2499"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彩色多普勒超声常规检查（220301001）</w:t>
            </w:r>
          </w:p>
        </w:tc>
        <w:tc>
          <w:tcPr>
            <w:tcW w:w="4272"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某三甲医院B超室，妇科患者行“腹部+妇科”B超，收取两个部位费用240元=120元+120元。</w:t>
            </w:r>
          </w:p>
        </w:tc>
        <w:tc>
          <w:tcPr>
            <w:tcW w:w="4365"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湖南省现行医疗服务价格项目目录（2022）》，“彩色多普勒超声常规检查”项目内涵：胸部(含肺、胸腔、纵隔)、腹部(含肝、胆、胰、脾、双肾)、胃肠道、泌尿系(含双肾、输尿管、膀胱、前列腺)、妇科(含子宫、附件、膀胱及周围组织)、男性生殖系统（含睾丸、附睾、输精管、精索、前列腺）、腹膜后肿块；计价单位：部位；说明：每增一个部位加收40元。</w:t>
            </w:r>
          </w:p>
        </w:tc>
      </w:tr>
      <w:tr>
        <w:tblPrEx>
          <w:tblLayout w:type="fixed"/>
          <w:tblCellMar>
            <w:top w:w="0" w:type="dxa"/>
            <w:left w:w="108" w:type="dxa"/>
            <w:bottom w:w="0" w:type="dxa"/>
            <w:right w:w="108" w:type="dxa"/>
          </w:tblCellMar>
        </w:tblPrEx>
        <w:trPr>
          <w:trHeight w:val="2070"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1244"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超标准</w:t>
            </w:r>
          </w:p>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收费</w:t>
            </w:r>
          </w:p>
        </w:tc>
        <w:tc>
          <w:tcPr>
            <w:tcW w:w="2300"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某一病情首次手术（如：人工全髋关节置换术、人工全肩关节置换术），在相关手术价格基础上加收30% </w:t>
            </w:r>
          </w:p>
        </w:tc>
        <w:tc>
          <w:tcPr>
            <w:tcW w:w="2499"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人工全髋关节置换术（331507005）；人工全肩关节置换术（331507001）</w:t>
            </w:r>
          </w:p>
        </w:tc>
        <w:tc>
          <w:tcPr>
            <w:tcW w:w="4272"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某三甲医院骨科，对“髋骨骨性关节炎”患者，首次行“人工全髋关节置换术”，收取费用5387元=4144元+4144元*30%。</w:t>
            </w:r>
          </w:p>
        </w:tc>
        <w:tc>
          <w:tcPr>
            <w:tcW w:w="4365"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《湖南省现行医疗服务价格项目目录（2022）》，“人工全髋关节置换术”一类价格为4144元/次，再置换加收30%。</w:t>
            </w:r>
          </w:p>
        </w:tc>
      </w:tr>
      <w:tr>
        <w:tblPrEx>
          <w:tblLayout w:type="fixed"/>
          <w:tblCellMar>
            <w:top w:w="0" w:type="dxa"/>
            <w:left w:w="108" w:type="dxa"/>
            <w:bottom w:w="0" w:type="dxa"/>
            <w:right w:w="108" w:type="dxa"/>
          </w:tblCellMar>
        </w:tblPrEx>
        <w:trPr>
          <w:trHeight w:val="2669"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1244"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超标准</w:t>
            </w:r>
          </w:p>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收费</w:t>
            </w:r>
          </w:p>
        </w:tc>
        <w:tc>
          <w:tcPr>
            <w:tcW w:w="2300"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“X线计算机体层（CT）螺旋平扫”，第二个以上部位按照该项目全价收取费用</w:t>
            </w:r>
          </w:p>
        </w:tc>
        <w:tc>
          <w:tcPr>
            <w:tcW w:w="2499"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X线计算机体层（螺旋CT）（210300001）</w:t>
            </w:r>
          </w:p>
        </w:tc>
        <w:tc>
          <w:tcPr>
            <w:tcW w:w="4272"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某三甲医院CT室，行“X线计算机体层（CT）螺旋平扫”（特等价格），某患者扫描“胸部+上腹部”两个部位，收取两个部位费用460元=230元+230元。</w:t>
            </w:r>
          </w:p>
        </w:tc>
        <w:tc>
          <w:tcPr>
            <w:tcW w:w="4365"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湖南省现行医疗服务价格项目目录（2022）》，“X线计算机体层（CT）螺旋平扫”说明：1.计价部位分为颅脑、眼眶、视神经管、颞骨、鞍区、副鼻窦、鼻骨、颈部、胸部、心脏、上腹部、下腹部、盆腔、椎体(每三个椎体)、髋关节、膝关节、肢体、其他；2.每增加一个部位加收50%。</w:t>
            </w:r>
          </w:p>
        </w:tc>
      </w:tr>
      <w:tr>
        <w:tblPrEx>
          <w:tblLayout w:type="fixed"/>
          <w:tblCellMar>
            <w:top w:w="0" w:type="dxa"/>
            <w:left w:w="108" w:type="dxa"/>
            <w:bottom w:w="0" w:type="dxa"/>
            <w:right w:w="108" w:type="dxa"/>
          </w:tblCellMar>
        </w:tblPrEx>
        <w:trPr>
          <w:trHeight w:val="1554"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w:t>
            </w:r>
          </w:p>
        </w:tc>
        <w:tc>
          <w:tcPr>
            <w:tcW w:w="1244"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超标准</w:t>
            </w:r>
          </w:p>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收费</w:t>
            </w:r>
          </w:p>
        </w:tc>
        <w:tc>
          <w:tcPr>
            <w:tcW w:w="2300"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“粪便常规”手工法，超标准收取机器法加收费用</w:t>
            </w:r>
          </w:p>
        </w:tc>
        <w:tc>
          <w:tcPr>
            <w:tcW w:w="2499"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粪便常规（250103001）</w:t>
            </w:r>
          </w:p>
        </w:tc>
        <w:tc>
          <w:tcPr>
            <w:tcW w:w="4272"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某医院检验科，因相关仪器设备故障报废，采取手工法开展“粪便常规”检验，收取“粪便常规”项目费用的同时，收取“粪便常规”机器法加收费用。</w:t>
            </w:r>
          </w:p>
        </w:tc>
        <w:tc>
          <w:tcPr>
            <w:tcW w:w="4365"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《湖南省现行医疗服务价格项目目录（2022）》，“粪便常规”项目内涵：指手工操作；含外观、镜检；说明：机器法加收9元。</w:t>
            </w:r>
          </w:p>
        </w:tc>
      </w:tr>
      <w:tr>
        <w:tblPrEx>
          <w:tblLayout w:type="fixed"/>
          <w:tblCellMar>
            <w:top w:w="0" w:type="dxa"/>
            <w:left w:w="108" w:type="dxa"/>
            <w:bottom w:w="0" w:type="dxa"/>
            <w:right w:w="108" w:type="dxa"/>
          </w:tblCellMar>
        </w:tblPrEx>
        <w:trPr>
          <w:trHeight w:val="2313"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w:t>
            </w:r>
          </w:p>
        </w:tc>
        <w:tc>
          <w:tcPr>
            <w:tcW w:w="1244"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超标准</w:t>
            </w:r>
          </w:p>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收费</w:t>
            </w:r>
          </w:p>
        </w:tc>
        <w:tc>
          <w:tcPr>
            <w:tcW w:w="2300"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酶免疫法开展“B型钠尿肽前体（PRO-BNP）测定”，收取该项目费用的同时，收取“化学发光法加收200元”费用</w:t>
            </w:r>
          </w:p>
        </w:tc>
        <w:tc>
          <w:tcPr>
            <w:tcW w:w="2499"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B型钠尿肽前体（PRO-BNP）测定（250306013）</w:t>
            </w:r>
          </w:p>
        </w:tc>
        <w:tc>
          <w:tcPr>
            <w:tcW w:w="4272"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某三甲医院检验科，使用酶免疫法试剂开展“B型钠尿肽前体（PRO-BNP）测定”，收取费用280元=“B型钠尿肽前体（PRO-BNP）测定”费用80元+化学发光法加收200元。</w:t>
            </w:r>
          </w:p>
        </w:tc>
        <w:tc>
          <w:tcPr>
            <w:tcW w:w="4365"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《湖南省现行医疗服务价格项目目录（2022）》，“B型钠尿肽前体（PRO-BNP）测定”项目内涵：指酶免疫法；说明：干免疫法加收220元、化学发光法加收200元。</w:t>
            </w:r>
          </w:p>
        </w:tc>
      </w:tr>
      <w:tr>
        <w:tblPrEx>
          <w:tblLayout w:type="fixed"/>
          <w:tblCellMar>
            <w:top w:w="0" w:type="dxa"/>
            <w:left w:w="108" w:type="dxa"/>
            <w:bottom w:w="0" w:type="dxa"/>
            <w:right w:w="108" w:type="dxa"/>
          </w:tblCellMar>
        </w:tblPrEx>
        <w:trPr>
          <w:trHeight w:val="2953"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9</w:t>
            </w:r>
          </w:p>
        </w:tc>
        <w:tc>
          <w:tcPr>
            <w:tcW w:w="1244"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分解项目收费</w:t>
            </w:r>
          </w:p>
        </w:tc>
        <w:tc>
          <w:tcPr>
            <w:tcW w:w="2300"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收取“层流洁净病房床位费”的同时，重复收取“普通病房床位费”</w:t>
            </w:r>
          </w:p>
        </w:tc>
        <w:tc>
          <w:tcPr>
            <w:tcW w:w="2499"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普通病房床位费（110900001）；层流洁净病房床位费（110900005）</w:t>
            </w:r>
          </w:p>
        </w:tc>
        <w:tc>
          <w:tcPr>
            <w:tcW w:w="4272"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某医院肾移植病房（病房设置为层流洁净标准），对住院患者，每日常规收取“层流洁净病房床位费”和“普通病房床位费”各1次。</w:t>
            </w:r>
          </w:p>
        </w:tc>
        <w:tc>
          <w:tcPr>
            <w:tcW w:w="4365"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《湖南省现行医疗服务价格项目目录（2022）》，层流洁净病房床位费”项目内涵已经包含普遍病房床位设施配备。</w:t>
            </w:r>
          </w:p>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“层流洁净病房床位费”项目内涵：指达到规定洁净级别、有层流装置，风淋通道的层流洁净间，采用全封闭管理，有严格消毒隔离措施及对外通话系统。要求具备普通病房的床位设施。含医用垃圾、污水处理。</w:t>
            </w:r>
          </w:p>
        </w:tc>
      </w:tr>
      <w:tr>
        <w:tblPrEx>
          <w:tblLayout w:type="fixed"/>
          <w:tblCellMar>
            <w:top w:w="0" w:type="dxa"/>
            <w:left w:w="108" w:type="dxa"/>
            <w:bottom w:w="0" w:type="dxa"/>
            <w:right w:w="108" w:type="dxa"/>
          </w:tblCellMar>
        </w:tblPrEx>
        <w:trPr>
          <w:trHeight w:val="2144"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1244"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分解项目收费</w:t>
            </w:r>
          </w:p>
        </w:tc>
        <w:tc>
          <w:tcPr>
            <w:tcW w:w="2300"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收取“重症监护”费用的同时，重复收取“Ⅰ级护理”和（或）“一般专项护理”费用</w:t>
            </w:r>
          </w:p>
        </w:tc>
        <w:tc>
          <w:tcPr>
            <w:tcW w:w="2499"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重症监护（120100001）；Ⅰ级护理（120100003）；一般专项护理（120100014）</w:t>
            </w:r>
          </w:p>
        </w:tc>
        <w:tc>
          <w:tcPr>
            <w:tcW w:w="4272"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某医院ICU病房，对护理级别为重症监护患者，收取“重症监护”费用的同时，重复收取“Ⅰ级护理”和“口腔护理（一般专项护理）”费用。</w:t>
            </w:r>
          </w:p>
        </w:tc>
        <w:tc>
          <w:tcPr>
            <w:tcW w:w="4365"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《湖南省现行医疗服务价格项目目录（2022）》，“重症监护”说明项明确：收取重症监护不得再收分级护理和一般专项护理费。</w:t>
            </w:r>
          </w:p>
        </w:tc>
      </w:tr>
      <w:tr>
        <w:tblPrEx>
          <w:tblLayout w:type="fixed"/>
          <w:tblCellMar>
            <w:top w:w="0" w:type="dxa"/>
            <w:left w:w="108" w:type="dxa"/>
            <w:bottom w:w="0" w:type="dxa"/>
            <w:right w:w="108" w:type="dxa"/>
          </w:tblCellMar>
        </w:tblPrEx>
        <w:trPr>
          <w:trHeight w:val="2010"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11</w:t>
            </w:r>
          </w:p>
        </w:tc>
        <w:tc>
          <w:tcPr>
            <w:tcW w:w="1244"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分解项目收费</w:t>
            </w:r>
          </w:p>
        </w:tc>
        <w:tc>
          <w:tcPr>
            <w:tcW w:w="2300"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收取“特殊疾病护理”的同时，重复收取“Ⅰ级护理”费用</w:t>
            </w:r>
          </w:p>
        </w:tc>
        <w:tc>
          <w:tcPr>
            <w:tcW w:w="2499"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rPr>
            </w:pPr>
            <w:r>
              <w:rPr>
                <w:rFonts w:ascii="Times New Roman" w:hAnsi="Times New Roman" w:eastAsia="仿宋_GB2312" w:cs="Times New Roman"/>
                <w:kern w:val="0"/>
                <w:sz w:val="24"/>
                <w:szCs w:val="24"/>
              </w:rPr>
              <w:t>特殊疾病护理（120100006）</w:t>
            </w:r>
            <w:r>
              <w:rPr>
                <w:rFonts w:ascii="Times New Roman" w:hAnsi="Times New Roman" w:eastAsia="仿宋_GB2312" w:cs="Times New Roman"/>
              </w:rPr>
              <w:t>；</w:t>
            </w:r>
            <w:r>
              <w:rPr>
                <w:rFonts w:ascii="Times New Roman" w:hAnsi="Times New Roman" w:eastAsia="仿宋_GB2312" w:cs="Times New Roman"/>
                <w:kern w:val="0"/>
                <w:sz w:val="24"/>
                <w:szCs w:val="24"/>
              </w:rPr>
              <w:t>Ⅰ级护理</w:t>
            </w:r>
            <w:r>
              <w:rPr>
                <w:rFonts w:ascii="Times New Roman" w:hAnsi="Times New Roman" w:eastAsia="仿宋_GB2312" w:cs="Times New Roman"/>
              </w:rPr>
              <w:t>（120100003）</w:t>
            </w:r>
          </w:p>
          <w:p>
            <w:pPr>
              <w:widowControl/>
              <w:spacing w:line="300" w:lineRule="exact"/>
              <w:rPr>
                <w:rFonts w:ascii="Times New Roman" w:hAnsi="Times New Roman" w:eastAsia="仿宋_GB2312" w:cs="Times New Roman"/>
                <w:kern w:val="0"/>
                <w:sz w:val="24"/>
                <w:szCs w:val="24"/>
              </w:rPr>
            </w:pPr>
          </w:p>
        </w:tc>
        <w:tc>
          <w:tcPr>
            <w:tcW w:w="4272"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某医院肺结核专科病房，对肺结核住院患者，每日收取“特殊疾病护理”费用同时，重复收取“Ⅰ级护理”费用。</w:t>
            </w:r>
          </w:p>
        </w:tc>
        <w:tc>
          <w:tcPr>
            <w:tcW w:w="4365" w:type="dxa"/>
            <w:tcBorders>
              <w:top w:val="nil"/>
              <w:left w:val="nil"/>
              <w:bottom w:val="single" w:color="auto" w:sz="4" w:space="0"/>
              <w:right w:val="single" w:color="auto" w:sz="4" w:space="0"/>
            </w:tcBorders>
            <w:noWrap w:val="0"/>
            <w:vAlign w:val="center"/>
          </w:tcPr>
          <w:p>
            <w:pPr>
              <w:widowControl/>
              <w:spacing w:line="300" w:lineRule="exact"/>
              <w:rPr>
                <w:rFonts w:hint="eastAsia" w:ascii="Times New Roman" w:hAnsi="Times New Roman" w:eastAsia="仿宋_GB2312" w:cs="Times New Roman"/>
                <w:kern w:val="0"/>
                <w:sz w:val="24"/>
                <w:szCs w:val="24"/>
                <w:lang w:eastAsia="zh-CN"/>
              </w:rPr>
            </w:pPr>
            <w:r>
              <w:rPr>
                <w:rFonts w:ascii="Times New Roman" w:hAnsi="Times New Roman" w:eastAsia="仿宋_GB2312" w:cs="Times New Roman"/>
                <w:kern w:val="0"/>
                <w:sz w:val="24"/>
                <w:szCs w:val="24"/>
              </w:rPr>
              <w:t>《湖南省现行医疗服务价格项目目录（2022）》，“特殊疾病护理”项目内涵已经包含“I级护理”</w:t>
            </w:r>
            <w:r>
              <w:rPr>
                <w:rFonts w:hint="eastAsia" w:ascii="Times New Roman" w:hAnsi="Times New Roman" w:eastAsia="仿宋_GB2312" w:cs="Times New Roman"/>
                <w:color w:val="0000FF"/>
                <w:kern w:val="0"/>
                <w:sz w:val="24"/>
                <w:szCs w:val="24"/>
                <w:lang w:eastAsia="zh-CN"/>
              </w:rPr>
              <w:t>。</w:t>
            </w:r>
          </w:p>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“特殊疾病护理”项目内涵：指气性坏疽、破伤风、活动性肺结核等特殊传染病的护理，含严格消毒隔离及Ⅰ级护理内容。</w:t>
            </w:r>
          </w:p>
        </w:tc>
      </w:tr>
      <w:tr>
        <w:tblPrEx>
          <w:tblLayout w:type="fixed"/>
          <w:tblCellMar>
            <w:top w:w="0" w:type="dxa"/>
            <w:left w:w="108" w:type="dxa"/>
            <w:bottom w:w="0" w:type="dxa"/>
            <w:right w:w="108" w:type="dxa"/>
          </w:tblCellMar>
        </w:tblPrEx>
        <w:trPr>
          <w:trHeight w:val="1934"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12</w:t>
            </w:r>
          </w:p>
        </w:tc>
        <w:tc>
          <w:tcPr>
            <w:tcW w:w="1244"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分解项目收费</w:t>
            </w:r>
          </w:p>
        </w:tc>
        <w:tc>
          <w:tcPr>
            <w:tcW w:w="2300"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收取“气管切开护理”费用的同时，重复收取“吸痰护理”费用</w:t>
            </w:r>
          </w:p>
        </w:tc>
        <w:tc>
          <w:tcPr>
            <w:tcW w:w="2499"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气管切开护理（120100010）；吸痰护理（120100011）</w:t>
            </w:r>
          </w:p>
        </w:tc>
        <w:tc>
          <w:tcPr>
            <w:tcW w:w="4272"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某医院ICU病房，对气管切开和气管插管住院患者，收取“气管切开护理”费用的同时，重复收取“吸痰护理”费用。</w:t>
            </w:r>
          </w:p>
        </w:tc>
        <w:tc>
          <w:tcPr>
            <w:tcW w:w="4365"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《湖南省现行医疗服务价格项目目录（2022）》，“气管切开护理”项目内涵包括吸痰护理。</w:t>
            </w:r>
          </w:p>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“气管切开护理”项目内涵：含吸痰、药物滴入、定时消毒、更换套管及其纱布。气管插管护理参照执行。</w:t>
            </w:r>
          </w:p>
        </w:tc>
      </w:tr>
      <w:tr>
        <w:tblPrEx>
          <w:tblLayout w:type="fixed"/>
          <w:tblCellMar>
            <w:top w:w="0" w:type="dxa"/>
            <w:left w:w="108" w:type="dxa"/>
            <w:bottom w:w="0" w:type="dxa"/>
            <w:right w:w="108" w:type="dxa"/>
          </w:tblCellMar>
        </w:tblPrEx>
        <w:trPr>
          <w:trHeight w:val="3459"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13</w:t>
            </w:r>
          </w:p>
        </w:tc>
        <w:tc>
          <w:tcPr>
            <w:tcW w:w="1244"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分解项目收费</w:t>
            </w:r>
          </w:p>
        </w:tc>
        <w:tc>
          <w:tcPr>
            <w:tcW w:w="2300"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收取甲状腺切除相关手术（如：“甲状腺次全切除术”、“甲状腺全切术”、“甲状腺癌根治术”、“甲状腺癌扩大根治术”）费用的同时，重复收取“喉返神经探查术”费用</w:t>
            </w:r>
          </w:p>
        </w:tc>
        <w:tc>
          <w:tcPr>
            <w:tcW w:w="2499"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甲状腺部分切除术（330300008）；甲状腺次全切除术（330300009）；甲状腺全切术（330300010）；甲状腺癌根治术（330300011）；甲状腺癌扩大根治术（330300012）；</w:t>
            </w:r>
          </w:p>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喉返神经探查术（330300017）</w:t>
            </w:r>
          </w:p>
        </w:tc>
        <w:tc>
          <w:tcPr>
            <w:tcW w:w="4272"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某医院手术室，对行甲状腺切除相关手术患者，收取相关甲状腺切除术费用的同时，重复收取“喉返神经探查术”费用。</w:t>
            </w:r>
          </w:p>
        </w:tc>
        <w:tc>
          <w:tcPr>
            <w:tcW w:w="4365"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《湖南省现行医疗服务价格项目目录（2022）》，“手术治疗”说明第11点:探查术只适应于术前诊断不明确或手术中因无法完成原定手术而中断的手术，不能与其他手术项目同时收费。</w:t>
            </w:r>
          </w:p>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《全国医疗服务价格项目规范》（2012年版），“喉返神经探查术”项目内涵：颈部原切口瘢痕切除，逐层切开，游离患侧甲状腺，在其后方探查显露喉返神经全程、确定有无损伤，止血，切口逐层缝合。</w:t>
            </w:r>
          </w:p>
        </w:tc>
      </w:tr>
      <w:tr>
        <w:tblPrEx>
          <w:tblLayout w:type="fixed"/>
          <w:tblCellMar>
            <w:top w:w="0" w:type="dxa"/>
            <w:left w:w="108" w:type="dxa"/>
            <w:bottom w:w="0" w:type="dxa"/>
            <w:right w:w="108" w:type="dxa"/>
          </w:tblCellMar>
        </w:tblPrEx>
        <w:trPr>
          <w:trHeight w:val="2210"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14</w:t>
            </w:r>
          </w:p>
        </w:tc>
        <w:tc>
          <w:tcPr>
            <w:tcW w:w="1244"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分解项目收费</w:t>
            </w:r>
          </w:p>
        </w:tc>
        <w:tc>
          <w:tcPr>
            <w:tcW w:w="2300"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收取“全身麻醉”费用的同时，重复收取“气管插管”或“特殊气管插管”、“可视喉镜辅助下气管插管术”费用</w:t>
            </w:r>
          </w:p>
        </w:tc>
        <w:tc>
          <w:tcPr>
            <w:tcW w:w="2499"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全身麻醉（330100005）；气管插管（330100013）；特殊气管插管（330100014）；可视喉镜辅助下气管插管术（330100024）</w:t>
            </w:r>
          </w:p>
        </w:tc>
        <w:tc>
          <w:tcPr>
            <w:tcW w:w="4272"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某医院手术室，对行全身麻醉患者，收取“全身麻醉”费用的同时，普遍根据麻醉过程中气管插管方式，重复收取“气管插管”或“特殊气管插管”、“可视喉镜辅助下气管插管术”费用。</w:t>
            </w:r>
          </w:p>
        </w:tc>
        <w:tc>
          <w:tcPr>
            <w:tcW w:w="4365"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《湖南省现行医疗服务价格项目目录（2022）》，“全身麻醉”项目内涵：含各种方法气管插管；包括吸入、静脉或吸静复合以及靶控输入</w:t>
            </w:r>
          </w:p>
        </w:tc>
      </w:tr>
      <w:tr>
        <w:tblPrEx>
          <w:tblLayout w:type="fixed"/>
          <w:tblCellMar>
            <w:top w:w="0" w:type="dxa"/>
            <w:left w:w="108" w:type="dxa"/>
            <w:bottom w:w="0" w:type="dxa"/>
            <w:right w:w="108" w:type="dxa"/>
          </w:tblCellMar>
        </w:tblPrEx>
        <w:trPr>
          <w:trHeight w:val="2746"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1244"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分解项目收费</w:t>
            </w:r>
          </w:p>
        </w:tc>
        <w:tc>
          <w:tcPr>
            <w:tcW w:w="2300"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“麻醉中监测”，收取“心电监测”+“血氧饱和度”+心率变异性分析+“持续有创性血压监测”等费用</w:t>
            </w:r>
          </w:p>
        </w:tc>
        <w:tc>
          <w:tcPr>
            <w:tcW w:w="2499"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心电监测（310701022）；血氧饱和度（310701028）；心率变异性分析；（310701018）；持续有创性血压监测（310702002）</w:t>
            </w:r>
          </w:p>
        </w:tc>
        <w:tc>
          <w:tcPr>
            <w:tcW w:w="4272"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某医院手术室，全身麻醉患者开展“麻醉中监测”，不对应收取“麻醉中监测”费用，而收取“心电监测”+“血氧饱和度”+心率变异性分析+“持续有创性血压监测”等费用。</w:t>
            </w:r>
          </w:p>
        </w:tc>
        <w:tc>
          <w:tcPr>
            <w:tcW w:w="4365"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湖南省现行医疗服务价格项目目录（2022）》，“麻醉中监测”项目内涵：含心电图、脉搏、氧饱和度、心率变异分析、ST段分析、无创血压、中心静脉压、呼气末二氧化碳、氧浓度、呼吸频率、潮气量、分钟通气量、气道压、肺顺应性、呼气末麻醉药浓度、体温、肌松、脑电双谱指数。</w:t>
            </w:r>
          </w:p>
        </w:tc>
      </w:tr>
      <w:tr>
        <w:tblPrEx>
          <w:tblLayout w:type="fixed"/>
          <w:tblCellMar>
            <w:top w:w="0" w:type="dxa"/>
            <w:left w:w="108" w:type="dxa"/>
            <w:bottom w:w="0" w:type="dxa"/>
            <w:right w:w="108" w:type="dxa"/>
          </w:tblCellMar>
        </w:tblPrEx>
        <w:trPr>
          <w:trHeight w:val="2035"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16</w:t>
            </w:r>
          </w:p>
        </w:tc>
        <w:tc>
          <w:tcPr>
            <w:tcW w:w="1244"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分解项目收费</w:t>
            </w:r>
          </w:p>
        </w:tc>
        <w:tc>
          <w:tcPr>
            <w:tcW w:w="2300"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行“甲状腺癌扩大根治术”，收取“甲状腺全切术”+“颈淋巴结清扫术”费用</w:t>
            </w:r>
          </w:p>
        </w:tc>
        <w:tc>
          <w:tcPr>
            <w:tcW w:w="2499"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甲状腺癌扩大根治术（330300012）；甲状腺全切术（330300010）；颈淋巴结清扫术（330900003）</w:t>
            </w:r>
          </w:p>
        </w:tc>
        <w:tc>
          <w:tcPr>
            <w:tcW w:w="4272" w:type="dxa"/>
            <w:tcBorders>
              <w:top w:val="nil"/>
              <w:left w:val="nil"/>
              <w:bottom w:val="single" w:color="auto" w:sz="4" w:space="0"/>
              <w:right w:val="single" w:color="auto" w:sz="4" w:space="0"/>
            </w:tcBorders>
            <w:noWrap w:val="0"/>
            <w:vAlign w:val="center"/>
          </w:tcPr>
          <w:p>
            <w:pPr>
              <w:widowControl/>
              <w:spacing w:line="300" w:lineRule="exact"/>
              <w:rPr>
                <w:rFonts w:hint="eastAsia" w:ascii="Times New Roman" w:hAnsi="Times New Roman" w:eastAsia="仿宋_GB2312" w:cs="Times New Roman"/>
                <w:kern w:val="0"/>
                <w:sz w:val="24"/>
                <w:szCs w:val="24"/>
                <w:lang w:eastAsia="zh-CN"/>
              </w:rPr>
            </w:pPr>
            <w:r>
              <w:rPr>
                <w:rFonts w:ascii="Times New Roman" w:hAnsi="Times New Roman" w:eastAsia="仿宋_GB2312" w:cs="Times New Roman"/>
                <w:kern w:val="0"/>
                <w:sz w:val="24"/>
                <w:szCs w:val="24"/>
              </w:rPr>
              <w:t>某肿瘤专科医院头颈科，为甲状腺癌患者行“甲状腺癌扩大根治术”，不对应收取“甲状腺癌扩大根治术”费用，而收取“甲状腺全切术”+“颈淋巴结清扫术”费用</w:t>
            </w:r>
            <w:r>
              <w:rPr>
                <w:rFonts w:hint="eastAsia" w:ascii="Times New Roman" w:hAnsi="Times New Roman" w:eastAsia="仿宋_GB2312" w:cs="Times New Roman"/>
                <w:color w:val="0000FF"/>
                <w:kern w:val="0"/>
                <w:sz w:val="24"/>
                <w:szCs w:val="24"/>
                <w:lang w:eastAsia="zh-CN"/>
              </w:rPr>
              <w:t>。</w:t>
            </w:r>
          </w:p>
        </w:tc>
        <w:tc>
          <w:tcPr>
            <w:tcW w:w="4365"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《湖南省现行医疗服务价格项目目录（2022）》，“甲状腺癌扩大根治术”项目内涵：含甲状腺癌切除、同侧淋巴结清扫、所累及颈其他结构切除”。</w:t>
            </w:r>
          </w:p>
        </w:tc>
      </w:tr>
      <w:tr>
        <w:tblPrEx>
          <w:tblLayout w:type="fixed"/>
          <w:tblCellMar>
            <w:top w:w="0" w:type="dxa"/>
            <w:left w:w="108" w:type="dxa"/>
            <w:bottom w:w="0" w:type="dxa"/>
            <w:right w:w="108" w:type="dxa"/>
          </w:tblCellMar>
        </w:tblPrEx>
        <w:trPr>
          <w:trHeight w:val="2211" w:hRule="atLeast"/>
          <w:jc w:val="center"/>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17</w:t>
            </w:r>
          </w:p>
        </w:tc>
        <w:tc>
          <w:tcPr>
            <w:tcW w:w="1244"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分解项目收费</w:t>
            </w:r>
          </w:p>
        </w:tc>
        <w:tc>
          <w:tcPr>
            <w:tcW w:w="2300"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行“根治性膀胱全切除术”，收取“根治性膀胱全切除术”+“经腹腔镜盆腔淋巴结清扫术”</w:t>
            </w:r>
          </w:p>
        </w:tc>
        <w:tc>
          <w:tcPr>
            <w:tcW w:w="2499"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根治性膀胱全切除术（331103006）；经腹腔镜盆腔淋巴结清扫术（330900006）</w:t>
            </w:r>
          </w:p>
        </w:tc>
        <w:tc>
          <w:tcPr>
            <w:tcW w:w="4272"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某医院普外科，为膀胱癌患者行行“根治性膀胱全切除术”，收取“根治性膀胱全切除术”费用的同时，加收“经腹腔镜盆腔淋巴结清扫术”费用。</w:t>
            </w:r>
          </w:p>
        </w:tc>
        <w:tc>
          <w:tcPr>
            <w:tcW w:w="4365" w:type="dxa"/>
            <w:tcBorders>
              <w:top w:val="nil"/>
              <w:left w:val="nil"/>
              <w:bottom w:val="single" w:color="auto" w:sz="4" w:space="0"/>
              <w:right w:val="single" w:color="auto" w:sz="4" w:space="0"/>
            </w:tcBorders>
            <w:noWrap w:val="0"/>
            <w:vAlign w:val="center"/>
          </w:tcPr>
          <w:p>
            <w:pPr>
              <w:widowControl/>
              <w:spacing w:line="30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《湖南省现行医疗服务价格项目目录（2022）》，“根治性膀胱全切除术”项目内涵：含盆腔淋巴结清扫术。</w:t>
            </w:r>
          </w:p>
        </w:tc>
      </w:tr>
      <w:bookmarkEnd w:id="0"/>
    </w:tbl>
    <w:p/>
    <w:p/>
    <w:sectPr>
      <w:pgSz w:w="16838" w:h="11906" w:orient="landscape"/>
      <w:pgMar w:top="1984" w:right="1417" w:bottom="1474" w:left="1587" w:header="851" w:footer="992" w:gutter="0"/>
      <w:cols w:space="720" w:num="1"/>
      <w:formProt w:val="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F3190"/>
    <w:rsid w:val="67FF31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2023-02-03T02:01:00Z</dcterms:created>
  <dc:creator>彭小玲</dc:creator>
  <cp:lastModifiedBy>彭小玲</cp:lastModifiedBy>
  <dcterms:modified xsi:type="dcterms:W3CDTF">2023-02-03T02:01:50Z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