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23333E">
      <w:pPr>
        <w:tabs>
          <w:tab w:val="left" w:pos="1470"/>
          <w:tab w:val="left" w:pos="1680"/>
        </w:tabs>
        <w:spacing w:line="560" w:lineRule="exact"/>
        <w:rPr>
          <w:rFonts w:ascii="黑体" w:eastAsia="黑体" w:hAnsi="黑体" w:cs="黑体" w:hint="eastAsia"/>
          <w:sz w:val="32"/>
          <w:szCs w:val="32"/>
        </w:rPr>
      </w:pPr>
      <w:bookmarkStart w:id="0" w:name="_GoBack"/>
      <w:bookmarkEnd w:id="0"/>
      <w:r>
        <w:rPr>
          <w:rFonts w:ascii="黑体" w:eastAsia="黑体" w:hAnsi="黑体" w:cs="黑体" w:hint="eastAsia"/>
          <w:sz w:val="32"/>
          <w:szCs w:val="32"/>
        </w:rPr>
        <w:t>附件</w:t>
      </w:r>
      <w:r>
        <w:rPr>
          <w:rFonts w:ascii="黑体" w:eastAsia="黑体" w:hAnsi="黑体" w:cs="黑体" w:hint="eastAsia"/>
          <w:sz w:val="32"/>
          <w:szCs w:val="32"/>
        </w:rPr>
        <w:t>2</w:t>
      </w:r>
    </w:p>
    <w:p w:rsidR="00000000" w:rsidRDefault="0023333E">
      <w:pPr>
        <w:spacing w:line="560" w:lineRule="exact"/>
        <w:jc w:val="center"/>
        <w:rPr>
          <w:rFonts w:eastAsia="仿宋_GB2312"/>
          <w:sz w:val="44"/>
          <w:szCs w:val="44"/>
        </w:rPr>
      </w:pPr>
    </w:p>
    <w:p w:rsidR="00000000" w:rsidRDefault="0023333E">
      <w:pPr>
        <w:spacing w:line="560" w:lineRule="exact"/>
        <w:jc w:val="center"/>
        <w:rPr>
          <w:rFonts w:ascii="方正小标宋_GBK" w:eastAsia="方正小标宋_GBK" w:hAnsi="方正小标宋_GBK" w:cs="方正小标宋_GBK" w:hint="eastAsia"/>
          <w:sz w:val="44"/>
          <w:szCs w:val="44"/>
        </w:rPr>
      </w:pPr>
      <w:r>
        <w:rPr>
          <w:rFonts w:ascii="方正小标宋_GBK" w:eastAsia="方正小标宋_GBK" w:hAnsi="方正小标宋_GBK" w:cs="方正小标宋_GBK" w:hint="eastAsia"/>
          <w:sz w:val="44"/>
          <w:szCs w:val="44"/>
        </w:rPr>
        <w:t>昂丹司琼口服制剂说明书修订</w:t>
      </w:r>
      <w:r>
        <w:rPr>
          <w:rFonts w:ascii="方正小标宋_GBK" w:eastAsia="方正小标宋_GBK" w:hAnsi="方正小标宋_GBK" w:cs="方正小标宋_GBK" w:hint="eastAsia"/>
          <w:sz w:val="44"/>
          <w:szCs w:val="44"/>
        </w:rPr>
        <w:t>要求</w:t>
      </w:r>
    </w:p>
    <w:p w:rsidR="00000000" w:rsidRDefault="0023333E">
      <w:pPr>
        <w:spacing w:line="560" w:lineRule="exact"/>
        <w:jc w:val="center"/>
        <w:rPr>
          <w:rFonts w:eastAsia="仿宋_GB2312"/>
          <w:sz w:val="44"/>
          <w:szCs w:val="44"/>
        </w:rPr>
      </w:pPr>
    </w:p>
    <w:p w:rsidR="00000000" w:rsidRDefault="0023333E">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一、【禁忌】</w:t>
      </w:r>
      <w:r>
        <w:rPr>
          <w:rFonts w:ascii="黑体" w:eastAsia="黑体" w:hAnsi="黑体" w:cs="黑体" w:hint="eastAsia"/>
          <w:sz w:val="32"/>
          <w:szCs w:val="32"/>
        </w:rPr>
        <w:t>项下应包含以下内容</w:t>
      </w:r>
    </w:p>
    <w:p w:rsidR="00000000" w:rsidRDefault="0023333E">
      <w:pPr>
        <w:spacing w:line="560" w:lineRule="exact"/>
        <w:ind w:firstLineChars="200" w:firstLine="640"/>
        <w:rPr>
          <w:rFonts w:eastAsia="仿宋_GB2312"/>
          <w:sz w:val="32"/>
          <w:szCs w:val="32"/>
        </w:rPr>
      </w:pPr>
      <w:r>
        <w:rPr>
          <w:rFonts w:eastAsia="仿宋_GB2312"/>
          <w:sz w:val="32"/>
          <w:szCs w:val="32"/>
        </w:rPr>
        <w:t>由于昂丹司琼与盐酸阿扑吗啡联合用药时有严重低血压和意识丧失的报道，故本品禁止与阿扑吗啡联合使用。</w:t>
      </w:r>
    </w:p>
    <w:p w:rsidR="00000000" w:rsidRDefault="0023333E">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二、【注意事项】</w:t>
      </w:r>
      <w:r>
        <w:rPr>
          <w:rFonts w:ascii="黑体" w:eastAsia="黑体" w:hAnsi="黑体" w:cs="黑体" w:hint="eastAsia"/>
          <w:sz w:val="32"/>
          <w:szCs w:val="32"/>
        </w:rPr>
        <w:t>项下应包含以下内容</w:t>
      </w:r>
    </w:p>
    <w:p w:rsidR="00000000" w:rsidRDefault="0023333E">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昂丹司琼可延长</w:t>
      </w:r>
      <w:r>
        <w:rPr>
          <w:rFonts w:eastAsia="仿宋_GB2312"/>
          <w:sz w:val="32"/>
          <w:szCs w:val="32"/>
        </w:rPr>
        <w:t>QT</w:t>
      </w:r>
      <w:r>
        <w:rPr>
          <w:rFonts w:eastAsia="仿宋_GB2312"/>
          <w:sz w:val="32"/>
          <w:szCs w:val="32"/>
        </w:rPr>
        <w:t>间期，并具有剂量依赖性。上市后已有接受昂丹司琼治疗的患者发生尖端扭转型室性心动过速的个例报告。先天性</w:t>
      </w:r>
      <w:r>
        <w:rPr>
          <w:rFonts w:eastAsia="仿宋_GB2312"/>
          <w:sz w:val="32"/>
          <w:szCs w:val="32"/>
        </w:rPr>
        <w:t>QT</w:t>
      </w:r>
      <w:r>
        <w:rPr>
          <w:rFonts w:eastAsia="仿宋_GB2312"/>
          <w:sz w:val="32"/>
          <w:szCs w:val="32"/>
        </w:rPr>
        <w:t>间期延长综合征患者应避免使用昂</w:t>
      </w:r>
      <w:r>
        <w:rPr>
          <w:rFonts w:eastAsia="仿宋_GB2312"/>
          <w:sz w:val="32"/>
          <w:szCs w:val="32"/>
        </w:rPr>
        <w:t>丹司琼。出现或可能出现</w:t>
      </w:r>
      <w:r>
        <w:rPr>
          <w:rFonts w:eastAsia="仿宋_GB2312"/>
          <w:sz w:val="32"/>
          <w:szCs w:val="32"/>
        </w:rPr>
        <w:t>QT</w:t>
      </w:r>
      <w:r>
        <w:rPr>
          <w:rFonts w:eastAsia="仿宋_GB2312"/>
          <w:sz w:val="32"/>
          <w:szCs w:val="32"/>
        </w:rPr>
        <w:t>间期延长的患者应慎用昂丹司琼，主要包括电解质紊乱、充血性心力衰竭、缓慢性心律失常或正在服用其他可能导致</w:t>
      </w:r>
      <w:r>
        <w:rPr>
          <w:rFonts w:eastAsia="仿宋_GB2312"/>
          <w:sz w:val="32"/>
          <w:szCs w:val="32"/>
        </w:rPr>
        <w:t>QT</w:t>
      </w:r>
      <w:r>
        <w:rPr>
          <w:rFonts w:eastAsia="仿宋_GB2312"/>
          <w:sz w:val="32"/>
          <w:szCs w:val="32"/>
        </w:rPr>
        <w:t>间期延长药物的患者。</w:t>
      </w:r>
    </w:p>
    <w:p w:rsidR="00000000" w:rsidRDefault="0023333E">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本品联合应用其他血清素类药物时有血清素综合征的报告。症状主要表现为：精神状态改变（激动、幻觉、谵妄、昏迷），自主神经失调（心动过速、血压不稳、头晕、出汗、脸红、高热），神经肌肉症状（震颤、僵直、肌阵挛、反射亢进、不协调），癫痫，伴随或不伴随胃肠道症状（恶心、呕吐、腹泻）。如果需要与其他血清素药物合并用药，建议对患者进行观察。</w:t>
      </w:r>
    </w:p>
    <w:p w:rsidR="00000000" w:rsidRDefault="0023333E">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三、【孕期及哺乳期妇女用药</w:t>
      </w:r>
      <w:r>
        <w:rPr>
          <w:rFonts w:ascii="黑体" w:eastAsia="黑体" w:hAnsi="黑体" w:cs="黑体" w:hint="eastAsia"/>
          <w:sz w:val="32"/>
          <w:szCs w:val="32"/>
        </w:rPr>
        <w:t>】</w:t>
      </w:r>
      <w:r>
        <w:rPr>
          <w:rFonts w:ascii="黑体" w:eastAsia="黑体" w:hAnsi="黑体" w:cs="黑体" w:hint="eastAsia"/>
          <w:sz w:val="32"/>
          <w:szCs w:val="32"/>
        </w:rPr>
        <w:t>项下应包含以下内容</w:t>
      </w:r>
    </w:p>
    <w:p w:rsidR="00000000" w:rsidRDefault="0023333E">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一项</w:t>
      </w:r>
      <w:r>
        <w:rPr>
          <w:rFonts w:eastAsia="仿宋_GB2312"/>
          <w:sz w:val="32"/>
          <w:szCs w:val="32"/>
        </w:rPr>
        <w:t>88467</w:t>
      </w:r>
      <w:r>
        <w:rPr>
          <w:rFonts w:eastAsia="仿宋_GB2312"/>
          <w:sz w:val="32"/>
          <w:szCs w:val="32"/>
        </w:rPr>
        <w:t>名昂丹司琼妊娠暴露妇女的队列研究显示，所生子女唇腭裂的风险增加（每</w:t>
      </w:r>
      <w:r>
        <w:rPr>
          <w:rFonts w:eastAsia="仿宋_GB2312"/>
          <w:sz w:val="32"/>
          <w:szCs w:val="32"/>
        </w:rPr>
        <w:t>1</w:t>
      </w:r>
      <w:r>
        <w:rPr>
          <w:rFonts w:eastAsia="仿宋_GB2312"/>
          <w:sz w:val="32"/>
          <w:szCs w:val="32"/>
        </w:rPr>
        <w:t>万名接受治疗的妇女中增加</w:t>
      </w:r>
      <w:r>
        <w:rPr>
          <w:rFonts w:eastAsia="仿宋_GB2312"/>
          <w:sz w:val="32"/>
          <w:szCs w:val="32"/>
        </w:rPr>
        <w:t>3</w:t>
      </w:r>
      <w:r>
        <w:rPr>
          <w:rFonts w:eastAsia="仿宋_GB2312"/>
          <w:sz w:val="32"/>
          <w:szCs w:val="32"/>
        </w:rPr>
        <w:t>例，</w:t>
      </w:r>
      <w:r>
        <w:rPr>
          <w:rFonts w:eastAsia="仿宋_GB2312"/>
          <w:sz w:val="32"/>
          <w:szCs w:val="32"/>
        </w:rPr>
        <w:lastRenderedPageBreak/>
        <w:t>校正后的相对风险</w:t>
      </w:r>
      <w:r>
        <w:rPr>
          <w:rFonts w:eastAsia="仿宋_GB2312"/>
          <w:sz w:val="32"/>
          <w:szCs w:val="32"/>
        </w:rPr>
        <w:t>[RR]</w:t>
      </w:r>
      <w:r>
        <w:rPr>
          <w:rFonts w:eastAsia="仿宋_GB2312"/>
          <w:sz w:val="32"/>
          <w:szCs w:val="32"/>
        </w:rPr>
        <w:t>为</w:t>
      </w:r>
      <w:r>
        <w:rPr>
          <w:rFonts w:eastAsia="仿宋_GB2312"/>
          <w:sz w:val="32"/>
          <w:szCs w:val="32"/>
        </w:rPr>
        <w:t>1.24</w:t>
      </w:r>
      <w:r>
        <w:rPr>
          <w:rFonts w:eastAsia="仿宋_GB2312"/>
          <w:sz w:val="32"/>
          <w:szCs w:val="32"/>
        </w:rPr>
        <w:t>，</w:t>
      </w:r>
      <w:r>
        <w:rPr>
          <w:rFonts w:eastAsia="仿宋_GB2312"/>
          <w:sz w:val="32"/>
          <w:szCs w:val="32"/>
        </w:rPr>
        <w:t>95%CI</w:t>
      </w:r>
      <w:r>
        <w:rPr>
          <w:rFonts w:eastAsia="仿宋_GB2312"/>
          <w:sz w:val="32"/>
          <w:szCs w:val="32"/>
        </w:rPr>
        <w:t>为</w:t>
      </w:r>
      <w:r>
        <w:rPr>
          <w:rFonts w:eastAsia="仿宋_GB2312"/>
          <w:sz w:val="32"/>
          <w:szCs w:val="32"/>
        </w:rPr>
        <w:t>1.03-1.48</w:t>
      </w:r>
      <w:r>
        <w:rPr>
          <w:rFonts w:eastAsia="仿宋_GB2312"/>
          <w:sz w:val="32"/>
          <w:szCs w:val="32"/>
        </w:rPr>
        <w:t>），心脏畸形风险没有明显增加。</w:t>
      </w:r>
    </w:p>
    <w:p w:rsidR="00000000" w:rsidRDefault="0023333E">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育龄期女性在使用本品治疗期间和停止本品治疗后两天内使用有效的避孕方法（导致妊娠率低于</w:t>
      </w:r>
      <w:r>
        <w:rPr>
          <w:rFonts w:eastAsia="仿宋_GB2312"/>
          <w:sz w:val="32"/>
          <w:szCs w:val="32"/>
        </w:rPr>
        <w:t>1%</w:t>
      </w:r>
      <w:r>
        <w:rPr>
          <w:rFonts w:eastAsia="仿宋_GB2312"/>
          <w:sz w:val="32"/>
          <w:szCs w:val="32"/>
        </w:rPr>
        <w:t>的方法）。</w:t>
      </w:r>
    </w:p>
    <w:p w:rsidR="00000000" w:rsidRDefault="0023333E">
      <w:pPr>
        <w:spacing w:line="560" w:lineRule="exact"/>
        <w:ind w:firstLineChars="200" w:firstLine="640"/>
        <w:rPr>
          <w:rFonts w:eastAsia="仿宋_GB2312"/>
          <w:sz w:val="32"/>
          <w:szCs w:val="32"/>
        </w:rPr>
      </w:pPr>
      <w:r>
        <w:rPr>
          <w:rFonts w:eastAsia="仿宋_GB2312"/>
          <w:sz w:val="32"/>
          <w:szCs w:val="32"/>
        </w:rPr>
        <w:t>3.</w:t>
      </w:r>
      <w:r>
        <w:rPr>
          <w:rFonts w:eastAsia="仿宋_GB2312"/>
          <w:sz w:val="32"/>
          <w:szCs w:val="32"/>
        </w:rPr>
        <w:t>产妇若在分娩前后使用本品，应暂停哺乳。</w:t>
      </w:r>
    </w:p>
    <w:p w:rsidR="00000000" w:rsidRDefault="0023333E">
      <w:pPr>
        <w:spacing w:line="56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四、【药物相互作用】</w:t>
      </w:r>
      <w:r>
        <w:rPr>
          <w:rFonts w:ascii="黑体" w:eastAsia="黑体" w:hAnsi="黑体" w:cs="黑体" w:hint="eastAsia"/>
          <w:sz w:val="32"/>
          <w:szCs w:val="32"/>
        </w:rPr>
        <w:t>项下应包含以下内容</w:t>
      </w:r>
    </w:p>
    <w:p w:rsidR="00000000" w:rsidRDefault="0023333E">
      <w:pPr>
        <w:spacing w:line="560" w:lineRule="exact"/>
        <w:ind w:firstLineChars="200" w:firstLine="640"/>
        <w:rPr>
          <w:rFonts w:eastAsia="仿宋_GB2312"/>
          <w:sz w:val="32"/>
          <w:szCs w:val="32"/>
        </w:rPr>
      </w:pPr>
      <w:r>
        <w:rPr>
          <w:rFonts w:eastAsia="仿宋_GB2312"/>
          <w:sz w:val="32"/>
          <w:szCs w:val="32"/>
        </w:rPr>
        <w:t>1.</w:t>
      </w:r>
      <w:r>
        <w:rPr>
          <w:rFonts w:eastAsia="仿宋_GB2312"/>
          <w:sz w:val="32"/>
          <w:szCs w:val="32"/>
        </w:rPr>
        <w:t>由于昂丹司琼与盐酸阿扑吗啡联合用药时有严重低血压和意识丧失的报道，故本品禁止与阿扑吗</w:t>
      </w:r>
      <w:r>
        <w:rPr>
          <w:rFonts w:eastAsia="仿宋_GB2312"/>
          <w:sz w:val="32"/>
          <w:szCs w:val="32"/>
        </w:rPr>
        <w:t>啡联合使用。</w:t>
      </w:r>
    </w:p>
    <w:p w:rsidR="00000000" w:rsidRDefault="0023333E">
      <w:pPr>
        <w:spacing w:line="560" w:lineRule="exact"/>
        <w:ind w:firstLineChars="200" w:firstLine="640"/>
        <w:rPr>
          <w:rFonts w:eastAsia="仿宋_GB2312"/>
          <w:sz w:val="32"/>
          <w:szCs w:val="32"/>
        </w:rPr>
      </w:pPr>
      <w:r>
        <w:rPr>
          <w:rFonts w:eastAsia="仿宋_GB2312"/>
          <w:sz w:val="32"/>
          <w:szCs w:val="32"/>
        </w:rPr>
        <w:t>2.</w:t>
      </w:r>
      <w:r>
        <w:rPr>
          <w:rFonts w:eastAsia="仿宋_GB2312"/>
          <w:sz w:val="32"/>
          <w:szCs w:val="32"/>
        </w:rPr>
        <w:t>联合应用其他血清素类药物（如：选择性</w:t>
      </w:r>
      <w:r>
        <w:rPr>
          <w:rFonts w:eastAsia="仿宋_GB2312"/>
          <w:sz w:val="32"/>
          <w:szCs w:val="32"/>
        </w:rPr>
        <w:t>5-</w:t>
      </w:r>
      <w:r>
        <w:rPr>
          <w:rFonts w:eastAsia="仿宋_GB2312"/>
          <w:sz w:val="32"/>
          <w:szCs w:val="32"/>
        </w:rPr>
        <w:t>羟色胺再摄取抑制剂</w:t>
      </w:r>
      <w:r>
        <w:rPr>
          <w:rFonts w:eastAsia="仿宋_GB2312"/>
          <w:sz w:val="32"/>
          <w:szCs w:val="32"/>
        </w:rPr>
        <w:t>[SSRIs]</w:t>
      </w:r>
      <w:r>
        <w:rPr>
          <w:rFonts w:eastAsia="仿宋_GB2312"/>
          <w:sz w:val="32"/>
          <w:szCs w:val="32"/>
        </w:rPr>
        <w:t>、</w:t>
      </w:r>
      <w:r>
        <w:rPr>
          <w:rFonts w:eastAsia="仿宋_GB2312"/>
          <w:sz w:val="32"/>
          <w:szCs w:val="32"/>
        </w:rPr>
        <w:t>5-</w:t>
      </w:r>
      <w:r>
        <w:rPr>
          <w:rFonts w:eastAsia="仿宋_GB2312"/>
          <w:sz w:val="32"/>
          <w:szCs w:val="32"/>
        </w:rPr>
        <w:t>羟色胺去甲肾上腺素再摄取抑制剂</w:t>
      </w:r>
      <w:r>
        <w:rPr>
          <w:rFonts w:eastAsia="仿宋_GB2312"/>
          <w:sz w:val="32"/>
          <w:szCs w:val="32"/>
        </w:rPr>
        <w:t>[SNRIs]</w:t>
      </w:r>
      <w:r>
        <w:rPr>
          <w:rFonts w:eastAsia="仿宋_GB2312"/>
          <w:sz w:val="32"/>
          <w:szCs w:val="32"/>
        </w:rPr>
        <w:t>、单胺氧化酶抑制剂、米氮平、芬太尼、锂盐、</w:t>
      </w:r>
      <w:r>
        <w:rPr>
          <w:rFonts w:eastAsia="仿宋_GB2312"/>
          <w:color w:val="000000"/>
          <w:sz w:val="32"/>
          <w:szCs w:val="32"/>
        </w:rPr>
        <w:t>曲马多</w:t>
      </w:r>
      <w:r>
        <w:rPr>
          <w:rFonts w:eastAsia="仿宋_GB2312"/>
          <w:sz w:val="32"/>
          <w:szCs w:val="32"/>
        </w:rPr>
        <w:t>、静注亚甲基蓝）时有血清素综合征的报告。</w:t>
      </w:r>
    </w:p>
    <w:p w:rsidR="00000000" w:rsidRDefault="0023333E">
      <w:pPr>
        <w:tabs>
          <w:tab w:val="left" w:pos="1470"/>
          <w:tab w:val="left" w:pos="1680"/>
        </w:tabs>
        <w:spacing w:line="560" w:lineRule="exact"/>
        <w:ind w:firstLineChars="200" w:firstLine="640"/>
        <w:rPr>
          <w:rFonts w:eastAsia="仿宋_GB2312"/>
          <w:sz w:val="32"/>
          <w:szCs w:val="32"/>
        </w:rPr>
      </w:pPr>
    </w:p>
    <w:p w:rsidR="00000000" w:rsidRDefault="0023333E">
      <w:pPr>
        <w:spacing w:line="560" w:lineRule="exact"/>
        <w:ind w:firstLineChars="200" w:firstLine="640"/>
        <w:rPr>
          <w:rFonts w:eastAsia="仿宋_GB2312"/>
          <w:sz w:val="32"/>
          <w:szCs w:val="32"/>
        </w:rPr>
      </w:pPr>
      <w:r>
        <w:rPr>
          <w:rFonts w:eastAsia="仿宋_GB2312"/>
          <w:sz w:val="32"/>
          <w:szCs w:val="32"/>
        </w:rPr>
        <w:t>（</w:t>
      </w:r>
      <w:r>
        <w:rPr>
          <w:rFonts w:eastAsia="仿宋_GB2312"/>
          <w:color w:val="000000"/>
          <w:sz w:val="32"/>
          <w:szCs w:val="32"/>
        </w:rPr>
        <w:t>注：如原批准说明书的安全性内容较本修订要求内容更全面或更严格的，应保留原批准内容。说明书其他内容如与上述修订要求不一致的，应当一并进行修订。</w:t>
      </w:r>
      <w:r>
        <w:rPr>
          <w:rFonts w:eastAsia="仿宋_GB2312"/>
          <w:sz w:val="32"/>
          <w:szCs w:val="32"/>
        </w:rPr>
        <w:t>）</w:t>
      </w:r>
    </w:p>
    <w:p w:rsidR="0023333E" w:rsidRDefault="0023333E" w:rsidP="000364A6">
      <w:pPr>
        <w:spacing w:line="560" w:lineRule="exact"/>
        <w:ind w:firstLineChars="200" w:firstLine="420"/>
      </w:pPr>
    </w:p>
    <w:sectPr w:rsidR="0023333E">
      <w:footerReference w:type="even" r:id="rId6"/>
      <w:footerReference w:type="default" r:id="rId7"/>
      <w:pgSz w:w="11906" w:h="16838"/>
      <w:pgMar w:top="1928" w:right="1531" w:bottom="1814" w:left="1531" w:header="851" w:footer="1361" w:gutter="0"/>
      <w:cols w:space="720"/>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33E" w:rsidRDefault="0023333E">
      <w:r>
        <w:separator/>
      </w:r>
    </w:p>
  </w:endnote>
  <w:endnote w:type="continuationSeparator" w:id="0">
    <w:p w:rsidR="0023333E" w:rsidRDefault="00233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_GBK">
    <w:altName w:val="Arial Unicode MS"/>
    <w:charset w:val="86"/>
    <w:family w:val="auto"/>
    <w:pitch w:val="default"/>
    <w:sig w:usb0="00000000"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64A6">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182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23333E">
                          <w:pPr>
                            <w:pStyle w:val="a3"/>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6" o:spid="_x0000_s1026" type="#_x0000_t202" style="position:absolute;margin-left:92.8pt;margin-top:0;width:2in;height:2in;z-index:251658240;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" filled="f" stroked="f">
              <v:textbox style="mso-fit-shape-to-text:t" inset="0,0,0,0">
                <w:txbxContent>
                  <w:p w:rsidR="00000000" w:rsidRDefault="0023333E">
                    <w:pPr>
                      <w:pStyle w:val="a3"/>
                      <w:rPr>
                        <w:sz w:val="28"/>
                        <w:szCs w:val="28"/>
                      </w:rPr>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0364A6">
    <w:pPr>
      <w:pStyle w:val="a3"/>
    </w:pPr>
    <w:r>
      <w:rPr>
        <w:noProof/>
      </w:rPr>
      <mc:AlternateContent>
        <mc:Choice Requires="wps">
          <w:drawing>
            <wp:anchor distT="0" distB="0" distL="114300" distR="114300" simplePos="0" relativeHeight="251657216" behindDoc="0" locked="0" layoutInCell="1" allowOverlap="1">
              <wp:simplePos x="0" y="0"/>
              <wp:positionH relativeFrom="margin">
                <wp:align>outside</wp:align>
              </wp:positionH>
              <wp:positionV relativeFrom="paragraph">
                <wp:posOffset>0</wp:posOffset>
              </wp:positionV>
              <wp:extent cx="978535" cy="230505"/>
              <wp:effectExtent l="0" t="0" r="0" b="0"/>
              <wp:wrapNone/>
              <wp:docPr id="1" name="文本框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8535" cy="2305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cmpd="sng">
                            <a:solidFill>
                              <a:srgbClr val="000000"/>
                            </a:solidFill>
                            <a:miter lim="800000"/>
                            <a:headEnd/>
                            <a:tailEnd/>
                          </a14:hiddenLine>
                        </a:ext>
                      </a:extLst>
                    </wps:spPr>
                    <wps:txbx>
                      <w:txbxContent>
                        <w:p w:rsidR="00000000" w:rsidRDefault="0023333E">
                          <w:pPr>
                            <w:pStyle w:val="a3"/>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84772">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5" o:spid="_x0000_s1027" type="#_x0000_t202" style="position:absolute;margin-left:25.85pt;margin-top:0;width:77.05pt;height:18.15pt;z-index:251657216;visibility:visible;mso-wrap-style:none;mso-width-percent:0;mso-height-percent:0;mso-wrap-distance-left:9pt;mso-wrap-distance-top:0;mso-wrap-distance-right:9pt;mso-wrap-distance-bottom:0;mso-position-horizontal:outsid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" filled="f" stroked="f">
              <v:textbox style="mso-fit-shape-to-text:t" inset="0,0,0,0">
                <w:txbxContent>
                  <w:p w:rsidR="00000000" w:rsidRDefault="0023333E">
                    <w:pPr>
                      <w:pStyle w:val="a3"/>
                    </w:pPr>
                    <w:r>
                      <w:rPr>
                        <w:rFonts w:hint="eastAsia"/>
                        <w:color w:val="FFFFFF"/>
                        <w:sz w:val="28"/>
                        <w:szCs w:val="28"/>
                      </w:rPr>
                      <w:t>—</w:t>
                    </w:r>
                    <w:r>
                      <w:rPr>
                        <w:rFonts w:hint="eastAsia"/>
                        <w:sz w:val="28"/>
                        <w:szCs w:val="28"/>
                      </w:rPr>
                      <w:t>—</w:t>
                    </w:r>
                    <w:r>
                      <w:rPr>
                        <w:rFonts w:hint="eastAsia"/>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684772">
                      <w:rPr>
                        <w:noProof/>
                        <w:sz w:val="28"/>
                        <w:szCs w:val="28"/>
                      </w:rPr>
                      <w:t>2</w:t>
                    </w:r>
                    <w:r>
                      <w:rPr>
                        <w:sz w:val="28"/>
                        <w:szCs w:val="28"/>
                      </w:rPr>
                      <w:fldChar w:fldCharType="end"/>
                    </w:r>
                    <w:r>
                      <w:rPr>
                        <w:rFonts w:hint="eastAsia"/>
                        <w:sz w:val="28"/>
                        <w:szCs w:val="28"/>
                      </w:rPr>
                      <w:t xml:space="preserve"> </w:t>
                    </w:r>
                    <w:r>
                      <w:rPr>
                        <w:rFonts w:hint="eastAsia"/>
                        <w:sz w:val="28"/>
                        <w:szCs w:val="28"/>
                      </w:rPr>
                      <w:t>—</w:t>
                    </w:r>
                    <w:r>
                      <w:rPr>
                        <w:rFonts w:hint="eastAsia"/>
                        <w:color w:val="FFFFFF"/>
                        <w:sz w:val="28"/>
                        <w:szCs w:val="28"/>
                      </w:rPr>
                      <w:t>—</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33E" w:rsidRDefault="0023333E">
      <w:r>
        <w:separator/>
      </w:r>
    </w:p>
  </w:footnote>
  <w:footnote w:type="continuationSeparator" w:id="0">
    <w:p w:rsidR="0023333E" w:rsidRDefault="002333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6F5A8188"/>
    <w:rsid w:val="6F5A8188"/>
    <w:rsid w:val="BFF3D751"/>
    <w:rsid w:val="000364A6"/>
    <w:rsid w:val="0023333E"/>
    <w:rsid w:val="005770E4"/>
    <w:rsid w:val="006847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9556B34-193A-4641-A244-6954AEF81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hAnsi="Times New Roman"/>
      <w:kern w:val="2"/>
      <w:sz w:val="21"/>
      <w:szCs w:val="24"/>
    </w:rPr>
  </w:style>
  <w:style w:type="character" w:default="1" w:styleId="a0">
    <w:name w:val="Default Paragraph Font"/>
    <w:semiHidden/>
    <w:qFormat/>
  </w:style>
  <w:style w:type="table" w:default="1" w:styleId="a1">
    <w:name w:val="Normal Table"/>
    <w:semiHidden/>
    <w:qFormat/>
    <w:tblPr>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qFormat/>
    <w:pPr>
      <w:tabs>
        <w:tab w:val="center" w:pos="4153"/>
        <w:tab w:val="right" w:pos="8306"/>
      </w:tabs>
      <w:snapToGrid w:val="0"/>
      <w:jc w:val="left"/>
    </w:pPr>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132</Words>
  <Characters>753</Characters>
  <Application>Microsoft Office Word</Application>
  <DocSecurity>0</DocSecurity>
  <Lines>6</Lines>
  <Paragraphs>1</Paragraphs>
  <ScaleCrop>false</ScaleCrop>
  <Company/>
  <LinksUpToDate>false</LinksUpToDate>
  <CharactersWithSpaces>884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majh</dc:creator>
  <cp:keywords/>
  <cp:lastModifiedBy>pc</cp:lastModifiedBy>
  <cp:revision>2</cp:revision>
  <dcterms:created xsi:type="dcterms:W3CDTF">2023-01-16T09:37:00Z</dcterms:created>
  <dcterms:modified xsi:type="dcterms:W3CDTF">2023-01-16T09:37:00Z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ies>
</file>