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widowControl/>
        <w:spacing w:line="600" w:lineRule="exact"/>
        <w:outlineLvl w:val="2"/>
        <w:rPr>
          <w:rFonts w:ascii="黑体" w:hAnsi="黑体" w:eastAsia="黑体" w:cs="微软雅黑"/>
          <w:sz w:val="32"/>
        </w:rPr>
      </w:pPr>
      <w:bookmarkStart w:id="0" w:name="_GoBack"/>
      <w:bookmarkEnd w:id="0"/>
      <w:r>
        <w:rPr>
          <w:rFonts w:ascii="黑体" w:hAnsi="黑体" w:eastAsia="黑体" w:cs="微软雅黑"/>
          <w:sz w:val="32"/>
        </w:rPr>
        <w:t>附件</w:t>
      </w:r>
      <w:r>
        <w:rPr>
          <w:rFonts w:hint="eastAsia" w:ascii="黑体" w:hAnsi="黑体" w:eastAsia="黑体" w:cs="微软雅黑"/>
          <w:sz w:val="32"/>
        </w:rPr>
        <w:t>1</w:t>
      </w:r>
    </w:p>
    <w:p>
      <w:pPr>
        <w:spacing w:line="600" w:lineRule="exact"/>
        <w:jc w:val="center"/>
        <w:rPr>
          <w:rFonts w:ascii="Microsoft YaHei UI" w:hAnsi="Microsoft YaHei UI" w:eastAsia="Microsoft YaHei UI" w:cs="Microsoft YaHei UI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pacing w:val="4"/>
          <w:sz w:val="36"/>
          <w:szCs w:val="36"/>
        </w:rPr>
        <w:t>山西</w:t>
      </w:r>
      <w:r>
        <w:rPr>
          <w:rFonts w:ascii="方正小标宋简体" w:hAnsi="微软雅黑" w:eastAsia="方正小标宋简体" w:cs="微软雅黑"/>
          <w:spacing w:val="4"/>
          <w:sz w:val="36"/>
          <w:szCs w:val="36"/>
        </w:rPr>
        <w:t>省新生儿听力障碍诊治机构现场评价标准</w:t>
      </w:r>
    </w:p>
    <w:p>
      <w:pPr>
        <w:spacing w:before="240" w:beforeLines="100"/>
        <w:ind w:left="301"/>
        <w:rPr>
          <w:rFonts w:ascii="黑体" w:hAnsi="黑体" w:eastAsia="黑体" w:cs="微软雅黑"/>
          <w:sz w:val="30"/>
          <w:szCs w:val="30"/>
        </w:rPr>
      </w:pPr>
      <w:r>
        <w:rPr>
          <w:rFonts w:ascii="黑体" w:hAnsi="黑体" w:eastAsia="黑体" w:cs="微软雅黑"/>
          <w:sz w:val="30"/>
          <w:szCs w:val="30"/>
        </w:rPr>
        <w:t xml:space="preserve">评价单位：                                                    评价日期：   年 </w:t>
      </w:r>
      <w:r>
        <w:rPr>
          <w:rFonts w:hint="eastAsia" w:ascii="黑体" w:hAnsi="黑体" w:eastAsia="黑体" w:cs="微软雅黑"/>
          <w:sz w:val="30"/>
          <w:szCs w:val="30"/>
        </w:rPr>
        <w:t xml:space="preserve"> </w:t>
      </w:r>
      <w:r>
        <w:rPr>
          <w:rFonts w:ascii="黑体" w:hAnsi="黑体" w:eastAsia="黑体" w:cs="微软雅黑"/>
          <w:sz w:val="30"/>
          <w:szCs w:val="30"/>
        </w:rPr>
        <w:t xml:space="preserve"> 月 </w:t>
      </w:r>
      <w:r>
        <w:rPr>
          <w:rFonts w:hint="eastAsia" w:ascii="黑体" w:hAnsi="黑体" w:eastAsia="黑体" w:cs="微软雅黑"/>
          <w:sz w:val="30"/>
          <w:szCs w:val="30"/>
        </w:rPr>
        <w:t xml:space="preserve"> </w:t>
      </w:r>
      <w:r>
        <w:rPr>
          <w:rFonts w:ascii="黑体" w:hAnsi="黑体" w:eastAsia="黑体" w:cs="微软雅黑"/>
          <w:sz w:val="30"/>
          <w:szCs w:val="30"/>
        </w:rPr>
        <w:t xml:space="preserve"> 日 </w:t>
      </w:r>
    </w:p>
    <w:tbl>
      <w:tblPr>
        <w:tblStyle w:val="21"/>
        <w:tblW w:w="14391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9" w:type="dxa"/>
          <w:left w:w="110" w:type="dxa"/>
          <w:bottom w:w="0" w:type="dxa"/>
          <w:right w:w="0" w:type="dxa"/>
        </w:tblCellMar>
      </w:tblPr>
      <w:tblGrid>
        <w:gridCol w:w="802"/>
        <w:gridCol w:w="687"/>
        <w:gridCol w:w="5925"/>
        <w:gridCol w:w="1184"/>
        <w:gridCol w:w="4061"/>
        <w:gridCol w:w="850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项目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分值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评审内容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楷体_GB2312" w:hAnsi="微软雅黑" w:eastAsia="楷体_GB2312" w:cs="微软雅黑"/>
                <w:b/>
                <w:w w:val="90"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w w:val="90"/>
                <w:sz w:val="24"/>
                <w:szCs w:val="24"/>
                <w:lang w:eastAsia="en-US"/>
              </w:rPr>
              <w:t>评审方法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扣分标准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扣分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实得分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rPr>
                <w:rFonts w:ascii="Microsoft YaHei UI" w:hAnsi="Microsoft YaHei UI" w:eastAsia="Microsoft YaHei UI" w:cs="Microsoft YaHei UI"/>
                <w:sz w:val="32"/>
                <w:szCs w:val="22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组织管理（15 分）</w:t>
            </w:r>
            <w:r>
              <w:rPr>
                <w:rFonts w:ascii="Microsoft YaHei UI" w:hAnsi="Microsoft YaHei UI" w:eastAsia="Microsoft YaHei UI" w:cs="Microsoft YaHei UI"/>
                <w:sz w:val="21"/>
                <w:szCs w:val="22"/>
                <w:lang w:eastAsia="en-US"/>
              </w:rPr>
              <w:t xml:space="preserve">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 xml:space="preserve">1.医院有领导分管新生儿听力诊断工作，科室有专人负责，建立检测、诊断、治疗组织，分工明确，职责清楚。 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查看相关资料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1.未明确分管领导扣1分，科室未明确相关人员及组织扣2分，职责不清扣1分。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spacing w:after="160" w:line="259" w:lineRule="auto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2.有可疑听力障碍儿童接待就诊有关制度及诊断程序。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2.无接待就诊制度扣1分，无诊断程序扣1分，未执行相关制度扣1分。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spacing w:after="160" w:line="259" w:lineRule="auto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3.有听力障碍儿童档案，完成新生儿听力筛查、诊断及干预相关信息的统计、分析，并向同级妇幼保健机构上报有关报表。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3.没有建立档案扣1分，无统计分析扣1分，没有按照要求上报扣1分。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spacing w:after="160" w:line="259" w:lineRule="auto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4.开展听力学相关知识的宣传、咨询，有人员培训制度。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4.未开展相关宣传扣1分，无培训制度扣1分。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spacing w:after="160" w:line="259" w:lineRule="auto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5.配合当地卫生</w:t>
            </w: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健康</w:t>
            </w: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行政部门对辖区听力筛查质量进行评价。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5.没有参与扣2分。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after="160" w:line="259" w:lineRule="auto"/>
              <w:rPr>
                <w:rFonts w:ascii="Microsoft YaHei UI" w:hAnsi="Microsoft YaHei UI" w:eastAsia="Microsoft YaHei UI" w:cs="Microsoft YaHei UI"/>
                <w:sz w:val="3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6.建立与省级听力诊断机构会诊途径，及时转诊疑难病例。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 xml:space="preserve">6.无会诊途径扣1分，未及时转诊扣1分。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人员配备（20</w:t>
            </w:r>
          </w:p>
          <w:p>
            <w:pPr>
              <w:pStyle w:val="14"/>
              <w:spacing w:line="260" w:lineRule="exact"/>
              <w:jc w:val="both"/>
              <w:rPr>
                <w:rFonts w:ascii="Microsoft YaHei UI" w:hAnsi="Microsoft YaHei UI" w:eastAsia="Microsoft YaHei UI" w:cs="Microsoft YaHei UI"/>
                <w:sz w:val="32"/>
                <w:szCs w:val="22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分）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1.业务负责人：1人，具有副高以上职称，从事临床听力学工作5年以上。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现场查看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1.无相关人员不得分，人员职称不符合要求扣2分，工作年限不够扣2分。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after="160" w:line="259" w:lineRule="auto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2.从事临床听力学的医师：至少1名，从事听力学或耳鼻咽喉科临床工作5年以上</w:t>
            </w: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具有高级职称。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 xml:space="preserve">2.无相关人员不得分，人员不符合要求扣2分，工作年限不够扣2分。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8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after="160" w:line="259" w:lineRule="auto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3.听力测试及康复指导人员：2名，有从事听力测试2年以上工作经验和康复指导等听力学培训，通过省级以上组织的相关技术和技能培训并取得合格证书</w:t>
            </w: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,</w:t>
            </w: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能进行康复指导。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3.无相关人员不得分，人员不符合要求扣2分，未经过培训扣2分。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after="160" w:line="259" w:lineRule="auto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4.文案人员：1人，熟练掌握计算机操作（文字处理及统计），有档案管理工作经验。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4.无相关人员不得分，人员不符合要求扣 1分。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82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项目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分值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评审内容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评审方法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扣分标准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34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扣分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"/>
              <w:jc w:val="center"/>
              <w:rPr>
                <w:rFonts w:ascii="楷体_GB2312" w:hAnsi="微软雅黑" w:eastAsia="楷体_GB2312" w:cs="微软雅黑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微软雅黑" w:eastAsia="楷体_GB2312" w:cs="微软雅黑"/>
                <w:b/>
                <w:sz w:val="24"/>
                <w:szCs w:val="24"/>
                <w:lang w:eastAsia="en-US"/>
              </w:rPr>
              <w:t>实得分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_GB2312" w:hAnsi="仿宋" w:eastAsia="仿宋_GB2312" w:cs="微软雅黑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" w:eastAsia="仿宋_GB2312" w:cs="微软雅黑"/>
                <w:sz w:val="21"/>
                <w:szCs w:val="21"/>
                <w:lang w:eastAsia="en-US"/>
              </w:rPr>
              <w:t>环境场地（16 分）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1.电生理检查室：1间，隔声（本底噪声小于30dB（A）、隔震、屏蔽，使用面积大于10平方米，屏蔽室应符合国家标准（GB/T16403、GB/T16296）</w:t>
            </w: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配备诊察床。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现场查看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1.无电生理室不得分，房屋1处不符合要求扣2分。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2.行为测听室1间：隔声（本底噪声小于30dB（A）），使用面积大于10平方米</w:t>
            </w: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屏蔽室应符合国家标准（GB/T16403、GB/T16296）。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2.无行为测听室不得分，房屋1处不符合要求扣2分。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3.诊疗室1间：面积大于10平方米，配诊察床。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3.无诊疗室不得分，房屋不符合要求扣2 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4.综合用房1间：用于患者接待登记</w:t>
            </w: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评估、康复指导及资料管理。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4.无综合用房不得分。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_GB2312" w:hAnsi="仿宋" w:eastAsia="仿宋_GB2312" w:cs="微软雅黑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" w:eastAsia="仿宋_GB2312" w:cs="微软雅黑"/>
                <w:sz w:val="21"/>
                <w:szCs w:val="21"/>
                <w:lang w:eastAsia="en-US"/>
              </w:rPr>
              <w:t>设备设施（</w:t>
            </w:r>
            <w:r>
              <w:rPr>
                <w:rFonts w:ascii="仿宋_GB2312" w:hAnsi="仿宋" w:eastAsia="仿宋_GB2312" w:cs="微软雅黑"/>
                <w:sz w:val="21"/>
                <w:szCs w:val="21"/>
                <w:lang w:eastAsia="en-US"/>
              </w:rPr>
              <w:t>2</w:t>
            </w:r>
            <w:r>
              <w:rPr>
                <w:rFonts w:hint="eastAsia" w:ascii="仿宋_GB2312" w:hAnsi="仿宋" w:eastAsia="仿宋_GB2312" w:cs="微软雅黑"/>
                <w:sz w:val="21"/>
                <w:szCs w:val="21"/>
                <w:lang w:eastAsia="en-US"/>
              </w:rPr>
              <w:t>5 分）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1.诊断型听觉诱发电位仪。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现场查看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1-3项如无</w:t>
            </w: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该</w:t>
            </w: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设备扣5分，4-5项按比例扣分。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2.诊断型耳声发射仪。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3.中耳声导纳分析仪。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4.诊断型听力计（含声场、视觉强化及游戏测听功能）。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0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5.自动听性脑干诱发电位仪。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技能考核（24</w:t>
            </w:r>
          </w:p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分）</w:t>
            </w:r>
            <w:r>
              <w:rPr>
                <w:rFonts w:hint="eastAsia" w:ascii="仿宋" w:hAnsi="仿宋" w:eastAsia="仿宋" w:cs="微软雅黑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15（每项3分）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2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.听力测听技术</w:t>
            </w: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考核</w:t>
            </w: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：</w:t>
            </w:r>
          </w:p>
          <w:p>
            <w:pPr>
              <w:pStyle w:val="14"/>
              <w:spacing w:line="22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行为听力测试（含纯音听阈、声场、VRA、BOA、PA）</w:t>
            </w:r>
          </w:p>
          <w:p>
            <w:pPr>
              <w:pStyle w:val="14"/>
              <w:spacing w:line="22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听性脑干反应——ABR、40Hz AERP、ASSR</w:t>
            </w:r>
          </w:p>
          <w:p>
            <w:pPr>
              <w:pStyle w:val="14"/>
              <w:spacing w:line="22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声导抗</w:t>
            </w:r>
          </w:p>
          <w:p>
            <w:pPr>
              <w:pStyle w:val="14"/>
              <w:spacing w:line="22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耳声发射</w:t>
            </w:r>
          </w:p>
          <w:p>
            <w:pPr>
              <w:pStyle w:val="14"/>
              <w:spacing w:line="22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 xml:space="preserve">自动听性脑干诱发电位 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现场查看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 xml:space="preserve">根据技术考核情况酌情扣分。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9" w:type="dxa"/>
            <w:left w:w="11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after="160" w:line="259" w:lineRule="auto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center"/>
              <w:rPr>
                <w:rFonts w:ascii="仿宋" w:hAnsi="仿宋" w:eastAsia="仿宋" w:cs="微软雅黑"/>
                <w:sz w:val="21"/>
                <w:szCs w:val="21"/>
                <w:lang w:eastAsia="en-US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2.听力学基本知识考核。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line="260" w:lineRule="exac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0" w:lineRule="exact"/>
              <w:jc w:val="both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 xml:space="preserve">根据抽考结果，酌情扣分。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Microsoft YaHei UI" w:hAnsi="Microsoft YaHei UI" w:eastAsia="Microsoft YaHei UI" w:cs="Microsoft YaHei UI"/>
                <w:sz w:val="32"/>
                <w:szCs w:val="22"/>
                <w:lang w:eastAsia="zh-CN"/>
              </w:rPr>
            </w:pPr>
          </w:p>
        </w:tc>
      </w:tr>
    </w:tbl>
    <w:p>
      <w:pPr>
        <w:widowControl/>
        <w:tabs>
          <w:tab w:val="center" w:pos="9331"/>
        </w:tabs>
        <w:spacing w:line="520" w:lineRule="exact"/>
        <w:ind w:left="-17"/>
        <w:rPr>
          <w:rFonts w:ascii="仿宋_GB2312" w:hAnsi="Microsoft YaHei UI" w:eastAsia="仿宋_GB2312" w:cs="Microsoft YaHei UI"/>
          <w:sz w:val="28"/>
        </w:rPr>
      </w:pPr>
      <w:r>
        <w:rPr>
          <w:rFonts w:ascii="仿宋_GB2312" w:hAnsi="Microsoft YaHei UI" w:eastAsia="仿宋_GB2312" w:cs="Microsoft YaHei UI"/>
          <w:sz w:val="28"/>
        </w:rPr>
        <w:t>现场评估考核专家签名：</w:t>
      </w:r>
      <w:r>
        <w:rPr>
          <w:rFonts w:hint="eastAsia" w:ascii="仿宋_GB2312" w:hAnsi="Microsoft YaHei UI" w:eastAsia="仿宋_GB2312" w:cs="Microsoft YaHei UI"/>
          <w:sz w:val="28"/>
        </w:rPr>
        <w:t xml:space="preserve">                                                 实际得分：</w:t>
      </w:r>
    </w:p>
    <w:p>
      <w:pPr>
        <w:widowControl/>
        <w:tabs>
          <w:tab w:val="center" w:pos="9331"/>
        </w:tabs>
        <w:spacing w:line="520" w:lineRule="exact"/>
        <w:ind w:left="-17"/>
        <w:rPr>
          <w:rFonts w:ascii="小标宋" w:hAnsi="Times New Roman" w:eastAsia="小标宋" w:cs="Times New Roman"/>
          <w:kern w:val="2"/>
          <w:sz w:val="44"/>
          <w:szCs w:val="44"/>
        </w:rPr>
      </w:pPr>
      <w:r>
        <w:rPr>
          <w:rFonts w:hint="eastAsia" w:ascii="仿宋_GB2312" w:hAnsi="Microsoft YaHei UI" w:eastAsia="仿宋_GB2312" w:cs="Microsoft YaHei UI"/>
          <w:sz w:val="28"/>
        </w:rPr>
        <w:t>现场评审结论：</w:t>
      </w:r>
    </w:p>
    <w:sectPr>
      <w:type w:val="continuous"/>
      <w:pgSz w:w="16840" w:h="11910" w:orient="landscape"/>
      <w:pgMar w:top="1480" w:right="1582" w:bottom="1338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oto Sans Mono CJK SC Bold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宋体"/>
    <w:panose1 w:val="00000000000000000000"/>
    <w:charset w:val="86"/>
    <w:family w:val="auto"/>
    <w:pitch w:val="default"/>
    <w:sig w:usb0="00000000" w:usb1="2BDF3C1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auto"/>
    <w:pitch w:val="default"/>
    <w:sig w:usb0="E00002FF" w:usb1="6AC7FDFB" w:usb2="00000012" w:usb3="00000000" w:csb0="0002009F" w:csb1="00000000"/>
  </w:font>
  <w:font w:name="DejaVu Sans">
    <w:altName w:val="Segoe Print"/>
    <w:panose1 w:val="00000000000000000000"/>
    <w:charset w:val="00"/>
    <w:family w:val="auto"/>
    <w:pitch w:val="default"/>
    <w:sig w:usb0="00000000" w:usb1="D200FDFF" w:usb2="0A246029" w:usb3="0400200C" w:csb0="600001FF" w:csb1="D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JkMTNlMDExMmNlNzQxOGYxNTFhNzM5OWY1NDdjYjMifQ=="/>
  </w:docVars>
  <w:rsids>
    <w:rsidRoot w:val="00CE17C9"/>
    <w:rsid w:val="00004BD8"/>
    <w:rsid w:val="00006C2C"/>
    <w:rsid w:val="000131B2"/>
    <w:rsid w:val="00013D78"/>
    <w:rsid w:val="00020311"/>
    <w:rsid w:val="000233D8"/>
    <w:rsid w:val="00032278"/>
    <w:rsid w:val="00032626"/>
    <w:rsid w:val="00034098"/>
    <w:rsid w:val="00040345"/>
    <w:rsid w:val="000405BB"/>
    <w:rsid w:val="000407FB"/>
    <w:rsid w:val="00042BB0"/>
    <w:rsid w:val="00052312"/>
    <w:rsid w:val="000631E6"/>
    <w:rsid w:val="00064FE9"/>
    <w:rsid w:val="00067242"/>
    <w:rsid w:val="000711A2"/>
    <w:rsid w:val="00071457"/>
    <w:rsid w:val="000738E5"/>
    <w:rsid w:val="0007788D"/>
    <w:rsid w:val="00080289"/>
    <w:rsid w:val="000B749B"/>
    <w:rsid w:val="000C6CE4"/>
    <w:rsid w:val="000D4C54"/>
    <w:rsid w:val="001015A7"/>
    <w:rsid w:val="001044A6"/>
    <w:rsid w:val="0011273C"/>
    <w:rsid w:val="001156A0"/>
    <w:rsid w:val="00116589"/>
    <w:rsid w:val="00137D83"/>
    <w:rsid w:val="00142F91"/>
    <w:rsid w:val="00151D90"/>
    <w:rsid w:val="00154E87"/>
    <w:rsid w:val="00172378"/>
    <w:rsid w:val="00172D40"/>
    <w:rsid w:val="00183616"/>
    <w:rsid w:val="00183E89"/>
    <w:rsid w:val="00185B52"/>
    <w:rsid w:val="00190B80"/>
    <w:rsid w:val="001922BE"/>
    <w:rsid w:val="00193354"/>
    <w:rsid w:val="001B2971"/>
    <w:rsid w:val="001B38DF"/>
    <w:rsid w:val="001B47B5"/>
    <w:rsid w:val="001C0AB0"/>
    <w:rsid w:val="001C2D17"/>
    <w:rsid w:val="001C3308"/>
    <w:rsid w:val="001D4142"/>
    <w:rsid w:val="001D45F9"/>
    <w:rsid w:val="001D4A22"/>
    <w:rsid w:val="001E7C26"/>
    <w:rsid w:val="001F5374"/>
    <w:rsid w:val="001F6CEB"/>
    <w:rsid w:val="00200193"/>
    <w:rsid w:val="002005AC"/>
    <w:rsid w:val="00202D81"/>
    <w:rsid w:val="00203DDF"/>
    <w:rsid w:val="00211650"/>
    <w:rsid w:val="00211E23"/>
    <w:rsid w:val="00212476"/>
    <w:rsid w:val="00214431"/>
    <w:rsid w:val="002164EF"/>
    <w:rsid w:val="002248BB"/>
    <w:rsid w:val="00234C8B"/>
    <w:rsid w:val="0024065D"/>
    <w:rsid w:val="00247E8F"/>
    <w:rsid w:val="00252156"/>
    <w:rsid w:val="00266FDF"/>
    <w:rsid w:val="00273613"/>
    <w:rsid w:val="00281441"/>
    <w:rsid w:val="00283025"/>
    <w:rsid w:val="00284275"/>
    <w:rsid w:val="00291DD3"/>
    <w:rsid w:val="002970FE"/>
    <w:rsid w:val="00297190"/>
    <w:rsid w:val="002A4160"/>
    <w:rsid w:val="002B09C8"/>
    <w:rsid w:val="002C20F5"/>
    <w:rsid w:val="002C4D1E"/>
    <w:rsid w:val="002C6281"/>
    <w:rsid w:val="002D0612"/>
    <w:rsid w:val="002D5942"/>
    <w:rsid w:val="002E0568"/>
    <w:rsid w:val="002E57DA"/>
    <w:rsid w:val="002E68A4"/>
    <w:rsid w:val="002F2173"/>
    <w:rsid w:val="002F3C55"/>
    <w:rsid w:val="0030427C"/>
    <w:rsid w:val="00322505"/>
    <w:rsid w:val="00336621"/>
    <w:rsid w:val="00336E57"/>
    <w:rsid w:val="00347A78"/>
    <w:rsid w:val="00351249"/>
    <w:rsid w:val="00352A51"/>
    <w:rsid w:val="003569DA"/>
    <w:rsid w:val="00360C9B"/>
    <w:rsid w:val="00367435"/>
    <w:rsid w:val="00370567"/>
    <w:rsid w:val="003726B1"/>
    <w:rsid w:val="0037289F"/>
    <w:rsid w:val="003833ED"/>
    <w:rsid w:val="00384367"/>
    <w:rsid w:val="00385555"/>
    <w:rsid w:val="00392074"/>
    <w:rsid w:val="00397537"/>
    <w:rsid w:val="003A67FF"/>
    <w:rsid w:val="003B07C3"/>
    <w:rsid w:val="003B0BD8"/>
    <w:rsid w:val="003C3B1C"/>
    <w:rsid w:val="003C6C43"/>
    <w:rsid w:val="003D230A"/>
    <w:rsid w:val="003D301B"/>
    <w:rsid w:val="003D4082"/>
    <w:rsid w:val="003D4410"/>
    <w:rsid w:val="003E12A1"/>
    <w:rsid w:val="003E6093"/>
    <w:rsid w:val="003F138C"/>
    <w:rsid w:val="003F23B3"/>
    <w:rsid w:val="003F5819"/>
    <w:rsid w:val="003F67F4"/>
    <w:rsid w:val="003F7589"/>
    <w:rsid w:val="00401A28"/>
    <w:rsid w:val="00402E8D"/>
    <w:rsid w:val="004117B7"/>
    <w:rsid w:val="0041390E"/>
    <w:rsid w:val="00433ADA"/>
    <w:rsid w:val="00445A01"/>
    <w:rsid w:val="00445EBD"/>
    <w:rsid w:val="00453E1D"/>
    <w:rsid w:val="00457A80"/>
    <w:rsid w:val="00486F29"/>
    <w:rsid w:val="004A5DC6"/>
    <w:rsid w:val="004A6FD0"/>
    <w:rsid w:val="004B0524"/>
    <w:rsid w:val="004B19B7"/>
    <w:rsid w:val="004B58CD"/>
    <w:rsid w:val="004B5FEE"/>
    <w:rsid w:val="004C50C0"/>
    <w:rsid w:val="004C6839"/>
    <w:rsid w:val="004C7883"/>
    <w:rsid w:val="004D00BE"/>
    <w:rsid w:val="004D1C13"/>
    <w:rsid w:val="004D55A4"/>
    <w:rsid w:val="004D6A01"/>
    <w:rsid w:val="004D7EA9"/>
    <w:rsid w:val="004E4672"/>
    <w:rsid w:val="004E514C"/>
    <w:rsid w:val="004E64D9"/>
    <w:rsid w:val="004F3D4B"/>
    <w:rsid w:val="00501B62"/>
    <w:rsid w:val="0051443A"/>
    <w:rsid w:val="00523A60"/>
    <w:rsid w:val="00524179"/>
    <w:rsid w:val="00557C82"/>
    <w:rsid w:val="005619DC"/>
    <w:rsid w:val="00567FFA"/>
    <w:rsid w:val="00571877"/>
    <w:rsid w:val="00585A40"/>
    <w:rsid w:val="00586571"/>
    <w:rsid w:val="00590FDF"/>
    <w:rsid w:val="00594E15"/>
    <w:rsid w:val="00595E53"/>
    <w:rsid w:val="005960BA"/>
    <w:rsid w:val="005966FE"/>
    <w:rsid w:val="005B279C"/>
    <w:rsid w:val="005B3606"/>
    <w:rsid w:val="005B4265"/>
    <w:rsid w:val="005B4367"/>
    <w:rsid w:val="005C24D8"/>
    <w:rsid w:val="005D5210"/>
    <w:rsid w:val="005E42D5"/>
    <w:rsid w:val="005F7443"/>
    <w:rsid w:val="006016B8"/>
    <w:rsid w:val="00602CEC"/>
    <w:rsid w:val="00603C28"/>
    <w:rsid w:val="006119BF"/>
    <w:rsid w:val="00620B76"/>
    <w:rsid w:val="0062702A"/>
    <w:rsid w:val="00627105"/>
    <w:rsid w:val="00641D1F"/>
    <w:rsid w:val="00645E2C"/>
    <w:rsid w:val="00652673"/>
    <w:rsid w:val="00652752"/>
    <w:rsid w:val="00653A9D"/>
    <w:rsid w:val="00660936"/>
    <w:rsid w:val="00661D2B"/>
    <w:rsid w:val="00665B5A"/>
    <w:rsid w:val="00674DF6"/>
    <w:rsid w:val="00676871"/>
    <w:rsid w:val="00676A5E"/>
    <w:rsid w:val="00680B38"/>
    <w:rsid w:val="00682A4E"/>
    <w:rsid w:val="006919A1"/>
    <w:rsid w:val="006A0730"/>
    <w:rsid w:val="006A733A"/>
    <w:rsid w:val="006B23CD"/>
    <w:rsid w:val="006C020B"/>
    <w:rsid w:val="006C2531"/>
    <w:rsid w:val="006C27DC"/>
    <w:rsid w:val="006C4B47"/>
    <w:rsid w:val="006C51CD"/>
    <w:rsid w:val="006D3086"/>
    <w:rsid w:val="006D3469"/>
    <w:rsid w:val="006E334C"/>
    <w:rsid w:val="006F3762"/>
    <w:rsid w:val="007020F1"/>
    <w:rsid w:val="00704354"/>
    <w:rsid w:val="007076E6"/>
    <w:rsid w:val="00710602"/>
    <w:rsid w:val="007119E4"/>
    <w:rsid w:val="00713973"/>
    <w:rsid w:val="00714F3E"/>
    <w:rsid w:val="00717230"/>
    <w:rsid w:val="007238E7"/>
    <w:rsid w:val="0073047A"/>
    <w:rsid w:val="00747277"/>
    <w:rsid w:val="0074743F"/>
    <w:rsid w:val="00753F1F"/>
    <w:rsid w:val="0075598B"/>
    <w:rsid w:val="00755A9C"/>
    <w:rsid w:val="00756EA4"/>
    <w:rsid w:val="007602FB"/>
    <w:rsid w:val="00761750"/>
    <w:rsid w:val="00776912"/>
    <w:rsid w:val="00776D1B"/>
    <w:rsid w:val="007802FC"/>
    <w:rsid w:val="00786926"/>
    <w:rsid w:val="007947A8"/>
    <w:rsid w:val="007A2616"/>
    <w:rsid w:val="007B098E"/>
    <w:rsid w:val="007B1316"/>
    <w:rsid w:val="007C02B0"/>
    <w:rsid w:val="007C249B"/>
    <w:rsid w:val="007D5F4B"/>
    <w:rsid w:val="007E2F0C"/>
    <w:rsid w:val="007F7898"/>
    <w:rsid w:val="0080012C"/>
    <w:rsid w:val="008128A0"/>
    <w:rsid w:val="0081600A"/>
    <w:rsid w:val="00820A1E"/>
    <w:rsid w:val="0082242E"/>
    <w:rsid w:val="00822F79"/>
    <w:rsid w:val="008324BF"/>
    <w:rsid w:val="00832C39"/>
    <w:rsid w:val="00836EA7"/>
    <w:rsid w:val="00850712"/>
    <w:rsid w:val="00855850"/>
    <w:rsid w:val="0086098E"/>
    <w:rsid w:val="008671C4"/>
    <w:rsid w:val="008700B4"/>
    <w:rsid w:val="00885254"/>
    <w:rsid w:val="0088680F"/>
    <w:rsid w:val="008A0035"/>
    <w:rsid w:val="008A3C2B"/>
    <w:rsid w:val="008B0199"/>
    <w:rsid w:val="008B0F70"/>
    <w:rsid w:val="008C0856"/>
    <w:rsid w:val="008C09B4"/>
    <w:rsid w:val="008C0AF0"/>
    <w:rsid w:val="008C3280"/>
    <w:rsid w:val="008D0B7C"/>
    <w:rsid w:val="008D5E26"/>
    <w:rsid w:val="008D6F48"/>
    <w:rsid w:val="008D70DB"/>
    <w:rsid w:val="008E422F"/>
    <w:rsid w:val="008E549D"/>
    <w:rsid w:val="008E60B8"/>
    <w:rsid w:val="009075B8"/>
    <w:rsid w:val="009108B3"/>
    <w:rsid w:val="009123F4"/>
    <w:rsid w:val="00920BEB"/>
    <w:rsid w:val="009264D3"/>
    <w:rsid w:val="009373B6"/>
    <w:rsid w:val="00942213"/>
    <w:rsid w:val="00942D85"/>
    <w:rsid w:val="00955718"/>
    <w:rsid w:val="00970521"/>
    <w:rsid w:val="009755CB"/>
    <w:rsid w:val="0098638E"/>
    <w:rsid w:val="0099793A"/>
    <w:rsid w:val="009B04AB"/>
    <w:rsid w:val="009B578E"/>
    <w:rsid w:val="009B77FB"/>
    <w:rsid w:val="009C1C4D"/>
    <w:rsid w:val="009C2AC2"/>
    <w:rsid w:val="009C3F80"/>
    <w:rsid w:val="009D1700"/>
    <w:rsid w:val="009D5E8E"/>
    <w:rsid w:val="009E023C"/>
    <w:rsid w:val="009E3903"/>
    <w:rsid w:val="009E7838"/>
    <w:rsid w:val="009F0FC1"/>
    <w:rsid w:val="009F3852"/>
    <w:rsid w:val="009F5DFB"/>
    <w:rsid w:val="00A02009"/>
    <w:rsid w:val="00A0359B"/>
    <w:rsid w:val="00A14331"/>
    <w:rsid w:val="00A20779"/>
    <w:rsid w:val="00A244A9"/>
    <w:rsid w:val="00A35F1A"/>
    <w:rsid w:val="00A376E3"/>
    <w:rsid w:val="00A407B7"/>
    <w:rsid w:val="00A41130"/>
    <w:rsid w:val="00A57CD2"/>
    <w:rsid w:val="00A61164"/>
    <w:rsid w:val="00A62893"/>
    <w:rsid w:val="00A81345"/>
    <w:rsid w:val="00A852B3"/>
    <w:rsid w:val="00A85BB7"/>
    <w:rsid w:val="00A97805"/>
    <w:rsid w:val="00AA05E8"/>
    <w:rsid w:val="00AB105C"/>
    <w:rsid w:val="00AB5D3D"/>
    <w:rsid w:val="00AC348E"/>
    <w:rsid w:val="00AD59CD"/>
    <w:rsid w:val="00AE2537"/>
    <w:rsid w:val="00AE6BFC"/>
    <w:rsid w:val="00AF2A28"/>
    <w:rsid w:val="00AF406B"/>
    <w:rsid w:val="00AF664F"/>
    <w:rsid w:val="00B031FA"/>
    <w:rsid w:val="00B10A54"/>
    <w:rsid w:val="00B11DF0"/>
    <w:rsid w:val="00B1439A"/>
    <w:rsid w:val="00B2619F"/>
    <w:rsid w:val="00B41B30"/>
    <w:rsid w:val="00B61449"/>
    <w:rsid w:val="00B63462"/>
    <w:rsid w:val="00B74BB7"/>
    <w:rsid w:val="00B75B71"/>
    <w:rsid w:val="00B851E8"/>
    <w:rsid w:val="00B90E8F"/>
    <w:rsid w:val="00B95E8D"/>
    <w:rsid w:val="00BA0B8E"/>
    <w:rsid w:val="00BA785B"/>
    <w:rsid w:val="00BB6143"/>
    <w:rsid w:val="00BC0B63"/>
    <w:rsid w:val="00BC44B4"/>
    <w:rsid w:val="00BC5759"/>
    <w:rsid w:val="00BD59BF"/>
    <w:rsid w:val="00BE0854"/>
    <w:rsid w:val="00BE0BBF"/>
    <w:rsid w:val="00C02717"/>
    <w:rsid w:val="00C02E4C"/>
    <w:rsid w:val="00C034BB"/>
    <w:rsid w:val="00C0400A"/>
    <w:rsid w:val="00C06C5B"/>
    <w:rsid w:val="00C07CC2"/>
    <w:rsid w:val="00C12DBE"/>
    <w:rsid w:val="00C23910"/>
    <w:rsid w:val="00C3257E"/>
    <w:rsid w:val="00C34AC4"/>
    <w:rsid w:val="00C35D09"/>
    <w:rsid w:val="00C36F60"/>
    <w:rsid w:val="00C4154A"/>
    <w:rsid w:val="00C432BE"/>
    <w:rsid w:val="00C474B9"/>
    <w:rsid w:val="00C51088"/>
    <w:rsid w:val="00C5202F"/>
    <w:rsid w:val="00C55283"/>
    <w:rsid w:val="00C57579"/>
    <w:rsid w:val="00C576C4"/>
    <w:rsid w:val="00C65D1B"/>
    <w:rsid w:val="00C71CAB"/>
    <w:rsid w:val="00C7726D"/>
    <w:rsid w:val="00C82924"/>
    <w:rsid w:val="00C936BD"/>
    <w:rsid w:val="00C958C7"/>
    <w:rsid w:val="00CA04AA"/>
    <w:rsid w:val="00CA5FE9"/>
    <w:rsid w:val="00CA6892"/>
    <w:rsid w:val="00CB224B"/>
    <w:rsid w:val="00CB4ABB"/>
    <w:rsid w:val="00CB4C1E"/>
    <w:rsid w:val="00CC1E84"/>
    <w:rsid w:val="00CD6132"/>
    <w:rsid w:val="00CD665F"/>
    <w:rsid w:val="00CE17C9"/>
    <w:rsid w:val="00CF67A8"/>
    <w:rsid w:val="00D035A2"/>
    <w:rsid w:val="00D0653A"/>
    <w:rsid w:val="00D10A48"/>
    <w:rsid w:val="00D120BF"/>
    <w:rsid w:val="00D17B90"/>
    <w:rsid w:val="00D17CF7"/>
    <w:rsid w:val="00D17F3C"/>
    <w:rsid w:val="00D346D7"/>
    <w:rsid w:val="00D5717E"/>
    <w:rsid w:val="00D7010E"/>
    <w:rsid w:val="00D85C65"/>
    <w:rsid w:val="00D87660"/>
    <w:rsid w:val="00D915AA"/>
    <w:rsid w:val="00DA0E16"/>
    <w:rsid w:val="00DA36C9"/>
    <w:rsid w:val="00DB17B8"/>
    <w:rsid w:val="00DB1971"/>
    <w:rsid w:val="00DB67B1"/>
    <w:rsid w:val="00DC35B7"/>
    <w:rsid w:val="00DD38F5"/>
    <w:rsid w:val="00DD4957"/>
    <w:rsid w:val="00DE5F85"/>
    <w:rsid w:val="00DE5FBD"/>
    <w:rsid w:val="00DF7B1A"/>
    <w:rsid w:val="00E0336D"/>
    <w:rsid w:val="00E225E3"/>
    <w:rsid w:val="00E2497A"/>
    <w:rsid w:val="00E3402A"/>
    <w:rsid w:val="00E35FEF"/>
    <w:rsid w:val="00E36BBE"/>
    <w:rsid w:val="00E42943"/>
    <w:rsid w:val="00E438AA"/>
    <w:rsid w:val="00E474C1"/>
    <w:rsid w:val="00E47DF7"/>
    <w:rsid w:val="00E54D52"/>
    <w:rsid w:val="00E604BF"/>
    <w:rsid w:val="00E7798A"/>
    <w:rsid w:val="00E81E62"/>
    <w:rsid w:val="00E921C2"/>
    <w:rsid w:val="00E958B4"/>
    <w:rsid w:val="00E963CD"/>
    <w:rsid w:val="00EA1004"/>
    <w:rsid w:val="00EA23BA"/>
    <w:rsid w:val="00EB3F4F"/>
    <w:rsid w:val="00EC7AC4"/>
    <w:rsid w:val="00ED3343"/>
    <w:rsid w:val="00EE7796"/>
    <w:rsid w:val="00EF6990"/>
    <w:rsid w:val="00EF78A8"/>
    <w:rsid w:val="00F01D97"/>
    <w:rsid w:val="00F0594B"/>
    <w:rsid w:val="00F125BA"/>
    <w:rsid w:val="00F141C0"/>
    <w:rsid w:val="00F229A2"/>
    <w:rsid w:val="00F300E4"/>
    <w:rsid w:val="00F30B33"/>
    <w:rsid w:val="00F4347F"/>
    <w:rsid w:val="00F4649B"/>
    <w:rsid w:val="00F64234"/>
    <w:rsid w:val="00F67648"/>
    <w:rsid w:val="00F81440"/>
    <w:rsid w:val="00F940B5"/>
    <w:rsid w:val="00F97DD0"/>
    <w:rsid w:val="00FA0152"/>
    <w:rsid w:val="00FA7015"/>
    <w:rsid w:val="00FC6221"/>
    <w:rsid w:val="00FC776F"/>
    <w:rsid w:val="00FD0CD9"/>
    <w:rsid w:val="00FD1696"/>
    <w:rsid w:val="00FD2560"/>
    <w:rsid w:val="00FE2083"/>
    <w:rsid w:val="00FF06AE"/>
    <w:rsid w:val="00FF3728"/>
    <w:rsid w:val="00FF3DF7"/>
    <w:rsid w:val="01816262"/>
    <w:rsid w:val="024E10D4"/>
    <w:rsid w:val="02AA37A3"/>
    <w:rsid w:val="05272B28"/>
    <w:rsid w:val="06E126CA"/>
    <w:rsid w:val="104227E5"/>
    <w:rsid w:val="14C92677"/>
    <w:rsid w:val="1B962470"/>
    <w:rsid w:val="330A72DC"/>
    <w:rsid w:val="348833F0"/>
    <w:rsid w:val="383268FF"/>
    <w:rsid w:val="3A2B7DD7"/>
    <w:rsid w:val="41C02131"/>
    <w:rsid w:val="52021682"/>
    <w:rsid w:val="5CC552B4"/>
    <w:rsid w:val="6A9F365B"/>
    <w:rsid w:val="6CA06F0F"/>
    <w:rsid w:val="6D940381"/>
    <w:rsid w:val="6EA20F6A"/>
    <w:rsid w:val="72C923ED"/>
    <w:rsid w:val="76B3362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SC Bold" w:hAnsi="Noto Sans Mono CJK SC Bold" w:eastAsia="Noto Sans Mono CJK SC Bold" w:cs="Noto Sans Mono CJK SC Bold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751" w:lineRule="exact"/>
      <w:outlineLvl w:val="0"/>
    </w:pPr>
    <w:rPr>
      <w:rFonts w:ascii="Noto Sans CJK JP Medium" w:hAnsi="Noto Sans CJK JP Medium" w:eastAsia="Noto Sans CJK JP Medium" w:cs="Noto Sans CJK JP Medium"/>
      <w:sz w:val="44"/>
      <w:szCs w:val="44"/>
    </w:rPr>
  </w:style>
  <w:style w:type="paragraph" w:styleId="3">
    <w:name w:val="heading 3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"/>
    <w:basedOn w:val="1"/>
    <w:qFormat/>
    <w:uiPriority w:val="1"/>
    <w:pPr>
      <w:ind w:left="1137" w:hanging="420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9"/>
    <w:link w:val="8"/>
    <w:qFormat/>
    <w:uiPriority w:val="0"/>
    <w:rPr>
      <w:rFonts w:ascii="Noto Sans Mono CJK SC Bold" w:hAnsi="Noto Sans Mono CJK SC Bold" w:eastAsia="Noto Sans Mono CJK SC Bold" w:cs="Noto Sans Mono CJK SC Bold"/>
      <w:sz w:val="18"/>
      <w:szCs w:val="18"/>
    </w:rPr>
  </w:style>
  <w:style w:type="character" w:customStyle="1" w:styleId="16">
    <w:name w:val="页脚 Char"/>
    <w:basedOn w:val="9"/>
    <w:link w:val="7"/>
    <w:qFormat/>
    <w:uiPriority w:val="0"/>
    <w:rPr>
      <w:rFonts w:ascii="Noto Sans Mono CJK SC Bold" w:hAnsi="Noto Sans Mono CJK SC Bold" w:eastAsia="Noto Sans Mono CJK SC Bold" w:cs="Noto Sans Mono CJK SC Bold"/>
      <w:sz w:val="18"/>
      <w:szCs w:val="18"/>
    </w:rPr>
  </w:style>
  <w:style w:type="character" w:customStyle="1" w:styleId="17">
    <w:name w:val="标题 3 Char"/>
    <w:basedOn w:val="9"/>
    <w:link w:val="3"/>
    <w:semiHidden/>
    <w:qFormat/>
    <w:uiPriority w:val="0"/>
    <w:rPr>
      <w:rFonts w:ascii="Noto Sans Mono CJK SC Bold" w:hAnsi="Noto Sans Mono CJK SC Bold" w:eastAsia="Noto Sans Mono CJK SC Bold" w:cs="Noto Sans Mono CJK SC Bold"/>
      <w:b/>
      <w:bCs/>
      <w:sz w:val="32"/>
      <w:szCs w:val="32"/>
    </w:rPr>
  </w:style>
  <w:style w:type="character" w:customStyle="1" w:styleId="18">
    <w:name w:val="批注框文本 Char"/>
    <w:basedOn w:val="9"/>
    <w:link w:val="6"/>
    <w:uiPriority w:val="0"/>
    <w:rPr>
      <w:rFonts w:ascii="Noto Sans Mono CJK SC Bold" w:hAnsi="Noto Sans Mono CJK SC Bold" w:eastAsia="Noto Sans Mono CJK SC Bold" w:cs="Noto Sans Mono CJK SC Bold"/>
      <w:sz w:val="18"/>
      <w:szCs w:val="18"/>
    </w:rPr>
  </w:style>
  <w:style w:type="table" w:customStyle="1" w:styleId="19">
    <w:name w:val="Table Normal"/>
    <w:unhideWhenUsed/>
    <w:qFormat/>
    <w:uiPriority w:val="2"/>
    <w:tblPr>
      <w:tblStyle w:val="11"/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网格型1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">
    <w:name w:val="TableGrid"/>
    <w:qFormat/>
    <w:uiPriority w:val="0"/>
    <w:rPr>
      <w:sz w:val="22"/>
      <w:szCs w:val="22"/>
      <w:lang w:eastAsia="en-US"/>
    </w:rPr>
    <w:tblPr>
      <w:tblStyle w:val="11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21</Pages>
  <Words>1614</Words>
  <Characters>9204</Characters>
  <Lines>76</Lines>
  <Paragraphs>21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2020-12-25T23:58:00Z</dcterms:created>
  <dc:creator>jsczh</dc:creator>
  <cp:lastModifiedBy>王洋</cp:lastModifiedBy>
  <cp:lastPrinted>2022-11-08T02:22:00Z</cp:lastPrinted>
  <dcterms:modified xsi:type="dcterms:W3CDTF">2022-12-30T03:24:26Z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2020-12-24T00:00:00Z</vt:filetime>
  </property>
  <property fmtid="{D5CDD505-2E9C-101B-9397-08002B2CF9AE}" pid="3" name="KSOProductBuildVer">
    <vt:lpwstr>2052-9.1.0.4940</vt:lpwstr>
  </property>
  <property fmtid="{D5CDD505-2E9C-101B-9397-08002B2CF9AE}" pid="4" name="ICV">
    <vt:lpwstr>BB7F7AF462E2454DAB32BFC0F4D1649F</vt:lpwstr>
  </property>
</Properties>
</file>